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7"/>
        <w:ind w:firstLine="160"/>
        <w:spacing w:line="360" w:lineRule="auto"/>
        <w:rPr>
          <w:rFonts w:hint="eastAsia" w:ascii="CESI黑体-GB2312" w:hAnsi="CESI黑体-GB2312" w:eastAsia="CESI黑体-GB2312" w:cs="CESI黑体-GB2312"/>
          <w:color w:val="000000"/>
          <w:sz w:val="32"/>
          <w:szCs w:val="32"/>
        </w:rPr>
      </w:pPr>
      <w:r>
        <w:rPr>
          <w:rFonts w:hint="eastAsia" w:ascii="CESI黑体-GB2312" w:hAnsi="CESI黑体-GB2312" w:eastAsia="CESI黑体-GB2312" w:cs="CESI黑体-GB2312"/>
          <w:color w:val="000000"/>
          <w:sz w:val="32"/>
          <w:szCs w:val="32"/>
        </w:rPr>
        <w:t xml:space="preserve"> </w:t>
      </w:r>
      <w:r>
        <w:rPr>
          <w:rFonts w:hint="eastAsia" w:ascii="CESI黑体-GB2312" w:hAnsi="CESI黑体-GB2312" w:eastAsia="CESI黑体-GB2312" w:cs="CESI黑体-GB2312"/>
          <w:color w:val="000000"/>
          <w:sz w:val="32"/>
          <w:szCs w:val="32"/>
        </w:rPr>
      </w:r>
      <w:r/>
    </w:p>
    <w:p>
      <w:pPr>
        <w:pStyle w:val="1147"/>
        <w:ind w:firstLine="300"/>
        <w:spacing w:line="360" w:lineRule="auto"/>
        <w:rPr>
          <w:color w:val="000000"/>
          <w:sz w:val="60"/>
          <w:szCs w:val="60"/>
        </w:rPr>
      </w:pPr>
      <w:r>
        <w:rPr>
          <w:color w:val="000000"/>
          <w:sz w:val="60"/>
          <w:szCs w:val="60"/>
        </w:rPr>
      </w:r>
      <w:r/>
    </w:p>
    <w:p>
      <w:pPr>
        <w:pStyle w:val="1147"/>
        <w:jc w:val="center"/>
        <w:rPr>
          <w:b/>
          <w:bCs/>
          <w:color w:val="000000"/>
          <w:sz w:val="60"/>
          <w:szCs w:val="60"/>
        </w:rPr>
      </w:pPr>
      <w:r>
        <w:rPr>
          <w:b/>
          <w:bCs/>
          <w:color w:val="000000"/>
          <w:sz w:val="60"/>
          <w:szCs w:val="60"/>
        </w:rPr>
        <w:t xml:space="preserve">常州市政府采购项目</w:t>
      </w:r>
      <w:r>
        <w:rPr>
          <w:b/>
          <w:bCs/>
          <w:color w:val="000000"/>
          <w:sz w:val="60"/>
          <w:szCs w:val="60"/>
        </w:rPr>
      </w:r>
      <w:r/>
    </w:p>
    <w:p>
      <w:pPr>
        <w:pStyle w:val="1147"/>
        <w:jc w:val="center"/>
        <w:rPr>
          <w:b/>
          <w:bCs/>
          <w:color w:val="000000"/>
          <w:sz w:val="60"/>
          <w:szCs w:val="60"/>
        </w:rPr>
      </w:pPr>
      <w:r>
        <w:rPr>
          <w:b/>
          <w:bCs/>
          <w:color w:val="000000"/>
          <w:sz w:val="60"/>
          <w:szCs w:val="60"/>
        </w:rPr>
        <w:t xml:space="preserve">竞争性磋商文件示范文本</w:t>
      </w:r>
      <w:r>
        <w:rPr>
          <w:b/>
          <w:bCs/>
          <w:color w:val="000000"/>
          <w:sz w:val="60"/>
          <w:szCs w:val="60"/>
        </w:rPr>
      </w:r>
      <w:r/>
    </w:p>
    <w:p>
      <w:pPr>
        <w:pStyle w:val="1147"/>
        <w:jc w:val="center"/>
        <w:spacing w:line="360" w:lineRule="auto"/>
        <w:rPr>
          <w:rFonts w:ascii="宋体" w:hAnsi="宋体"/>
          <w:b/>
          <w:bCs/>
          <w:color w:val="000000"/>
          <w:sz w:val="60"/>
          <w:szCs w:val="60"/>
        </w:rPr>
      </w:pPr>
      <w:r>
        <w:rPr>
          <w:rFonts w:hint="eastAsia" w:ascii="方正仿宋_GBK" w:hAnsi="方正仿宋_GBK" w:eastAsia="方正仿宋_GBK" w:cs="方正仿宋_GBK"/>
          <w:b/>
          <w:bCs/>
          <w:color w:val="000000"/>
          <w:sz w:val="60"/>
          <w:szCs w:val="60"/>
        </w:rPr>
        <w:t xml:space="preserve">（试行）（2022年版）</w:t>
      </w:r>
      <w:r>
        <w:rPr>
          <w:rFonts w:ascii="宋体" w:hAnsi="宋体"/>
          <w:b/>
          <w:bCs/>
          <w:color w:val="000000"/>
          <w:sz w:val="60"/>
          <w:szCs w:val="60"/>
        </w:rPr>
      </w:r>
      <w:r/>
    </w:p>
    <w:p>
      <w:pPr>
        <w:pStyle w:val="1147"/>
        <w:jc w:val="center"/>
        <w:spacing w:line="360" w:lineRule="auto"/>
        <w:rPr>
          <w:rFonts w:ascii="宋体" w:hAnsi="宋体"/>
          <w:b/>
          <w:bCs/>
          <w:color w:val="000000"/>
          <w:sz w:val="60"/>
          <w:szCs w:val="60"/>
        </w:rPr>
      </w:pPr>
      <w:r>
        <w:rPr>
          <w:rFonts w:ascii="宋体" w:hAnsi="宋体"/>
          <w:b/>
          <w:bCs/>
          <w:color w:val="000000"/>
          <w:sz w:val="60"/>
          <w:szCs w:val="60"/>
        </w:rPr>
      </w:r>
      <w:r/>
    </w:p>
    <w:p>
      <w:pPr>
        <w:pStyle w:val="1147"/>
        <w:jc w:val="left"/>
        <w:spacing w:line="360" w:lineRule="auto"/>
        <w:tabs>
          <w:tab w:val="left" w:pos="3240" w:leader="none"/>
          <w:tab w:val="left" w:pos="3420" w:leader="none"/>
        </w:tabs>
        <w:rPr>
          <w:rFonts w:ascii="Times New Roman" w:hAnsi="Times New Roman" w:eastAsia="宋体" w:cs="Times New Roman"/>
          <w:bCs/>
          <w:color w:val="000000"/>
          <w:sz w:val="36"/>
          <w:szCs w:val="36"/>
        </w:rPr>
      </w:pPr>
      <w:r>
        <w:rPr>
          <w:bCs/>
          <w:color w:val="000000"/>
          <w:sz w:val="36"/>
          <w:szCs w:val="36"/>
        </w:rPr>
        <w:t xml:space="preserve">项目名称：</w:t>
      </w:r>
      <w:r>
        <w:rPr>
          <w:rFonts w:hint="eastAsia" w:ascii="Times New Roman" w:hAnsi="Times New Roman" w:eastAsia="宋体" w:cs="Times New Roman"/>
          <w:bCs/>
          <w:color w:val="000000"/>
          <w:sz w:val="36"/>
          <w:szCs w:val="36"/>
          <w:lang w:eastAsia="zh-CN"/>
        </w:rPr>
        <w:t xml:space="preserve">东城街道2026年度零星工程项目</w:t>
      </w:r>
      <w:r>
        <w:rPr>
          <w:rFonts w:ascii="Times New Roman" w:hAnsi="Times New Roman" w:eastAsia="宋体" w:cs="Times New Roman"/>
          <w:bCs/>
          <w:color w:val="000000"/>
          <w:sz w:val="36"/>
          <w:szCs w:val="36"/>
        </w:rPr>
      </w:r>
      <w:r/>
    </w:p>
    <w:p>
      <w:pPr>
        <w:pStyle w:val="1147"/>
        <w:jc w:val="left"/>
        <w:spacing w:line="360" w:lineRule="auto"/>
        <w:tabs>
          <w:tab w:val="left" w:pos="3240" w:leader="none"/>
          <w:tab w:val="left" w:pos="3420" w:leader="none"/>
        </w:tabs>
        <w:rPr>
          <w:rFonts w:hint="eastAsia" w:ascii="Times New Roman" w:hAnsi="Times New Roman" w:eastAsia="宋体" w:cs="Times New Roman"/>
          <w:bCs/>
          <w:color w:val="000000"/>
          <w:sz w:val="36"/>
          <w:szCs w:val="36"/>
          <w:lang w:eastAsia="zh-CN"/>
        </w:rPr>
      </w:pPr>
      <w:r>
        <w:rPr>
          <w:rFonts w:ascii="Times New Roman" w:hAnsi="Times New Roman" w:eastAsia="宋体" w:cs="Times New Roman"/>
          <w:bCs/>
          <w:color w:val="000000"/>
          <w:sz w:val="36"/>
          <w:szCs w:val="36"/>
        </w:rPr>
        <w:t xml:space="preserve">项目编号</w:t>
      </w:r>
      <w:r>
        <w:rPr>
          <w:rFonts w:hint="eastAsia" w:ascii="Times New Roman" w:hAnsi="Times New Roman" w:eastAsia="宋体" w:cs="Times New Roman"/>
          <w:bCs/>
          <w:color w:val="000000"/>
          <w:sz w:val="36"/>
          <w:szCs w:val="36"/>
          <w:lang w:eastAsia="zh-CN"/>
        </w:rPr>
        <w:t xml:space="preserve">/包</w:t>
      </w:r>
      <w:r>
        <w:rPr>
          <w:rFonts w:hint="eastAsia" w:ascii="Times New Roman" w:hAnsi="Times New Roman" w:eastAsia="宋体" w:cs="Times New Roman"/>
          <w:bCs/>
          <w:color w:val="000000"/>
          <w:sz w:val="36"/>
          <w:szCs w:val="36"/>
          <w:lang w:eastAsia="zh-CN"/>
        </w:rPr>
        <w:t xml:space="preserve">号：JSZC-320413099-CZMY-C2026-0004  </w:t>
      </w:r>
      <w:r>
        <w:rPr>
          <w:rFonts w:hint="eastAsia" w:ascii="Times New Roman" w:hAnsi="Times New Roman" w:eastAsia="宋体" w:cs="Times New Roman"/>
          <w:bCs/>
          <w:color w:val="000000"/>
          <w:sz w:val="36"/>
          <w:szCs w:val="36"/>
          <w:lang w:eastAsia="zh-CN"/>
        </w:rPr>
        <w:t xml:space="preserve"> </w:t>
      </w:r>
      <w:r>
        <w:rPr>
          <w:rFonts w:hint="eastAsia" w:ascii="Times New Roman" w:hAnsi="Times New Roman" w:eastAsia="宋体" w:cs="Times New Roman"/>
          <w:bCs/>
          <w:color w:val="000000"/>
          <w:sz w:val="36"/>
          <w:szCs w:val="36"/>
          <w:lang w:eastAsia="zh-CN"/>
        </w:rPr>
      </w:r>
      <w:r/>
    </w:p>
    <w:p>
      <w:pPr>
        <w:pStyle w:val="1147"/>
        <w:jc w:val="left"/>
        <w:spacing w:line="360" w:lineRule="auto"/>
        <w:tabs>
          <w:tab w:val="left" w:pos="3240" w:leader="none"/>
          <w:tab w:val="left" w:pos="3420" w:leader="none"/>
        </w:tabs>
        <w:rPr>
          <w:rFonts w:hint="eastAsia" w:ascii="Times New Roman" w:hAnsi="Times New Roman" w:eastAsia="宋体" w:cs="Times New Roman"/>
          <w:bCs/>
          <w:color w:val="000000"/>
          <w:sz w:val="36"/>
          <w:szCs w:val="36"/>
          <w:lang w:eastAsia="zh-CN"/>
        </w:rPr>
      </w:pPr>
      <w:r>
        <w:rPr>
          <w:rFonts w:hint="eastAsia" w:ascii="Times New Roman" w:hAnsi="Times New Roman" w:eastAsia="宋体" w:cs="Times New Roman"/>
          <w:bCs/>
          <w:color w:val="000000"/>
          <w:sz w:val="36"/>
          <w:szCs w:val="36"/>
          <w:lang w:eastAsia="zh-CN"/>
        </w:rPr>
        <w:t xml:space="preserve">采</w:t>
      </w:r>
      <w:r>
        <w:rPr>
          <w:rFonts w:hint="eastAsia" w:ascii="Times New Roman" w:hAnsi="Times New Roman" w:eastAsia="宋体" w:cs="Times New Roman"/>
          <w:bCs/>
          <w:color w:val="000000"/>
          <w:sz w:val="36"/>
          <w:szCs w:val="36"/>
          <w:lang w:val="en-US" w:eastAsia="zh-CN"/>
        </w:rPr>
        <w:t xml:space="preserve"> </w:t>
      </w:r>
      <w:r>
        <w:rPr>
          <w:rFonts w:hint="eastAsia" w:ascii="Times New Roman" w:hAnsi="Times New Roman" w:eastAsia="宋体" w:cs="Times New Roman"/>
          <w:bCs/>
          <w:color w:val="000000"/>
          <w:sz w:val="36"/>
          <w:szCs w:val="36"/>
          <w:lang w:eastAsia="zh-CN"/>
        </w:rPr>
        <w:t xml:space="preserve">购</w:t>
      </w:r>
      <w:r>
        <w:rPr>
          <w:rFonts w:hint="eastAsia" w:ascii="Times New Roman" w:hAnsi="Times New Roman" w:eastAsia="宋体" w:cs="Times New Roman"/>
          <w:bCs/>
          <w:color w:val="000000"/>
          <w:sz w:val="36"/>
          <w:szCs w:val="36"/>
          <w:lang w:val="en-US" w:eastAsia="zh-CN"/>
        </w:rPr>
        <w:t xml:space="preserve"> </w:t>
      </w:r>
      <w:r>
        <w:rPr>
          <w:rFonts w:hint="eastAsia" w:ascii="Times New Roman" w:hAnsi="Times New Roman" w:eastAsia="宋体" w:cs="Times New Roman"/>
          <w:bCs/>
          <w:color w:val="000000"/>
          <w:sz w:val="36"/>
          <w:szCs w:val="36"/>
          <w:lang w:eastAsia="zh-CN"/>
        </w:rPr>
        <w:t xml:space="preserve">人：常州市金坛区东城街道办事处</w:t>
      </w:r>
      <w:r>
        <w:rPr>
          <w:rFonts w:hint="eastAsia" w:ascii="Times New Roman" w:hAnsi="Times New Roman" w:eastAsia="宋体" w:cs="Times New Roman"/>
          <w:bCs/>
          <w:color w:val="000000"/>
          <w:sz w:val="36"/>
          <w:szCs w:val="36"/>
          <w:lang w:eastAsia="zh-CN"/>
        </w:rPr>
      </w:r>
      <w:r/>
    </w:p>
    <w:p>
      <w:pPr>
        <w:pStyle w:val="1147"/>
        <w:jc w:val="left"/>
        <w:spacing w:line="360" w:lineRule="auto"/>
        <w:tabs>
          <w:tab w:val="left" w:pos="3240" w:leader="none"/>
          <w:tab w:val="left" w:pos="3420" w:leader="none"/>
        </w:tabs>
        <w:rPr>
          <w:bCs/>
          <w:color w:val="000000"/>
          <w:sz w:val="36"/>
          <w:szCs w:val="36"/>
        </w:rPr>
      </w:pPr>
      <w:r>
        <w:rPr>
          <w:rFonts w:hint="eastAsia"/>
          <w:bCs/>
          <w:color w:val="000000"/>
          <w:sz w:val="36"/>
          <w:szCs w:val="36"/>
        </w:rPr>
        <w:t xml:space="preserve">采购</w:t>
      </w:r>
      <w:r>
        <w:rPr>
          <w:bCs/>
          <w:color w:val="000000"/>
          <w:sz w:val="36"/>
          <w:szCs w:val="36"/>
        </w:rPr>
        <w:t xml:space="preserve">代理机构：</w:t>
      </w:r>
      <w:r>
        <w:rPr>
          <w:rFonts w:hint="eastAsia"/>
          <w:bCs/>
          <w:color w:val="000000"/>
          <w:sz w:val="36"/>
          <w:szCs w:val="36"/>
        </w:rPr>
        <w:t xml:space="preserve">常州名源全过程工程咨询有限公司</w:t>
      </w:r>
      <w:r>
        <w:rPr>
          <w:bCs/>
          <w:color w:val="000000"/>
          <w:sz w:val="36"/>
          <w:szCs w:val="36"/>
        </w:rPr>
        <w:t xml:space="preserve"> </w:t>
      </w:r>
      <w:r>
        <w:rPr>
          <w:bCs/>
          <w:color w:val="000000"/>
          <w:sz w:val="36"/>
          <w:szCs w:val="36"/>
        </w:rPr>
      </w:r>
      <w:r/>
    </w:p>
    <w:p>
      <w:pPr>
        <w:pStyle w:val="1147"/>
        <w:jc w:val="center"/>
        <w:widowControl/>
        <w:rPr>
          <w:b/>
          <w:color w:val="000000"/>
          <w:sz w:val="36"/>
          <w:szCs w:val="36"/>
        </w:rPr>
      </w:pPr>
      <w:r>
        <w:rPr>
          <w:b/>
          <w:bCs/>
          <w:color w:val="000000"/>
          <w:sz w:val="44"/>
        </w:rPr>
        <w:br w:type="page" w:clear="all"/>
      </w:r>
      <w:bookmarkStart w:id="0" w:name="_Toc104818924"/>
      <w:r>
        <w:rPr>
          <w:rFonts w:hint="eastAsia"/>
          <w:b/>
          <w:color w:val="000000"/>
          <w:sz w:val="36"/>
          <w:szCs w:val="36"/>
        </w:rPr>
        <w:t xml:space="preserve">目</w:t>
      </w:r>
      <w:r>
        <w:rPr>
          <w:b/>
          <w:color w:val="000000"/>
          <w:sz w:val="36"/>
          <w:szCs w:val="36"/>
        </w:rPr>
        <w:t xml:space="preserve">      </w:t>
      </w:r>
      <w:r>
        <w:rPr>
          <w:rFonts w:hint="eastAsia"/>
          <w:b/>
          <w:color w:val="000000"/>
          <w:sz w:val="36"/>
          <w:szCs w:val="36"/>
        </w:rPr>
        <w:t xml:space="preserve">录</w:t>
      </w:r>
      <w:bookmarkEnd w:id="0"/>
      <w:r>
        <w:rPr>
          <w:b/>
          <w:color w:val="000000"/>
          <w:sz w:val="36"/>
          <w:szCs w:val="36"/>
        </w:rPr>
      </w:r>
      <w:r/>
    </w:p>
    <w:p>
      <w:pPr>
        <w:pStyle w:val="1147"/>
        <w:rPr>
          <w:color w:val="000000"/>
        </w:rPr>
      </w:pPr>
      <w:r>
        <w:rPr>
          <w:color w:val="000000"/>
        </w:rPr>
      </w:r>
      <w:r/>
    </w:p>
    <w:p>
      <w:pPr>
        <w:pStyle w:val="1199"/>
        <w:tabs>
          <w:tab w:val="left" w:pos="1050" w:leader="none"/>
          <w:tab w:val="right" w:pos="8937" w:leader="dot"/>
        </w:tabs>
        <w:rPr>
          <w:rFonts w:ascii="Calibri" w:hAnsi="Calibri"/>
          <w:b w:val="0"/>
          <w:color w:val="000000"/>
          <w:sz w:val="21"/>
          <w:szCs w:val="22"/>
        </w:rPr>
      </w:pPr>
      <w:r>
        <w:rPr>
          <w:rFonts w:ascii="Times New Roman" w:hAnsi="Times New Roman"/>
          <w:b w:val="0"/>
          <w:color w:val="000000"/>
        </w:rPr>
        <w:fldChar w:fldCharType="begin"/>
      </w:r>
      <w:r>
        <w:rPr>
          <w:rFonts w:ascii="Times New Roman" w:hAnsi="Times New Roman"/>
          <w:b w:val="0"/>
          <w:color w:val="000000"/>
        </w:rPr>
        <w:instrText xml:space="preserve"> TOC \o "1-1" \h \z \u </w:instrText>
      </w:r>
      <w:r>
        <w:rPr>
          <w:rFonts w:ascii="Times New Roman" w:hAnsi="Times New Roman"/>
          <w:b w:val="0"/>
          <w:color w:val="000000"/>
        </w:rPr>
        <w:fldChar w:fldCharType="separate"/>
      </w:r>
      <w:r>
        <w:rPr>
          <w:rFonts w:ascii="Calibri" w:hAnsi="Calibri"/>
          <w:b w:val="0"/>
          <w:color w:val="000000"/>
          <w:sz w:val="21"/>
          <w:szCs w:val="22"/>
        </w:rPr>
      </w:r>
      <w:r/>
    </w:p>
    <w:p>
      <w:pPr>
        <w:pStyle w:val="1199"/>
        <w:spacing w:line="480" w:lineRule="auto"/>
        <w:tabs>
          <w:tab w:val="left" w:pos="1050" w:leader="none"/>
          <w:tab w:val="right" w:pos="8937" w:leader="dot"/>
        </w:tabs>
        <w:rPr>
          <w:rFonts w:ascii="Calibri" w:hAnsi="Calibri"/>
          <w:b w:val="0"/>
          <w:color w:val="000000"/>
          <w:sz w:val="21"/>
          <w:szCs w:val="22"/>
        </w:rPr>
      </w:pPr>
      <w:r>
        <w:rPr>
          <w:rStyle w:val="1222"/>
          <w:color w:val="000000"/>
        </w:rPr>
        <w:fldChar w:fldCharType="begin"/>
      </w:r>
      <w:r>
        <w:rPr>
          <w:rStyle w:val="1222"/>
          <w:color w:val="000000"/>
        </w:rPr>
        <w:instrText xml:space="preserve"> </w:instrText>
      </w:r>
      <w:r>
        <w:rPr>
          <w:color w:val="000000"/>
        </w:rPr>
        <w:instrText xml:space="preserve">HYPERLINK \l "_Toc104818925"</w:instrText>
      </w:r>
      <w:r>
        <w:rPr>
          <w:rStyle w:val="1222"/>
          <w:color w:val="000000"/>
        </w:rPr>
        <w:instrText xml:space="preserve"> </w:instrText>
      </w:r>
      <w:r>
        <w:rPr>
          <w:rStyle w:val="1222"/>
          <w:color w:val="000000"/>
        </w:rPr>
        <w:fldChar w:fldCharType="separate"/>
      </w:r>
      <w:r>
        <w:rPr>
          <w:rStyle w:val="1222"/>
          <w:rFonts w:hint="eastAsia"/>
          <w:color w:val="000000"/>
        </w:rPr>
        <w:t xml:space="preserve">第一章</w:t>
      </w:r>
      <w:r>
        <w:rPr>
          <w:rStyle w:val="1222"/>
          <w:color w:val="000000"/>
        </w:rPr>
        <w:t xml:space="preserve">   </w:t>
      </w:r>
      <w:r>
        <w:rPr>
          <w:rStyle w:val="1222"/>
          <w:rFonts w:hint="eastAsia"/>
          <w:color w:val="000000"/>
        </w:rPr>
        <w:t xml:space="preserve">采购邀请</w:t>
      </w:r>
      <w:r>
        <w:rPr>
          <w:color w:val="000000"/>
        </w:rPr>
        <w:tab/>
      </w:r>
      <w:r>
        <w:rPr>
          <w:color w:val="000000"/>
        </w:rPr>
        <w:fldChar w:fldCharType="begin"/>
      </w:r>
      <w:r>
        <w:rPr>
          <w:color w:val="000000"/>
        </w:rPr>
        <w:instrText xml:space="preserve"> PAGEREF _Toc104818925 \h </w:instrText>
      </w:r>
      <w:r>
        <w:rPr>
          <w:color w:val="000000"/>
        </w:rPr>
        <w:fldChar w:fldCharType="separate"/>
      </w:r>
      <w:r>
        <w:rPr>
          <w:color w:val="000000"/>
        </w:rPr>
        <w:t xml:space="preserve">6</w:t>
      </w:r>
      <w:r>
        <w:rPr>
          <w:color w:val="000000"/>
        </w:rPr>
        <w:fldChar w:fldCharType="end"/>
      </w:r>
      <w:r>
        <w:rPr>
          <w:rStyle w:val="1222"/>
          <w:color w:val="000000"/>
        </w:rPr>
        <w:fldChar w:fldCharType="end"/>
      </w:r>
      <w:r>
        <w:rPr>
          <w:rFonts w:ascii="Calibri" w:hAnsi="Calibri"/>
          <w:b w:val="0"/>
          <w:color w:val="000000"/>
          <w:sz w:val="21"/>
          <w:szCs w:val="22"/>
        </w:rPr>
      </w:r>
      <w:r/>
    </w:p>
    <w:p>
      <w:pPr>
        <w:pStyle w:val="1199"/>
        <w:spacing w:line="480" w:lineRule="auto"/>
        <w:tabs>
          <w:tab w:val="left" w:pos="1050" w:leader="none"/>
          <w:tab w:val="right" w:pos="8937" w:leader="dot"/>
        </w:tabs>
        <w:rPr>
          <w:rFonts w:ascii="Calibri" w:hAnsi="Calibri"/>
          <w:b w:val="0"/>
          <w:color w:val="000000"/>
          <w:sz w:val="21"/>
          <w:szCs w:val="22"/>
        </w:rPr>
      </w:pPr>
      <w:r>
        <w:rPr>
          <w:rStyle w:val="1222"/>
          <w:color w:val="000000"/>
        </w:rPr>
        <w:fldChar w:fldCharType="begin"/>
      </w:r>
      <w:r>
        <w:rPr>
          <w:rStyle w:val="1222"/>
          <w:color w:val="000000"/>
        </w:rPr>
        <w:instrText xml:space="preserve"> </w:instrText>
      </w:r>
      <w:r>
        <w:rPr>
          <w:color w:val="000000"/>
        </w:rPr>
        <w:instrText xml:space="preserve">HYPERLINK \l "_Toc104818926"</w:instrText>
      </w:r>
      <w:r>
        <w:rPr>
          <w:rStyle w:val="1222"/>
          <w:color w:val="000000"/>
        </w:rPr>
        <w:instrText xml:space="preserve"> </w:instrText>
      </w:r>
      <w:r>
        <w:rPr>
          <w:rStyle w:val="1222"/>
          <w:color w:val="000000"/>
        </w:rPr>
        <w:fldChar w:fldCharType="separate"/>
      </w:r>
      <w:r>
        <w:rPr>
          <w:rStyle w:val="1222"/>
          <w:rFonts w:hint="eastAsia"/>
          <w:color w:val="000000"/>
        </w:rPr>
        <w:t xml:space="preserve">第二章</w:t>
      </w:r>
      <w:r>
        <w:rPr>
          <w:rStyle w:val="1222"/>
          <w:color w:val="000000"/>
        </w:rPr>
        <w:t xml:space="preserve">   </w:t>
      </w:r>
      <w:r>
        <w:rPr>
          <w:rStyle w:val="1222"/>
          <w:rFonts w:hint="eastAsia"/>
          <w:color w:val="000000"/>
        </w:rPr>
        <w:t xml:space="preserve">供应商须知</w:t>
      </w:r>
      <w:r>
        <w:rPr>
          <w:color w:val="000000"/>
        </w:rPr>
        <w:tab/>
      </w:r>
      <w:r>
        <w:rPr>
          <w:color w:val="000000"/>
        </w:rPr>
        <w:fldChar w:fldCharType="begin"/>
      </w:r>
      <w:r>
        <w:rPr>
          <w:color w:val="000000"/>
        </w:rPr>
        <w:instrText xml:space="preserve"> PAGEREF _Toc104818926 \h </w:instrText>
      </w:r>
      <w:r>
        <w:rPr>
          <w:color w:val="000000"/>
        </w:rPr>
        <w:fldChar w:fldCharType="separate"/>
      </w:r>
      <w:r>
        <w:rPr>
          <w:color w:val="000000"/>
        </w:rPr>
        <w:t xml:space="preserve">10</w:t>
      </w:r>
      <w:r>
        <w:rPr>
          <w:color w:val="000000"/>
        </w:rPr>
        <w:fldChar w:fldCharType="end"/>
      </w:r>
      <w:r>
        <w:rPr>
          <w:rStyle w:val="1222"/>
          <w:color w:val="000000"/>
        </w:rPr>
        <w:fldChar w:fldCharType="end"/>
      </w:r>
      <w:r>
        <w:rPr>
          <w:rFonts w:ascii="Calibri" w:hAnsi="Calibri"/>
          <w:b w:val="0"/>
          <w:color w:val="000000"/>
          <w:sz w:val="21"/>
          <w:szCs w:val="22"/>
        </w:rPr>
      </w:r>
      <w:r/>
    </w:p>
    <w:p>
      <w:pPr>
        <w:pStyle w:val="1199"/>
        <w:spacing w:line="480" w:lineRule="auto"/>
        <w:tabs>
          <w:tab w:val="left" w:pos="1050" w:leader="none"/>
          <w:tab w:val="right" w:pos="8937" w:leader="dot"/>
        </w:tabs>
        <w:rPr>
          <w:rFonts w:ascii="Calibri" w:hAnsi="Calibri"/>
          <w:b w:val="0"/>
          <w:color w:val="000000"/>
          <w:sz w:val="21"/>
          <w:szCs w:val="22"/>
        </w:rPr>
      </w:pPr>
      <w:r>
        <w:rPr>
          <w:rStyle w:val="1222"/>
          <w:color w:val="000000"/>
        </w:rPr>
        <w:fldChar w:fldCharType="begin"/>
      </w:r>
      <w:r>
        <w:rPr>
          <w:rStyle w:val="1222"/>
          <w:color w:val="000000"/>
        </w:rPr>
        <w:instrText xml:space="preserve"> </w:instrText>
      </w:r>
      <w:r>
        <w:rPr>
          <w:color w:val="000000"/>
        </w:rPr>
        <w:instrText xml:space="preserve">HYPERLINK \l "_Toc104818927"</w:instrText>
      </w:r>
      <w:r>
        <w:rPr>
          <w:rStyle w:val="1222"/>
          <w:color w:val="000000"/>
        </w:rPr>
        <w:instrText xml:space="preserve"> </w:instrText>
      </w:r>
      <w:r>
        <w:rPr>
          <w:rStyle w:val="1222"/>
          <w:color w:val="000000"/>
        </w:rPr>
        <w:fldChar w:fldCharType="separate"/>
      </w:r>
      <w:r>
        <w:rPr>
          <w:rStyle w:val="1222"/>
          <w:rFonts w:hint="eastAsia"/>
          <w:color w:val="000000"/>
        </w:rPr>
        <w:t xml:space="preserve">第三章</w:t>
      </w:r>
      <w:r>
        <w:rPr>
          <w:rStyle w:val="1222"/>
          <w:color w:val="000000"/>
        </w:rPr>
        <w:t xml:space="preserve">   </w:t>
      </w:r>
      <w:r>
        <w:rPr>
          <w:rStyle w:val="1222"/>
          <w:rFonts w:hint="eastAsia"/>
          <w:color w:val="000000"/>
        </w:rPr>
        <w:t xml:space="preserve">评审程序、评审方法和评审标准</w:t>
      </w:r>
      <w:r>
        <w:rPr>
          <w:color w:val="000000"/>
        </w:rPr>
        <w:tab/>
      </w:r>
      <w:r>
        <w:rPr>
          <w:color w:val="000000"/>
        </w:rPr>
        <w:fldChar w:fldCharType="begin"/>
      </w:r>
      <w:r>
        <w:rPr>
          <w:color w:val="000000"/>
        </w:rPr>
        <w:instrText xml:space="preserve"> PAGEREF _Toc104818927 \h </w:instrText>
      </w:r>
      <w:r>
        <w:rPr>
          <w:color w:val="000000"/>
        </w:rPr>
        <w:fldChar w:fldCharType="separate"/>
      </w:r>
      <w:r>
        <w:rPr>
          <w:color w:val="000000"/>
        </w:rPr>
        <w:t xml:space="preserve">24</w:t>
      </w:r>
      <w:r>
        <w:rPr>
          <w:color w:val="000000"/>
        </w:rPr>
        <w:fldChar w:fldCharType="end"/>
      </w:r>
      <w:r>
        <w:rPr>
          <w:rStyle w:val="1222"/>
          <w:color w:val="000000"/>
        </w:rPr>
        <w:fldChar w:fldCharType="end"/>
      </w:r>
      <w:r>
        <w:rPr>
          <w:rFonts w:ascii="Calibri" w:hAnsi="Calibri"/>
          <w:b w:val="0"/>
          <w:color w:val="000000"/>
          <w:sz w:val="21"/>
          <w:szCs w:val="22"/>
        </w:rPr>
      </w:r>
      <w:r/>
    </w:p>
    <w:p>
      <w:pPr>
        <w:pStyle w:val="1199"/>
        <w:spacing w:line="480" w:lineRule="auto"/>
        <w:tabs>
          <w:tab w:val="left" w:pos="1050" w:leader="none"/>
          <w:tab w:val="right" w:pos="8937" w:leader="dot"/>
        </w:tabs>
        <w:rPr>
          <w:rFonts w:ascii="Calibri" w:hAnsi="Calibri"/>
          <w:b w:val="0"/>
          <w:color w:val="000000"/>
          <w:sz w:val="21"/>
          <w:szCs w:val="22"/>
        </w:rPr>
      </w:pPr>
      <w:r>
        <w:rPr>
          <w:rStyle w:val="1222"/>
          <w:color w:val="000000"/>
        </w:rPr>
        <w:fldChar w:fldCharType="begin"/>
      </w:r>
      <w:r>
        <w:rPr>
          <w:rStyle w:val="1222"/>
          <w:color w:val="000000"/>
        </w:rPr>
        <w:instrText xml:space="preserve"> </w:instrText>
      </w:r>
      <w:r>
        <w:rPr>
          <w:color w:val="000000"/>
        </w:rPr>
        <w:instrText xml:space="preserve">HYPERLINK \l "_Toc104818928"</w:instrText>
      </w:r>
      <w:r>
        <w:rPr>
          <w:rStyle w:val="1222"/>
          <w:color w:val="000000"/>
        </w:rPr>
        <w:instrText xml:space="preserve"> </w:instrText>
      </w:r>
      <w:r>
        <w:rPr>
          <w:rStyle w:val="1222"/>
          <w:color w:val="000000"/>
        </w:rPr>
        <w:fldChar w:fldCharType="separate"/>
      </w:r>
      <w:r>
        <w:rPr>
          <w:rStyle w:val="1222"/>
          <w:rFonts w:hint="eastAsia"/>
          <w:color w:val="000000"/>
        </w:rPr>
        <w:t xml:space="preserve">第四章</w:t>
      </w:r>
      <w:r>
        <w:rPr>
          <w:rStyle w:val="1222"/>
          <w:color w:val="000000"/>
        </w:rPr>
        <w:t xml:space="preserve">   </w:t>
      </w:r>
      <w:r>
        <w:rPr>
          <w:rStyle w:val="1222"/>
          <w:rFonts w:hint="eastAsia"/>
          <w:color w:val="000000"/>
        </w:rPr>
        <w:t xml:space="preserve">采购需求</w:t>
      </w:r>
      <w:r>
        <w:rPr>
          <w:color w:val="000000"/>
        </w:rPr>
        <w:tab/>
      </w:r>
      <w:r>
        <w:rPr>
          <w:color w:val="000000"/>
        </w:rPr>
        <w:fldChar w:fldCharType="begin"/>
      </w:r>
      <w:r>
        <w:rPr>
          <w:color w:val="000000"/>
        </w:rPr>
        <w:instrText xml:space="preserve"> PAGEREF _Toc104818928 \h </w:instrText>
      </w:r>
      <w:r>
        <w:rPr>
          <w:color w:val="000000"/>
        </w:rPr>
        <w:fldChar w:fldCharType="separate"/>
      </w:r>
      <w:r>
        <w:rPr>
          <w:color w:val="000000"/>
        </w:rPr>
        <w:t xml:space="preserve">37</w:t>
      </w:r>
      <w:r>
        <w:rPr>
          <w:color w:val="000000"/>
        </w:rPr>
        <w:fldChar w:fldCharType="end"/>
      </w:r>
      <w:r>
        <w:rPr>
          <w:rStyle w:val="1222"/>
          <w:color w:val="000000"/>
        </w:rPr>
        <w:fldChar w:fldCharType="end"/>
      </w:r>
      <w:r>
        <w:rPr>
          <w:rFonts w:ascii="Calibri" w:hAnsi="Calibri"/>
          <w:b w:val="0"/>
          <w:color w:val="000000"/>
          <w:sz w:val="21"/>
          <w:szCs w:val="22"/>
        </w:rPr>
      </w:r>
      <w:r/>
    </w:p>
    <w:p>
      <w:pPr>
        <w:pStyle w:val="1199"/>
        <w:spacing w:line="480" w:lineRule="auto"/>
        <w:tabs>
          <w:tab w:val="left" w:pos="1050" w:leader="none"/>
          <w:tab w:val="right" w:pos="8937" w:leader="dot"/>
        </w:tabs>
        <w:rPr>
          <w:rFonts w:hint="eastAsia" w:ascii="Calibri" w:hAnsi="Calibri" w:eastAsia="宋体"/>
          <w:b w:val="0"/>
          <w:color w:val="000000"/>
          <w:sz w:val="21"/>
          <w:szCs w:val="22"/>
          <w:lang w:val="en-US" w:eastAsia="zh-CN"/>
        </w:rPr>
      </w:pPr>
      <w:r>
        <w:rPr>
          <w:rStyle w:val="1222"/>
          <w:color w:val="000000"/>
        </w:rPr>
        <w:fldChar w:fldCharType="begin"/>
      </w:r>
      <w:r>
        <w:rPr>
          <w:rStyle w:val="1222"/>
          <w:color w:val="000000"/>
        </w:rPr>
        <w:instrText xml:space="preserve"> </w:instrText>
      </w:r>
      <w:r>
        <w:rPr>
          <w:color w:val="000000"/>
        </w:rPr>
        <w:instrText xml:space="preserve">HYPERLINK \l "_Toc104818929"</w:instrText>
      </w:r>
      <w:r>
        <w:rPr>
          <w:rStyle w:val="1222"/>
          <w:color w:val="000000"/>
        </w:rPr>
        <w:instrText xml:space="preserve"> </w:instrText>
      </w:r>
      <w:r>
        <w:rPr>
          <w:rStyle w:val="1222"/>
          <w:color w:val="000000"/>
        </w:rPr>
        <w:fldChar w:fldCharType="separate"/>
      </w:r>
      <w:r>
        <w:rPr>
          <w:rStyle w:val="1222"/>
          <w:rFonts w:hint="eastAsia"/>
          <w:color w:val="000000"/>
        </w:rPr>
        <w:t xml:space="preserve">第五章</w:t>
      </w:r>
      <w:r>
        <w:rPr>
          <w:rStyle w:val="1222"/>
          <w:color w:val="000000"/>
        </w:rPr>
        <w:t xml:space="preserve">   </w:t>
      </w:r>
      <w:r>
        <w:rPr>
          <w:rStyle w:val="1222"/>
          <w:rFonts w:hint="eastAsia"/>
          <w:color w:val="000000"/>
        </w:rPr>
        <w:t xml:space="preserve">合同草案条款</w:t>
      </w:r>
      <w:r>
        <w:rPr>
          <w:color w:val="000000"/>
        </w:rPr>
        <w:tab/>
      </w:r>
      <w:r>
        <w:rPr>
          <w:rFonts w:hint="eastAsia"/>
          <w:color w:val="000000"/>
          <w:lang w:val="en-US" w:eastAsia="zh-CN"/>
        </w:rPr>
        <w:t xml:space="preserve">4</w:t>
      </w:r>
      <w:r>
        <w:rPr>
          <w:rStyle w:val="1222"/>
          <w:color w:val="000000"/>
        </w:rPr>
        <w:fldChar w:fldCharType="end"/>
      </w:r>
      <w:r>
        <w:rPr>
          <w:rStyle w:val="1222"/>
          <w:rFonts w:hint="eastAsia"/>
          <w:color w:val="000000"/>
          <w:lang w:val="en-US" w:eastAsia="zh-CN"/>
        </w:rPr>
        <w:t xml:space="preserve">6</w:t>
      </w:r>
      <w:r>
        <w:rPr>
          <w:rFonts w:hint="eastAsia" w:ascii="Calibri" w:hAnsi="Calibri" w:eastAsia="宋体"/>
          <w:b w:val="0"/>
          <w:color w:val="000000"/>
          <w:sz w:val="21"/>
          <w:szCs w:val="22"/>
          <w:lang w:val="en-US" w:eastAsia="zh-CN"/>
        </w:rPr>
      </w:r>
      <w:r/>
    </w:p>
    <w:p>
      <w:pPr>
        <w:pStyle w:val="1199"/>
        <w:spacing w:line="480" w:lineRule="auto"/>
        <w:tabs>
          <w:tab w:val="left" w:pos="1050" w:leader="none"/>
          <w:tab w:val="right" w:pos="8937" w:leader="dot"/>
        </w:tabs>
        <w:rPr>
          <w:rFonts w:hint="eastAsia" w:ascii="Calibri" w:hAnsi="Calibri" w:eastAsia="宋体"/>
          <w:b w:val="0"/>
          <w:color w:val="000000"/>
          <w:sz w:val="21"/>
          <w:szCs w:val="22"/>
          <w:lang w:val="en-US" w:eastAsia="zh-CN"/>
        </w:rPr>
      </w:pPr>
      <w:r>
        <w:rPr>
          <w:rStyle w:val="1222"/>
          <w:color w:val="000000"/>
        </w:rPr>
        <w:fldChar w:fldCharType="begin"/>
      </w:r>
      <w:r>
        <w:rPr>
          <w:rStyle w:val="1222"/>
          <w:color w:val="000000"/>
        </w:rPr>
        <w:instrText xml:space="preserve"> </w:instrText>
      </w:r>
      <w:r>
        <w:rPr>
          <w:color w:val="000000"/>
        </w:rPr>
        <w:instrText xml:space="preserve">HYPERLINK \l "_Toc104818930"</w:instrText>
      </w:r>
      <w:r>
        <w:rPr>
          <w:rStyle w:val="1222"/>
          <w:color w:val="000000"/>
        </w:rPr>
        <w:instrText xml:space="preserve"> </w:instrText>
      </w:r>
      <w:r>
        <w:rPr>
          <w:rStyle w:val="1222"/>
          <w:color w:val="000000"/>
        </w:rPr>
        <w:fldChar w:fldCharType="separate"/>
      </w:r>
      <w:r>
        <w:rPr>
          <w:rStyle w:val="1222"/>
          <w:rFonts w:hint="eastAsia"/>
          <w:color w:val="000000"/>
        </w:rPr>
        <w:t xml:space="preserve">第六章</w:t>
      </w:r>
      <w:r>
        <w:rPr>
          <w:rStyle w:val="1222"/>
          <w:color w:val="000000"/>
        </w:rPr>
        <w:t xml:space="preserve">   </w:t>
      </w:r>
      <w:r>
        <w:rPr>
          <w:rStyle w:val="1222"/>
          <w:rFonts w:hint="eastAsia"/>
          <w:color w:val="000000"/>
        </w:rPr>
        <w:t xml:space="preserve">响应文件格式</w:t>
      </w:r>
      <w:r>
        <w:rPr>
          <w:color w:val="000000"/>
        </w:rPr>
        <w:tab/>
      </w:r>
      <w:r>
        <w:rPr>
          <w:rFonts w:hint="eastAsia"/>
          <w:color w:val="000000"/>
          <w:lang w:val="en-US" w:eastAsia="zh-CN"/>
        </w:rPr>
        <w:t xml:space="preserve">5</w:t>
      </w:r>
      <w:r>
        <w:rPr>
          <w:rStyle w:val="1222"/>
          <w:color w:val="000000"/>
        </w:rPr>
        <w:fldChar w:fldCharType="end"/>
      </w:r>
      <w:r>
        <w:rPr>
          <w:rStyle w:val="1222"/>
          <w:rFonts w:hint="eastAsia"/>
          <w:color w:val="000000"/>
          <w:lang w:val="en-US" w:eastAsia="zh-CN"/>
        </w:rPr>
        <w:t xml:space="preserve">8</w:t>
      </w:r>
      <w:r>
        <w:rPr>
          <w:rFonts w:hint="eastAsia" w:ascii="Calibri" w:hAnsi="Calibri" w:eastAsia="宋体"/>
          <w:b w:val="0"/>
          <w:color w:val="000000"/>
          <w:sz w:val="21"/>
          <w:szCs w:val="22"/>
          <w:lang w:val="en-US" w:eastAsia="zh-CN"/>
        </w:rPr>
      </w:r>
      <w:r/>
    </w:p>
    <w:p>
      <w:pPr>
        <w:pStyle w:val="1199"/>
        <w:spacing w:line="360" w:lineRule="auto"/>
        <w:tabs>
          <w:tab w:val="left" w:pos="1050" w:leader="none"/>
          <w:tab w:val="right" w:pos="8937" w:leader="dot"/>
        </w:tabs>
        <w:rPr>
          <w:rFonts w:ascii="Times New Roman" w:hAnsi="Times New Roman"/>
          <w:b w:val="0"/>
          <w:color w:val="000000"/>
        </w:rPr>
      </w:pPr>
      <w:r>
        <w:rPr>
          <w:rFonts w:ascii="Times New Roman" w:hAnsi="Times New Roman"/>
          <w:b w:val="0"/>
          <w:color w:val="000000"/>
        </w:rPr>
        <w:fldChar w:fldCharType="end"/>
      </w:r>
      <w:r>
        <w:rPr>
          <w:rFonts w:ascii="Times New Roman" w:hAnsi="Times New Roman"/>
          <w:b w:val="0"/>
          <w:color w:val="000000"/>
        </w:rPr>
      </w:r>
      <w:r/>
    </w:p>
    <w:p>
      <w:pPr>
        <w:pStyle w:val="1199"/>
        <w:spacing w:line="360" w:lineRule="auto"/>
        <w:tabs>
          <w:tab w:val="left" w:pos="1050" w:leader="none"/>
          <w:tab w:val="right" w:pos="8937" w:leader="dot"/>
        </w:tabs>
        <w:rPr>
          <w:b w:val="0"/>
          <w:color w:val="000000"/>
          <w:sz w:val="36"/>
          <w:szCs w:val="36"/>
        </w:rPr>
      </w:pPr>
      <w:r>
        <w:rPr>
          <w:b w:val="0"/>
          <w:color w:val="000000"/>
          <w:sz w:val="36"/>
          <w:szCs w:val="36"/>
        </w:rPr>
      </w:r>
      <w:r/>
    </w:p>
    <w:p>
      <w:pPr>
        <w:pStyle w:val="1147"/>
        <w:jc w:val="center"/>
        <w:spacing w:line="360" w:lineRule="auto"/>
        <w:rPr>
          <w:b/>
          <w:color w:val="000000"/>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color w:val="000000"/>
          <w:sz w:val="36"/>
          <w:szCs w:val="36"/>
        </w:rPr>
      </w:r>
      <w:r/>
    </w:p>
    <w:p>
      <w:pPr>
        <w:pStyle w:val="1147"/>
        <w:jc w:val="center"/>
        <w:spacing w:line="360" w:lineRule="auto"/>
        <w:rPr>
          <w:b/>
          <w:color w:val="000000"/>
          <w:sz w:val="36"/>
          <w:szCs w:val="36"/>
        </w:rPr>
        <w:outlineLvl w:val="0"/>
      </w:pPr>
      <w:r/>
      <w:bookmarkStart w:id="1" w:name="_Toc104818925"/>
      <w:r>
        <w:rPr>
          <w:b/>
          <w:color w:val="000000"/>
          <w:sz w:val="36"/>
          <w:szCs w:val="36"/>
        </w:rPr>
        <w:t xml:space="preserve">第一章   采购邀请</w:t>
      </w:r>
      <w:bookmarkEnd w:id="1"/>
      <w:r/>
      <w:bookmarkStart w:id="2" w:name="_Toc35393621"/>
      <w:r/>
      <w:bookmarkStart w:id="3" w:name="_Toc28359002"/>
      <w:r/>
      <w:bookmarkStart w:id="4" w:name="_Toc35393790"/>
      <w:r/>
      <w:bookmarkStart w:id="5" w:name="_Toc28359079"/>
      <w:r/>
      <w:bookmarkStart w:id="6" w:name="_Hlk24379207"/>
      <w:r>
        <w:rPr>
          <w:b/>
          <w:color w:val="000000"/>
          <w:sz w:val="36"/>
          <w:szCs w:val="36"/>
        </w:rPr>
      </w:r>
      <w:r/>
    </w:p>
    <w:p>
      <w:pPr>
        <w:pStyle w:val="1149"/>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一、项目基本情况</w:t>
      </w:r>
      <w:bookmarkEnd w:id="2"/>
      <w:r/>
      <w:bookmarkEnd w:id="3"/>
      <w:r/>
      <w:bookmarkEnd w:id="4"/>
      <w:r/>
      <w:bookmarkEnd w:id="5"/>
      <w:r>
        <w:rPr>
          <w:rFonts w:ascii="Times New Roman" w:hAnsi="Times New Roman" w:eastAsia="宋体"/>
          <w:color w:val="000000"/>
          <w:sz w:val="24"/>
          <w:szCs w:val="24"/>
        </w:rPr>
      </w:r>
      <w:r/>
    </w:p>
    <w:p>
      <w:pPr>
        <w:pStyle w:val="1147"/>
        <w:ind w:firstLine="480"/>
        <w:spacing w:line="360" w:lineRule="auto"/>
        <w:rPr>
          <w:rFonts w:ascii="Times New Roman" w:hAnsi="Times New Roman" w:eastAsia="宋体" w:cs="Times New Roman"/>
          <w:color w:val="000000"/>
          <w:sz w:val="24"/>
          <w:u w:val="single"/>
          <w:lang w:val="en-US" w:eastAsia="zh-CN"/>
        </w:rPr>
      </w:pPr>
      <w:r>
        <w:rPr>
          <w:color w:val="000000"/>
          <w:sz w:val="24"/>
        </w:rPr>
        <w:t xml:space="preserve">1.项目编号/包号：</w:t>
      </w:r>
      <w:r>
        <w:rPr>
          <w:rFonts w:hint="eastAsia" w:ascii="Times New Roman" w:hAnsi="Times New Roman" w:eastAsia="宋体" w:cs="Times New Roman"/>
          <w:color w:val="000000"/>
          <w:sz w:val="24"/>
          <w:u w:val="single"/>
          <w:lang w:eastAsia="zh-CN"/>
        </w:rPr>
        <w:t xml:space="preserve">JSZC-320413099-CZMY-C2026-0004</w:t>
      </w:r>
      <w:r>
        <w:rPr>
          <w:rFonts w:hint="eastAsia" w:ascii="Times New Roman" w:hAnsi="Times New Roman" w:eastAsia="宋体" w:cs="Times New Roman"/>
          <w:color w:val="000000"/>
          <w:sz w:val="24"/>
          <w:u w:val="single"/>
          <w:lang w:val="en-US" w:eastAsia="zh-CN"/>
        </w:rPr>
        <w:t xml:space="preserve"> </w:t>
      </w:r>
      <w:r>
        <w:rPr>
          <w:rFonts w:hint="eastAsia"/>
          <w:color w:val="000000"/>
          <w:sz w:val="24"/>
          <w:lang w:val="en-US" w:eastAsia="zh-CN"/>
        </w:rPr>
        <w:t xml:space="preserve">      </w:t>
      </w:r>
      <w:r>
        <w:rPr>
          <w:rFonts w:ascii="Times New Roman" w:hAnsi="Times New Roman" w:eastAsia="宋体" w:cs="Times New Roman"/>
          <w:color w:val="000000"/>
          <w:sz w:val="24"/>
          <w:u w:val="single"/>
          <w:lang w:val="en-US" w:eastAsia="zh-CN"/>
        </w:rPr>
      </w:r>
      <w:r/>
    </w:p>
    <w:p>
      <w:pPr>
        <w:pStyle w:val="1147"/>
        <w:ind w:firstLine="480"/>
        <w:spacing w:line="360" w:lineRule="auto"/>
        <w:rPr>
          <w:rFonts w:hint="eastAsia" w:eastAsia="宋体"/>
          <w:color w:val="000000"/>
          <w:sz w:val="24"/>
          <w:highlight w:val="yellow"/>
          <w:lang w:eastAsia="zh-CN"/>
        </w:rPr>
      </w:pPr>
      <w:r>
        <w:rPr>
          <w:color w:val="000000"/>
          <w:sz w:val="24"/>
        </w:rPr>
        <w:t xml:space="preserve">2.项目名称：</w:t>
      </w:r>
      <w:r>
        <w:rPr>
          <w:rFonts w:hint="eastAsia" w:ascii="Times New Roman" w:hAnsi="Times New Roman" w:eastAsia="宋体" w:cs="Times New Roman"/>
          <w:color w:val="000000"/>
          <w:sz w:val="24"/>
          <w:u w:val="single"/>
          <w:lang w:eastAsia="zh-CN"/>
        </w:rPr>
        <w:t xml:space="preserve">东城街道2026年度零星工程项目</w:t>
      </w:r>
      <w:r>
        <w:rPr>
          <w:rFonts w:hint="eastAsia" w:eastAsia="宋体"/>
          <w:color w:val="000000"/>
          <w:sz w:val="24"/>
          <w:highlight w:val="yellow"/>
          <w:lang w:eastAsia="zh-CN"/>
        </w:rPr>
      </w:r>
      <w:r/>
    </w:p>
    <w:p>
      <w:pPr>
        <w:pStyle w:val="1147"/>
        <w:ind w:firstLine="480"/>
        <w:spacing w:line="360" w:lineRule="auto"/>
        <w:rPr>
          <w:color w:val="000000"/>
          <w:sz w:val="24"/>
        </w:rPr>
      </w:pPr>
      <w:r>
        <w:rPr>
          <w:color w:val="000000"/>
          <w:sz w:val="24"/>
        </w:rPr>
        <w:t xml:space="preserve">3.采购方式：</w:t>
      </w:r>
      <w:r>
        <w:rPr>
          <w:color w:val="000000"/>
          <w:sz w:val="24"/>
          <w:u w:val="single"/>
        </w:rPr>
        <w:t xml:space="preserve">竞争性磋商</w:t>
      </w:r>
      <w:r>
        <w:rPr>
          <w:color w:val="000000"/>
          <w:sz w:val="24"/>
        </w:rPr>
      </w:r>
      <w:r/>
    </w:p>
    <w:p>
      <w:pPr>
        <w:pStyle w:val="1147"/>
        <w:ind w:firstLine="480"/>
        <w:spacing w:line="360" w:lineRule="auto"/>
        <w:rPr>
          <w:rFonts w:ascii="Times New Roman" w:hAnsi="Times New Roman" w:eastAsia="宋体" w:cs="Times New Roman"/>
          <w:color w:val="000000"/>
          <w:sz w:val="24"/>
          <w:lang w:val="en-US"/>
        </w:rPr>
      </w:pPr>
      <w:r/>
      <w:bookmarkEnd w:id="6"/>
      <w:r>
        <w:rPr>
          <w:rFonts w:ascii="Times New Roman" w:hAnsi="Times New Roman" w:eastAsia="宋体" w:cs="Times New Roman"/>
          <w:color w:val="000000"/>
          <w:sz w:val="24"/>
        </w:rPr>
        <w:t xml:space="preserve">4.项目预算金额</w:t>
      </w: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u w:val="single"/>
          <w:lang w:val="en-US" w:eastAsia="zh-CN"/>
        </w:rPr>
        <w:t xml:space="preserve">150</w:t>
      </w:r>
      <w:r>
        <w:rPr>
          <w:rFonts w:ascii="Times New Roman" w:hAnsi="Times New Roman" w:eastAsia="宋体" w:cs="Times New Roman"/>
          <w:color w:val="000000"/>
          <w:sz w:val="24"/>
          <w:highlight w:val="none"/>
          <w:u w:val="single"/>
        </w:rPr>
        <w:t xml:space="preserve">万元</w:t>
      </w:r>
      <w:r>
        <w:rPr>
          <w:rFonts w:hint="eastAsia" w:ascii="宋体" w:hAnsi="Times New Roman" w:eastAsia="宋体" w:cs="Times New Roman"/>
          <w:color w:val="000000"/>
          <w:sz w:val="24"/>
          <w:szCs w:val="22"/>
          <w:highlight w:val="none"/>
          <w:u w:val="single"/>
          <w:lang w:val="en-US" w:eastAsia="zh-CN"/>
        </w:rPr>
        <w:t xml:space="preserve">、控制优惠率0%，投标报价不得低于控制优惠率，否则作废标处理。</w:t>
      </w:r>
      <w:r>
        <w:rPr>
          <w:rFonts w:ascii="Times New Roman" w:hAnsi="Times New Roman" w:eastAsia="宋体" w:cs="Times New Roman"/>
          <w:color w:val="000000"/>
          <w:sz w:val="24"/>
          <w:lang w:val="en-US"/>
        </w:rPr>
      </w:r>
      <w:r/>
    </w:p>
    <w:p>
      <w:pPr>
        <w:pStyle w:val="1147"/>
        <w:ind w:firstLine="480"/>
        <w:spacing w:line="360" w:lineRule="auto"/>
        <w:rPr>
          <w:color w:val="000000"/>
          <w:sz w:val="24"/>
        </w:rPr>
      </w:pPr>
      <w:r>
        <w:rPr>
          <w:rFonts w:ascii="Times New Roman" w:hAnsi="Times New Roman" w:eastAsia="宋体" w:cs="Times New Roman"/>
          <w:color w:val="000000"/>
          <w:sz w:val="24"/>
        </w:rPr>
        <w:t xml:space="preserve">5.</w:t>
      </w:r>
      <w:r>
        <w:rPr>
          <w:color w:val="000000"/>
          <w:sz w:val="24"/>
        </w:rPr>
        <w:t xml:space="preserve">采购需求：</w:t>
      </w:r>
      <w:r>
        <w:rPr>
          <w:color w:val="000000"/>
          <w:sz w:val="24"/>
        </w:rPr>
      </w:r>
      <w:r/>
    </w:p>
    <w:tbl>
      <w:tblPr>
        <w:tblW w:w="4673" w:type="pct"/>
        <w:jc w:val="center"/>
        <w:tblInd w:w="1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2537"/>
        <w:gridCol w:w="1700"/>
        <w:gridCol w:w="745"/>
        <w:gridCol w:w="2959"/>
      </w:tblGrid>
      <w:tr>
        <w:trPr>
          <w:trHeight w:val="454"/>
        </w:trPr>
        <w:tc>
          <w:tcPr>
            <w:tcW w:w="426" w:type="dxa"/>
            <w:vAlign w:val="center"/>
            <w:textDirection w:val="lrTb"/>
            <w:noWrap w:val="false"/>
          </w:tcPr>
          <w:p>
            <w:pPr>
              <w:pStyle w:val="1147"/>
              <w:jc w:val="center"/>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包号</w:t>
            </w:r>
            <w:r>
              <w:rPr>
                <w:rFonts w:ascii="Times New Roman" w:hAnsi="Times New Roman" w:eastAsia="宋体" w:cs="Times New Roman"/>
                <w:color w:val="000000"/>
                <w:sz w:val="24"/>
                <w:highlight w:val="none"/>
              </w:rPr>
            </w:r>
            <w:r/>
          </w:p>
        </w:tc>
        <w:tc>
          <w:tcPr>
            <w:tcW w:w="1461" w:type="dxa"/>
            <w:vAlign w:val="center"/>
            <w:textDirection w:val="lrTb"/>
            <w:noWrap w:val="false"/>
          </w:tcPr>
          <w:p>
            <w:pPr>
              <w:pStyle w:val="1147"/>
              <w:jc w:val="center"/>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标的名称</w:t>
            </w:r>
            <w:r>
              <w:rPr>
                <w:rFonts w:ascii="Times New Roman" w:hAnsi="Times New Roman" w:eastAsia="宋体" w:cs="Times New Roman"/>
                <w:color w:val="000000"/>
                <w:sz w:val="24"/>
                <w:highlight w:val="none"/>
              </w:rPr>
            </w:r>
            <w:r/>
          </w:p>
        </w:tc>
        <w:tc>
          <w:tcPr>
            <w:tcW w:w="979" w:type="dxa"/>
            <w:vAlign w:val="center"/>
            <w:textDirection w:val="lrTb"/>
            <w:noWrap w:val="false"/>
          </w:tcPr>
          <w:p>
            <w:pPr>
              <w:pStyle w:val="1147"/>
              <w:jc w:val="center"/>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最高限价</w:t>
            </w:r>
            <w:r>
              <w:rPr>
                <w:rFonts w:hint="eastAsia" w:ascii="Times New Roman" w:hAnsi="Times New Roman" w:eastAsia="宋体" w:cs="Times New Roman"/>
                <w:color w:val="000000"/>
                <w:sz w:val="24"/>
                <w:highlight w:val="none"/>
                <w:lang w:val="en-US" w:eastAsia="zh-CN"/>
              </w:rPr>
            </w:r>
            <w:r/>
          </w:p>
          <w:p>
            <w:pPr>
              <w:pStyle w:val="1147"/>
              <w:jc w:val="center"/>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（万元）</w:t>
            </w:r>
            <w:r>
              <w:rPr>
                <w:rFonts w:hint="eastAsia" w:ascii="Times New Roman" w:hAnsi="Times New Roman" w:eastAsia="宋体" w:cs="Times New Roman"/>
                <w:color w:val="000000"/>
                <w:sz w:val="24"/>
                <w:highlight w:val="none"/>
                <w:lang w:val="en-US" w:eastAsia="zh-CN"/>
              </w:rPr>
            </w:r>
            <w:r/>
          </w:p>
        </w:tc>
        <w:tc>
          <w:tcPr>
            <w:tcW w:w="429" w:type="dxa"/>
            <w:vAlign w:val="center"/>
            <w:textDirection w:val="lrTb"/>
            <w:noWrap w:val="false"/>
          </w:tcPr>
          <w:p>
            <w:pPr>
              <w:pStyle w:val="1147"/>
              <w:jc w:val="center"/>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数量</w:t>
            </w:r>
            <w:r>
              <w:rPr>
                <w:rFonts w:ascii="Times New Roman" w:hAnsi="Times New Roman" w:eastAsia="宋体" w:cs="Times New Roman"/>
                <w:color w:val="000000"/>
                <w:sz w:val="24"/>
                <w:highlight w:val="none"/>
              </w:rPr>
            </w:r>
            <w:r/>
          </w:p>
        </w:tc>
        <w:tc>
          <w:tcPr>
            <w:tcW w:w="1704" w:type="dxa"/>
            <w:vAlign w:val="center"/>
            <w:textDirection w:val="lrTb"/>
            <w:noWrap w:val="false"/>
          </w:tcPr>
          <w:p>
            <w:pPr>
              <w:pStyle w:val="1147"/>
              <w:jc w:val="center"/>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简要技术需求或服务要求</w:t>
            </w:r>
            <w:r>
              <w:rPr>
                <w:rFonts w:ascii="Times New Roman" w:hAnsi="Times New Roman" w:eastAsia="宋体" w:cs="Times New Roman"/>
                <w:color w:val="000000"/>
                <w:sz w:val="24"/>
                <w:highlight w:val="none"/>
              </w:rPr>
            </w:r>
            <w:r/>
          </w:p>
        </w:tc>
      </w:tr>
      <w:tr>
        <w:trPr>
          <w:trHeight w:val="967"/>
        </w:trPr>
        <w:tc>
          <w:tcPr>
            <w:tcW w:w="426" w:type="dxa"/>
            <w:vAlign w:val="center"/>
            <w:textDirection w:val="lrTb"/>
            <w:noWrap w:val="false"/>
          </w:tcPr>
          <w:p>
            <w:pPr>
              <w:pStyle w:val="1147"/>
              <w:jc w:val="center"/>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01</w:t>
            </w:r>
            <w:r>
              <w:rPr>
                <w:rFonts w:ascii="Times New Roman" w:hAnsi="Times New Roman" w:eastAsia="宋体" w:cs="Times New Roman"/>
                <w:color w:val="000000"/>
                <w:sz w:val="24"/>
                <w:highlight w:val="none"/>
              </w:rPr>
            </w:r>
            <w:r/>
          </w:p>
        </w:tc>
        <w:tc>
          <w:tcPr>
            <w:tcW w:w="1461" w:type="dxa"/>
            <w:vAlign w:val="center"/>
            <w:textDirection w:val="lrTb"/>
            <w:noWrap w:val="false"/>
          </w:tcPr>
          <w:p>
            <w:pPr>
              <w:pStyle w:val="1147"/>
              <w:jc w:val="center"/>
              <w:spacing w:line="360" w:lineRule="auto"/>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lang w:eastAsia="zh-CN"/>
              </w:rPr>
              <w:t xml:space="preserve">东城街道2026年度零星工程项目</w:t>
            </w:r>
            <w:r>
              <w:rPr>
                <w:rFonts w:hint="eastAsia" w:ascii="Times New Roman" w:hAnsi="Times New Roman" w:eastAsia="宋体" w:cs="Times New Roman"/>
                <w:color w:val="000000"/>
                <w:sz w:val="24"/>
                <w:highlight w:val="none"/>
                <w:lang w:eastAsia="zh-CN"/>
              </w:rPr>
            </w:r>
            <w:r/>
          </w:p>
        </w:tc>
        <w:tc>
          <w:tcPr>
            <w:tcW w:w="979" w:type="dxa"/>
            <w:vAlign w:val="center"/>
            <w:textDirection w:val="lrTb"/>
            <w:noWrap w:val="false"/>
          </w:tcPr>
          <w:p>
            <w:pPr>
              <w:pStyle w:val="1147"/>
              <w:jc w:val="center"/>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150</w:t>
            </w:r>
            <w:r>
              <w:rPr>
                <w:rFonts w:ascii="Times New Roman" w:hAnsi="Times New Roman" w:eastAsia="宋体" w:cs="Times New Roman"/>
                <w:color w:val="000000"/>
                <w:sz w:val="24"/>
                <w:highlight w:val="none"/>
                <w:lang w:val="en-US" w:eastAsia="zh-CN"/>
              </w:rPr>
            </w:r>
            <w:r/>
          </w:p>
        </w:tc>
        <w:tc>
          <w:tcPr>
            <w:tcW w:w="429" w:type="dxa"/>
            <w:vAlign w:val="center"/>
            <w:textDirection w:val="lrTb"/>
            <w:noWrap w:val="false"/>
          </w:tcPr>
          <w:p>
            <w:pPr>
              <w:pStyle w:val="1147"/>
              <w:jc w:val="center"/>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w:t>
            </w:r>
            <w:r>
              <w:rPr>
                <w:rFonts w:hint="eastAsia" w:ascii="Times New Roman" w:hAnsi="Times New Roman" w:eastAsia="宋体" w:cs="Times New Roman"/>
                <w:color w:val="000000"/>
                <w:sz w:val="24"/>
                <w:highlight w:val="none"/>
              </w:rPr>
            </w:r>
            <w:r/>
          </w:p>
        </w:tc>
        <w:tc>
          <w:tcPr>
            <w:tcW w:w="1704" w:type="dxa"/>
            <w:vAlign w:val="center"/>
            <w:textDirection w:val="lrTb"/>
            <w:noWrap w:val="false"/>
          </w:tcPr>
          <w:p>
            <w:pPr>
              <w:pStyle w:val="1147"/>
              <w:jc w:val="center"/>
              <w:spacing w:line="360" w:lineRule="auto"/>
              <w:rPr>
                <w:rFonts w:ascii="Times New Roman" w:hAnsi="Times New Roman" w:eastAsia="宋体" w:cs="Times New Roman"/>
                <w:color w:val="000000"/>
                <w:sz w:val="24"/>
                <w:highlight w:val="none"/>
                <w:lang w:val="en-US"/>
              </w:rPr>
            </w:pPr>
            <w:r>
              <w:rPr>
                <w:rFonts w:hint="eastAsia" w:ascii="Times New Roman" w:hAnsi="Times New Roman" w:eastAsia="宋体" w:cs="Times New Roman"/>
                <w:color w:val="000000"/>
                <w:sz w:val="24"/>
                <w:highlight w:val="none"/>
                <w:lang w:val="en-US" w:eastAsia="zh-CN"/>
              </w:rPr>
              <w:t xml:space="preserve">详见采购需求</w:t>
            </w:r>
            <w:r>
              <w:rPr>
                <w:rFonts w:ascii="Times New Roman" w:hAnsi="Times New Roman" w:eastAsia="宋体" w:cs="Times New Roman"/>
                <w:color w:val="000000"/>
                <w:sz w:val="24"/>
                <w:highlight w:val="none"/>
                <w:lang w:val="en-US"/>
              </w:rPr>
            </w:r>
            <w:r/>
          </w:p>
        </w:tc>
      </w:tr>
    </w:tbl>
    <w:p>
      <w:pPr>
        <w:pStyle w:val="1147"/>
        <w:ind w:firstLine="480"/>
        <w:spacing w:line="360" w:lineRule="auto"/>
        <w:rPr>
          <w:color w:val="000000"/>
          <w:sz w:val="24"/>
          <w:highlight w:val="none"/>
          <w:u w:val="single"/>
        </w:rPr>
      </w:pPr>
      <w:r>
        <w:rPr>
          <w:color w:val="000000"/>
          <w:sz w:val="24"/>
          <w:highlight w:val="none"/>
        </w:rPr>
        <w:t xml:space="preserve">6.合同履行期限：</w:t>
      </w:r>
      <w:r>
        <w:rPr>
          <w:rFonts w:hint="eastAsia" w:ascii="Times New Roman" w:hAnsi="Times New Roman" w:eastAsia="宋体" w:cs="Times New Roman"/>
          <w:color w:val="000000"/>
          <w:sz w:val="24"/>
          <w:highlight w:val="none"/>
          <w:u w:val="single"/>
          <w:lang w:val="en-US" w:eastAsia="zh-CN"/>
        </w:rPr>
        <w:t xml:space="preserve">当合同履行时间达一年或合同金额达到150万元时，合同自动终止 ，具体进场日期以采购人通知为准。</w:t>
      </w:r>
      <w:r>
        <w:rPr>
          <w:rFonts w:ascii="Times New Roman" w:hAnsi="Times New Roman" w:eastAsia="宋体" w:cs="Times New Roman"/>
          <w:color w:val="000000"/>
          <w:sz w:val="24"/>
          <w:highlight w:val="none"/>
        </w:rPr>
        <w:t xml:space="preserve">  </w:t>
      </w:r>
      <w:r>
        <w:rPr>
          <w:color w:val="000000"/>
          <w:sz w:val="24"/>
          <w:highlight w:val="none"/>
          <w:u w:val="single"/>
        </w:rPr>
      </w:r>
      <w:r/>
    </w:p>
    <w:p>
      <w:pPr>
        <w:pStyle w:val="1147"/>
        <w:ind w:firstLine="480"/>
        <w:spacing w:line="360" w:lineRule="auto"/>
        <w:rPr>
          <w:color w:val="000000"/>
          <w:sz w:val="24"/>
        </w:rPr>
      </w:pPr>
      <w:r>
        <w:rPr>
          <w:color w:val="000000"/>
          <w:sz w:val="24"/>
        </w:rPr>
        <w:t xml:space="preserve">7.本项目是否接受联合体：</w:t>
      </w:r>
      <w:r>
        <w:rPr>
          <w:rFonts w:hint="eastAsia"/>
          <w:color w:val="000000"/>
        </w:rPr>
        <w:t xml:space="preserve">□</w:t>
      </w:r>
      <w:r>
        <w:rPr>
          <w:color w:val="000000"/>
          <w:sz w:val="24"/>
        </w:rPr>
        <w:t xml:space="preserve">是  </w:t>
      </w:r>
      <w:r>
        <w:rPr>
          <w:rFonts w:hint="eastAsia"/>
          <w:color w:val="000000"/>
        </w:rPr>
        <w:t xml:space="preserve">☑</w:t>
      </w:r>
      <w:r>
        <w:rPr>
          <w:color w:val="000000"/>
          <w:sz w:val="24"/>
        </w:rPr>
        <w:t xml:space="preserve">否。</w:t>
      </w:r>
      <w:r>
        <w:rPr>
          <w:color w:val="000000"/>
          <w:sz w:val="24"/>
        </w:rPr>
      </w:r>
      <w:r/>
    </w:p>
    <w:p>
      <w:pPr>
        <w:pStyle w:val="1147"/>
        <w:ind w:firstLine="480"/>
        <w:spacing w:line="360" w:lineRule="auto"/>
        <w:rPr>
          <w:color w:val="000000"/>
          <w:sz w:val="24"/>
        </w:rPr>
      </w:pPr>
      <w:r/>
      <w:bookmarkStart w:id="7" w:name="_Toc35393622"/>
      <w:r/>
      <w:bookmarkStart w:id="8" w:name="_Toc35393791"/>
      <w:r/>
      <w:bookmarkStart w:id="9" w:name="_Toc28359080"/>
      <w:r/>
      <w:bookmarkStart w:id="10" w:name="_Toc28359003"/>
      <w:r>
        <w:rPr>
          <w:rFonts w:hint="eastAsia"/>
          <w:color w:val="000000"/>
          <w:sz w:val="24"/>
        </w:rPr>
        <w:t xml:space="preserve">8.</w:t>
      </w:r>
      <w:r>
        <w:rPr>
          <w:color w:val="000000"/>
          <w:sz w:val="24"/>
        </w:rPr>
        <w:t xml:space="preserve">本项目是否接受</w:t>
      </w:r>
      <w:r>
        <w:rPr>
          <w:rFonts w:hint="eastAsia"/>
          <w:color w:val="000000"/>
          <w:sz w:val="24"/>
        </w:rPr>
        <w:t xml:space="preserve">进口产品响应</w:t>
      </w:r>
      <w:r>
        <w:rPr>
          <w:color w:val="000000"/>
          <w:sz w:val="24"/>
        </w:rPr>
        <w:t xml:space="preserve">：□是  </w:t>
      </w:r>
      <w:r>
        <w:rPr>
          <w:rFonts w:hint="eastAsia"/>
          <w:color w:val="000000"/>
          <w:sz w:val="24"/>
        </w:rPr>
        <w:t xml:space="preserve">☑</w:t>
      </w:r>
      <w:r>
        <w:rPr>
          <w:color w:val="000000"/>
          <w:sz w:val="24"/>
        </w:rPr>
        <w:t xml:space="preserve">否。</w:t>
      </w:r>
      <w:r>
        <w:rPr>
          <w:color w:val="000000"/>
          <w:sz w:val="24"/>
        </w:rPr>
      </w:r>
      <w:r/>
    </w:p>
    <w:p>
      <w:pPr>
        <w:pStyle w:val="1149"/>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二、申请人的资格要求（须同时满足）</w:t>
      </w:r>
      <w:bookmarkEnd w:id="7"/>
      <w:r/>
      <w:bookmarkEnd w:id="8"/>
      <w:r/>
      <w:bookmarkEnd w:id="9"/>
      <w:r/>
      <w:bookmarkEnd w:id="10"/>
      <w:r>
        <w:rPr>
          <w:rFonts w:ascii="Times New Roman" w:hAnsi="Times New Roman" w:eastAsia="宋体"/>
          <w:color w:val="000000"/>
          <w:sz w:val="24"/>
          <w:szCs w:val="24"/>
        </w:rPr>
      </w:r>
      <w:r/>
    </w:p>
    <w:p>
      <w:pPr>
        <w:pStyle w:val="1147"/>
        <w:ind w:firstLine="480"/>
        <w:spacing w:line="360" w:lineRule="auto"/>
        <w:rPr>
          <w:rFonts w:hint="eastAsia"/>
          <w:color w:val="000000"/>
          <w:sz w:val="24"/>
        </w:rPr>
      </w:pPr>
      <w:r/>
      <w:bookmarkStart w:id="11" w:name="_Toc28359004"/>
      <w:r/>
      <w:bookmarkStart w:id="12" w:name="_Toc28359081"/>
      <w:r>
        <w:rPr>
          <w:color w:val="000000"/>
          <w:sz w:val="24"/>
        </w:rPr>
        <w:t xml:space="preserve">1.满足《中华人民共和国政府采购法》第二十二条规定</w:t>
      </w:r>
      <w:r>
        <w:rPr>
          <w:rFonts w:hint="eastAsia"/>
          <w:color w:val="000000"/>
          <w:sz w:val="24"/>
        </w:rPr>
        <w:t xml:space="preserve">以及下列情形：</w:t>
      </w:r>
      <w:r>
        <w:rPr>
          <w:rFonts w:hint="eastAsia"/>
          <w:color w:val="000000"/>
          <w:sz w:val="24"/>
        </w:rPr>
      </w:r>
      <w:r/>
    </w:p>
    <w:p>
      <w:pPr>
        <w:pStyle w:val="1147"/>
        <w:ind w:firstLine="480"/>
        <w:spacing w:line="360" w:lineRule="auto"/>
        <w:rPr>
          <w:color w:val="000000"/>
          <w:sz w:val="24"/>
        </w:rPr>
      </w:pPr>
      <w:r>
        <w:rPr>
          <w:rFonts w:hint="eastAsia"/>
          <w:color w:val="000000"/>
          <w:sz w:val="24"/>
        </w:rPr>
        <w:t xml:space="preserve">1.1未被“信用中国”网站（WWW.creditchina.gov.cn）或“中国政府采购网”网站（www.ccgp.gov.cn）列入失信被执行人、重大税收违法案件当事人名单、政府采购严重失信行为记录名单；</w:t>
      </w:r>
      <w:r>
        <w:rPr>
          <w:color w:val="000000"/>
          <w:sz w:val="24"/>
        </w:rPr>
      </w:r>
      <w:r/>
    </w:p>
    <w:p>
      <w:pPr>
        <w:pStyle w:val="1147"/>
        <w:ind w:firstLine="480"/>
        <w:spacing w:line="360" w:lineRule="auto"/>
        <w:rPr>
          <w:color w:val="000000"/>
          <w:sz w:val="24"/>
        </w:rPr>
      </w:pPr>
      <w:r>
        <w:rPr>
          <w:rFonts w:hint="eastAsia"/>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rPr>
      </w:r>
      <w:r/>
    </w:p>
    <w:p>
      <w:pPr>
        <w:pStyle w:val="1147"/>
        <w:ind w:firstLine="480"/>
        <w:spacing w:line="360" w:lineRule="auto"/>
        <w:rPr>
          <w:color w:val="000000"/>
          <w:sz w:val="24"/>
        </w:rPr>
      </w:pPr>
      <w:r>
        <w:rPr>
          <w:color w:val="000000"/>
          <w:sz w:val="24"/>
        </w:rPr>
        <w:t xml:space="preserve">2.落实政府采购政策需满足的资格要求：</w:t>
      </w:r>
      <w:r>
        <w:rPr>
          <w:color w:val="000000"/>
          <w:sz w:val="24"/>
        </w:rPr>
      </w:r>
      <w:r/>
    </w:p>
    <w:p>
      <w:pPr>
        <w:pStyle w:val="1147"/>
        <w:ind w:firstLine="480"/>
        <w:spacing w:line="360" w:lineRule="auto"/>
        <w:rPr>
          <w:color w:val="000000"/>
          <w:sz w:val="24"/>
        </w:rPr>
      </w:pPr>
      <w:r>
        <w:rPr>
          <w:color w:val="000000"/>
          <w:sz w:val="24"/>
        </w:rPr>
        <w:t xml:space="preserve">2.1 中小企业政策</w:t>
      </w:r>
      <w:r>
        <w:rPr>
          <w:color w:val="000000"/>
          <w:sz w:val="24"/>
        </w:rPr>
      </w:r>
      <w:r/>
    </w:p>
    <w:p>
      <w:pPr>
        <w:pStyle w:val="1147"/>
        <w:ind w:firstLine="420"/>
        <w:spacing w:line="360" w:lineRule="auto"/>
        <w:rPr>
          <w:color w:val="000000"/>
          <w:sz w:val="24"/>
        </w:rPr>
      </w:pPr>
      <w:r>
        <w:rPr>
          <w:rFonts w:hint="eastAsia"/>
          <w:color w:val="000000"/>
          <w:lang w:eastAsia="zh-CN"/>
        </w:rPr>
        <w:t xml:space="preserve">☑</w:t>
      </w:r>
      <w:r>
        <w:rPr>
          <w:color w:val="000000"/>
          <w:sz w:val="24"/>
        </w:rPr>
        <w:t xml:space="preserve">本项目专门面向  </w:t>
      </w:r>
      <w:r>
        <w:rPr>
          <w:rFonts w:hint="eastAsia"/>
          <w:color w:val="000000"/>
          <w:lang w:eastAsia="zh-CN"/>
        </w:rPr>
        <w:t xml:space="preserve">☑</w:t>
      </w:r>
      <w:r>
        <w:rPr>
          <w:color w:val="000000"/>
          <w:sz w:val="24"/>
        </w:rPr>
        <w:t xml:space="preserve">中小   采购。即：提供的货物全部由符合政策要求的中小/小微企业制造、服务全部由符合政策要求的中小/小微企业承接。</w:t>
      </w:r>
      <w:r>
        <w:rPr>
          <w:color w:val="000000"/>
          <w:sz w:val="24"/>
        </w:rPr>
      </w:r>
      <w:r/>
    </w:p>
    <w:p>
      <w:pPr>
        <w:pStyle w:val="1147"/>
        <w:ind w:firstLine="480"/>
        <w:spacing w:line="360" w:lineRule="auto"/>
        <w:rPr>
          <w:color w:val="000000"/>
          <w:sz w:val="24"/>
        </w:rPr>
      </w:pPr>
      <w:r>
        <w:rPr>
          <w:color w:val="000000"/>
          <w:sz w:val="24"/>
        </w:rPr>
        <w:t xml:space="preserve">2.2 其它落实政府采购政策的资格要求：__</w:t>
      </w:r>
      <w:r>
        <w:rPr>
          <w:rFonts w:hint="eastAsia"/>
          <w:color w:val="000000"/>
          <w:sz w:val="24"/>
          <w:lang w:val="en-US" w:eastAsia="zh-CN"/>
        </w:rPr>
        <w:t xml:space="preserve">/</w:t>
      </w:r>
      <w:r>
        <w:rPr>
          <w:color w:val="000000"/>
          <w:sz w:val="24"/>
        </w:rPr>
        <w:t xml:space="preserve">__</w:t>
      </w:r>
      <w:r>
        <w:rPr>
          <w:color w:val="000000"/>
          <w:sz w:val="24"/>
        </w:rPr>
      </w:r>
      <w:r/>
    </w:p>
    <w:p>
      <w:pPr>
        <w:pStyle w:val="1147"/>
        <w:ind w:firstLine="480"/>
        <w:spacing w:line="360" w:lineRule="auto"/>
        <w:rPr>
          <w:color w:val="000000"/>
          <w:sz w:val="24"/>
        </w:rPr>
      </w:pPr>
      <w:r>
        <w:rPr>
          <w:color w:val="000000"/>
          <w:sz w:val="24"/>
        </w:rPr>
        <w:t xml:space="preserve">3.本项目的特定资格要求：</w:t>
      </w:r>
      <w:r>
        <w:rPr>
          <w:color w:val="000000"/>
          <w:sz w:val="24"/>
        </w:rPr>
      </w:r>
      <w:r/>
    </w:p>
    <w:p>
      <w:pPr>
        <w:pStyle w:val="1147"/>
        <w:ind w:firstLine="480"/>
        <w:spacing w:line="360" w:lineRule="auto"/>
        <w:tabs>
          <w:tab w:val="left" w:pos="900" w:leader="none"/>
          <w:tab w:val="left" w:pos="1134" w:leader="none"/>
          <w:tab w:val="left" w:pos="1589" w:leader="none"/>
          <w:tab w:val="left" w:pos="5521" w:leader="none"/>
        </w:tabs>
        <w:rPr>
          <w:color w:val="000000"/>
          <w:sz w:val="24"/>
        </w:rPr>
      </w:pPr>
      <w:r>
        <w:rPr>
          <w:color w:val="000000"/>
          <w:sz w:val="24"/>
        </w:rPr>
        <w:t xml:space="preserve">3.1本项目是否接受分支机构参与响应：</w:t>
      </w:r>
      <w:r>
        <w:rPr>
          <w:color w:val="000000"/>
        </w:rPr>
        <w:t xml:space="preserve">□</w:t>
      </w:r>
      <w:r>
        <w:rPr>
          <w:color w:val="000000"/>
          <w:sz w:val="24"/>
        </w:rPr>
        <w:t xml:space="preserve">是   </w:t>
      </w:r>
      <w:r>
        <w:rPr>
          <w:rFonts w:hint="eastAsia"/>
          <w:color w:val="000000"/>
        </w:rPr>
        <w:t xml:space="preserve">☑</w:t>
      </w:r>
      <w:r>
        <w:rPr>
          <w:color w:val="000000"/>
          <w:sz w:val="24"/>
        </w:rPr>
        <w:t xml:space="preserve">否；（</w:t>
      </w:r>
      <w:r>
        <w:rPr>
          <w:i/>
          <w:color w:val="000000"/>
          <w:sz w:val="24"/>
        </w:rPr>
        <w:t xml:space="preserve">仅当项目涉及银行、保险、石油石化、电力、电信等行业有特殊情况的，可以接受分支机构参与</w:t>
      </w:r>
      <w:r>
        <w:rPr>
          <w:color w:val="000000"/>
          <w:sz w:val="24"/>
        </w:rPr>
        <w:t xml:space="preserve">）</w:t>
      </w:r>
      <w:r>
        <w:rPr>
          <w:color w:val="000000"/>
          <w:sz w:val="24"/>
        </w:rPr>
      </w:r>
      <w:r/>
    </w:p>
    <w:p>
      <w:pPr>
        <w:pStyle w:val="1147"/>
        <w:ind w:firstLine="480"/>
        <w:spacing w:line="360" w:lineRule="auto"/>
        <w:tabs>
          <w:tab w:val="left" w:pos="900" w:leader="none"/>
          <w:tab w:val="left" w:pos="1134" w:leader="none"/>
          <w:tab w:val="left" w:pos="1589" w:leader="none"/>
          <w:tab w:val="left" w:pos="5521" w:leader="none"/>
        </w:tabs>
        <w:rPr>
          <w:color w:val="000000"/>
          <w:sz w:val="24"/>
        </w:rPr>
      </w:pPr>
      <w:r>
        <w:rPr>
          <w:color w:val="000000"/>
          <w:sz w:val="24"/>
        </w:rPr>
        <w:t xml:space="preserve">3.2 本项目是否属于政府购买服务：</w:t>
      </w:r>
      <w:r>
        <w:rPr>
          <w:color w:val="000000"/>
          <w:sz w:val="24"/>
        </w:rPr>
      </w:r>
      <w:r/>
    </w:p>
    <w:p>
      <w:pPr>
        <w:pStyle w:val="1147"/>
        <w:ind w:left="991" w:firstLine="2"/>
        <w:spacing w:line="360" w:lineRule="auto"/>
        <w:tabs>
          <w:tab w:val="left" w:pos="900" w:leader="none"/>
          <w:tab w:val="left" w:pos="1134" w:leader="none"/>
          <w:tab w:val="left" w:pos="1589" w:leader="none"/>
          <w:tab w:val="left" w:pos="5521" w:leader="none"/>
        </w:tabs>
        <w:rPr>
          <w:color w:val="000000"/>
          <w:sz w:val="24"/>
        </w:rPr>
      </w:pPr>
      <w:r>
        <w:rPr>
          <w:rFonts w:hint="eastAsia"/>
          <w:color w:val="000000"/>
          <w:lang w:eastAsia="zh-CN"/>
        </w:rPr>
        <w:t xml:space="preserve">☑</w:t>
      </w:r>
      <w:r>
        <w:rPr>
          <w:color w:val="000000"/>
          <w:sz w:val="24"/>
        </w:rPr>
        <w:t xml:space="preserve">否</w:t>
      </w:r>
      <w:r>
        <w:rPr>
          <w:color w:val="000000"/>
          <w:sz w:val="24"/>
        </w:rPr>
      </w:r>
      <w:r/>
    </w:p>
    <w:p>
      <w:pPr>
        <w:pStyle w:val="1147"/>
        <w:ind w:firstLine="480"/>
        <w:spacing w:line="360" w:lineRule="auto"/>
        <w:tabs>
          <w:tab w:val="left" w:pos="900" w:leader="none"/>
          <w:tab w:val="left" w:pos="1134" w:leader="none"/>
          <w:tab w:val="left" w:pos="1589" w:leader="none"/>
          <w:tab w:val="left" w:pos="5521"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3.3其他特定资格要求：</w:t>
      </w:r>
      <w:r>
        <w:rPr>
          <w:rFonts w:ascii="Times New Roman" w:hAnsi="Times New Roman" w:eastAsia="宋体" w:cs="Times New Roman"/>
          <w:color w:val="000000"/>
          <w:sz w:val="24"/>
          <w:highlight w:val="none"/>
        </w:rPr>
      </w:r>
      <w:r/>
    </w:p>
    <w:p>
      <w:pPr>
        <w:pStyle w:val="1147"/>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i w:val="0"/>
          <w:iCs/>
          <w:color w:val="000000"/>
          <w:sz w:val="24"/>
          <w:highlight w:val="none"/>
        </w:rPr>
      </w:pPr>
      <w:r>
        <w:rPr>
          <w:rFonts w:hint="eastAsia" w:ascii="Times New Roman" w:hAnsi="Times New Roman" w:eastAsia="宋体" w:cs="Times New Roman"/>
          <w:i w:val="0"/>
          <w:iCs/>
          <w:color w:val="000000"/>
          <w:sz w:val="24"/>
          <w:highlight w:val="none"/>
        </w:rPr>
        <w:t xml:space="preserve">（1）</w:t>
      </w:r>
      <w:r>
        <w:rPr>
          <w:rFonts w:hint="eastAsia" w:ascii="Times New Roman" w:hAnsi="Times New Roman" w:eastAsia="宋体" w:cs="Times New Roman"/>
          <w:i w:val="0"/>
          <w:iCs/>
          <w:color w:val="000000"/>
          <w:sz w:val="24"/>
          <w:highlight w:val="none"/>
          <w:lang w:eastAsia="zh-CN"/>
        </w:rPr>
        <w:t xml:space="preserve">供</w:t>
      </w:r>
      <w:r>
        <w:rPr>
          <w:rFonts w:hint="eastAsia" w:ascii="Times New Roman" w:hAnsi="Times New Roman" w:eastAsia="宋体" w:cs="Times New Roman"/>
          <w:i w:val="0"/>
          <w:iCs/>
          <w:color w:val="000000"/>
          <w:sz w:val="24"/>
          <w:highlight w:val="none"/>
          <w:lang w:eastAsia="zh-CN"/>
        </w:rPr>
        <w:t xml:space="preserve">应商</w:t>
      </w:r>
      <w:r>
        <w:rPr>
          <w:rFonts w:hint="eastAsia" w:ascii="Times New Roman" w:hAnsi="Times New Roman" w:eastAsia="宋体" w:cs="Times New Roman"/>
          <w:i w:val="0"/>
          <w:iCs/>
          <w:color w:val="000000"/>
          <w:sz w:val="24"/>
          <w:highlight w:val="none"/>
        </w:rPr>
        <w:t xml:space="preserve">具有有效期内市政公用工程施工总承包三级（含）以上资质；</w:t>
      </w:r>
      <w:r>
        <w:rPr>
          <w:rFonts w:hint="eastAsia" w:ascii="Times New Roman" w:hAnsi="Times New Roman" w:eastAsia="宋体" w:cs="Times New Roman"/>
          <w:i w:val="0"/>
          <w:iCs/>
          <w:color w:val="000000"/>
          <w:sz w:val="24"/>
          <w:highlight w:val="none"/>
        </w:rPr>
      </w:r>
      <w:r/>
    </w:p>
    <w:p>
      <w:pPr>
        <w:pStyle w:val="1147"/>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i w:val="0"/>
          <w:iCs/>
          <w:color w:val="000000"/>
          <w:sz w:val="24"/>
          <w:highlight w:val="none"/>
        </w:rPr>
      </w:pPr>
      <w:r>
        <w:rPr>
          <w:rFonts w:hint="eastAsia" w:ascii="Times New Roman" w:hAnsi="Times New Roman" w:eastAsia="宋体" w:cs="Times New Roman"/>
          <w:i w:val="0"/>
          <w:iCs/>
          <w:color w:val="000000"/>
          <w:sz w:val="24"/>
          <w:highlight w:val="none"/>
        </w:rPr>
        <w:t xml:space="preserve">（2）</w:t>
      </w:r>
      <w:r>
        <w:rPr>
          <w:rFonts w:hint="eastAsia" w:ascii="Times New Roman" w:hAnsi="Times New Roman" w:eastAsia="宋体" w:cs="Times New Roman"/>
          <w:i w:val="0"/>
          <w:iCs/>
          <w:color w:val="000000"/>
          <w:sz w:val="24"/>
          <w:highlight w:val="none"/>
          <w:lang w:eastAsia="zh-CN"/>
        </w:rPr>
        <w:t xml:space="preserve">供应商</w:t>
      </w:r>
      <w:r>
        <w:rPr>
          <w:rFonts w:hint="eastAsia" w:ascii="Times New Roman" w:hAnsi="Times New Roman" w:eastAsia="宋体" w:cs="Times New Roman"/>
          <w:i w:val="0"/>
          <w:iCs/>
          <w:color w:val="000000"/>
          <w:sz w:val="24"/>
          <w:highlight w:val="none"/>
        </w:rPr>
        <w:t xml:space="preserve">具有有效期内企业安全生产许可证证书；</w:t>
      </w:r>
      <w:r>
        <w:rPr>
          <w:rFonts w:hint="eastAsia" w:ascii="Times New Roman" w:hAnsi="Times New Roman" w:eastAsia="宋体" w:cs="Times New Roman"/>
          <w:i w:val="0"/>
          <w:iCs/>
          <w:color w:val="000000"/>
          <w:sz w:val="24"/>
          <w:highlight w:val="none"/>
        </w:rPr>
      </w:r>
      <w:r/>
    </w:p>
    <w:p>
      <w:pPr>
        <w:pStyle w:val="1147"/>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ff"/>
          <w:sz w:val="24"/>
          <w:highlight w:val="none"/>
        </w:rPr>
      </w:pPr>
      <w:r>
        <w:rPr>
          <w:rFonts w:hint="eastAsia" w:ascii="Times New Roman" w:hAnsi="Times New Roman" w:eastAsia="宋体" w:cs="Times New Roman"/>
          <w:i w:val="0"/>
          <w:iCs/>
          <w:color w:val="000000"/>
          <w:sz w:val="24"/>
          <w:highlight w:val="none"/>
        </w:rPr>
        <w:t xml:space="preserve">（3）项目负责人具有市政公用工程专业二级（含）以上建造师资质及有效期内的安全B证；</w:t>
      </w:r>
      <w:r>
        <w:rPr>
          <w:rFonts w:hint="eastAsia" w:ascii="Times New Roman" w:hAnsi="Times New Roman" w:eastAsia="宋体" w:cs="Times New Roman"/>
          <w:color w:val="0000ff"/>
          <w:sz w:val="24"/>
          <w:highlight w:val="none"/>
        </w:rPr>
      </w:r>
      <w:r/>
    </w:p>
    <w:p>
      <w:pPr>
        <w:pStyle w:val="1149"/>
        <w:jc w:val="left"/>
        <w:spacing w:before="0" w:line="360" w:lineRule="auto"/>
        <w:widowControl/>
        <w:rPr>
          <w:rFonts w:ascii="Times New Roman" w:hAnsi="Times New Roman" w:eastAsia="宋体"/>
          <w:color w:val="000000"/>
          <w:sz w:val="24"/>
          <w:szCs w:val="24"/>
        </w:rPr>
      </w:pPr>
      <w:r/>
      <w:bookmarkEnd w:id="11"/>
      <w:r/>
      <w:bookmarkEnd w:id="12"/>
      <w:r/>
      <w:bookmarkStart w:id="13" w:name="_Toc35393792"/>
      <w:r/>
      <w:bookmarkStart w:id="14" w:name="_Toc35393623"/>
      <w:r>
        <w:rPr>
          <w:rFonts w:ascii="Times New Roman" w:hAnsi="Times New Roman" w:eastAsia="宋体"/>
          <w:color w:val="000000"/>
          <w:sz w:val="24"/>
          <w:szCs w:val="24"/>
        </w:rPr>
        <w:t xml:space="preserve">三、获取采购文件</w:t>
      </w:r>
      <w:bookmarkEnd w:id="13"/>
      <w:r/>
      <w:bookmarkEnd w:id="14"/>
      <w:r>
        <w:rPr>
          <w:rFonts w:ascii="Times New Roman" w:hAnsi="Times New Roman" w:eastAsia="宋体"/>
          <w:color w:val="000000"/>
          <w:sz w:val="24"/>
          <w:szCs w:val="24"/>
        </w:rPr>
      </w:r>
      <w:r/>
    </w:p>
    <w:p>
      <w:pPr>
        <w:pStyle w:val="1147"/>
        <w:ind w:firstLine="480"/>
        <w:spacing w:line="360" w:lineRule="auto"/>
        <w:rPr>
          <w:color w:val="000000"/>
          <w:sz w:val="24"/>
          <w:lang w:bidi="ar"/>
        </w:rPr>
      </w:pPr>
      <w:r>
        <w:rPr>
          <w:color w:val="000000"/>
          <w:sz w:val="24"/>
          <w:lang w:bidi="ar"/>
        </w:rPr>
        <w:t xml:space="preserve">1.时间：</w:t>
      </w:r>
      <w:r>
        <w:rPr>
          <w:rFonts w:hint="eastAsia"/>
          <w:color w:val="000000"/>
          <w:sz w:val="24"/>
          <w:highlight w:val="none"/>
          <w:lang w:bidi="ar"/>
        </w:rPr>
        <w:t xml:space="preserve">自本公告发布之日起至</w:t>
      </w:r>
      <w:r>
        <w:rPr>
          <w:rFonts w:hint="eastAsia"/>
          <w:color w:val="0000ff"/>
          <w:sz w:val="24"/>
          <w:highlight w:val="none"/>
          <w:u w:val="single"/>
          <w:lang w:bidi="ar"/>
        </w:rPr>
        <w:t xml:space="preserve">202</w:t>
      </w:r>
      <w:r>
        <w:rPr>
          <w:rFonts w:hint="eastAsia"/>
          <w:color w:val="0000ff"/>
          <w:sz w:val="24"/>
          <w:highlight w:val="none"/>
          <w:u w:val="single"/>
          <w:lang w:val="en-US" w:eastAsia="zh-CN" w:bidi="ar"/>
        </w:rPr>
        <w:t xml:space="preserve">6</w:t>
      </w:r>
      <w:r>
        <w:rPr>
          <w:rFonts w:hint="eastAsia"/>
          <w:color w:val="0000ff"/>
          <w:sz w:val="24"/>
          <w:highlight w:val="none"/>
          <w:u w:val="single"/>
          <w:lang w:bidi="ar"/>
        </w:rPr>
        <w:t xml:space="preserve">年</w:t>
      </w:r>
      <w:r>
        <w:rPr>
          <w:rFonts w:hint="eastAsia"/>
          <w:color w:val="0000ff"/>
          <w:sz w:val="24"/>
          <w:highlight w:val="none"/>
          <w:u w:val="single"/>
          <w:lang w:val="en-US" w:eastAsia="zh-CN" w:bidi="ar"/>
        </w:rPr>
        <w:t xml:space="preserve">04</w:t>
      </w:r>
      <w:r>
        <w:rPr>
          <w:rFonts w:hint="eastAsia"/>
          <w:color w:val="0000ff"/>
          <w:sz w:val="24"/>
          <w:highlight w:val="none"/>
          <w:u w:val="single"/>
          <w:lang w:bidi="ar"/>
        </w:rPr>
        <w:t xml:space="preserve">月</w:t>
      </w:r>
      <w:r>
        <w:rPr>
          <w:rFonts w:hint="eastAsia"/>
          <w:color w:val="0000ff"/>
          <w:sz w:val="24"/>
          <w:highlight w:val="none"/>
          <w:u w:val="single"/>
          <w:lang w:val="en-US" w:eastAsia="zh-CN" w:bidi="ar"/>
        </w:rPr>
        <w:t xml:space="preserve">07</w:t>
      </w:r>
      <w:r>
        <w:rPr>
          <w:rFonts w:hint="eastAsia"/>
          <w:color w:val="0000ff"/>
          <w:sz w:val="24"/>
          <w:highlight w:val="none"/>
          <w:u w:val="single"/>
          <w:lang w:bidi="ar"/>
        </w:rPr>
        <w:t xml:space="preserve">日</w:t>
      </w:r>
      <w:r>
        <w:rPr>
          <w:color w:val="000000"/>
          <w:sz w:val="24"/>
          <w:lang w:bidi="ar"/>
        </w:rPr>
        <w:t xml:space="preserve">（北京时间，法定节假日除外）。</w:t>
      </w:r>
      <w:r>
        <w:rPr>
          <w:color w:val="000000"/>
          <w:sz w:val="24"/>
          <w:lang w:bidi="ar"/>
        </w:rPr>
      </w:r>
      <w:r/>
    </w:p>
    <w:p>
      <w:pPr>
        <w:pStyle w:val="1147"/>
        <w:ind w:firstLine="480"/>
        <w:jc w:val="left"/>
        <w:spacing w:line="360" w:lineRule="auto"/>
        <w:widowControl/>
        <w:rPr>
          <w:rFonts w:hint="eastAsia"/>
          <w:color w:val="000000"/>
          <w:sz w:val="24"/>
          <w:lang w:bidi="ar"/>
        </w:rPr>
      </w:pPr>
      <w:r>
        <w:rPr>
          <w:color w:val="000000"/>
          <w:sz w:val="24"/>
          <w:lang w:bidi="ar"/>
        </w:rPr>
        <w:t xml:space="preserve">2.地点：</w:t>
      </w:r>
      <w:r>
        <w:rPr>
          <w:rFonts w:hint="eastAsia"/>
          <w:color w:val="000000"/>
          <w:sz w:val="24"/>
          <w:lang w:bidi="ar"/>
        </w:rPr>
        <w:t xml:space="preserve">“苏采云”政府采购一体化平台；</w:t>
      </w:r>
      <w:r>
        <w:rPr>
          <w:rFonts w:hint="eastAsia"/>
          <w:color w:val="000000"/>
          <w:sz w:val="24"/>
          <w:lang w:bidi="ar"/>
        </w:rPr>
      </w:r>
      <w:r/>
    </w:p>
    <w:p>
      <w:pPr>
        <w:pStyle w:val="1147"/>
        <w:ind w:firstLine="480"/>
        <w:jc w:val="left"/>
        <w:spacing w:line="360" w:lineRule="auto"/>
        <w:widowControl/>
        <w:rPr>
          <w:rFonts w:hint="eastAsia"/>
          <w:color w:val="000000"/>
          <w:sz w:val="24"/>
          <w:lang w:bidi="ar"/>
        </w:rPr>
      </w:pPr>
      <w:r>
        <w:rPr>
          <w:color w:val="000000"/>
          <w:sz w:val="24"/>
          <w:lang w:bidi="ar"/>
        </w:rPr>
        <w:t xml:space="preserve">3.方式：</w:t>
      </w:r>
      <w:r>
        <w:rPr>
          <w:rFonts w:hint="eastAsia"/>
          <w:color w:val="000000"/>
          <w:sz w:val="24"/>
          <w:lang w:bidi="ar"/>
        </w:rPr>
        <w:t xml:space="preserve">供应商持政务CA数字认证证书登录“苏采云”政府采购一体化平台（http://jszfcg.jsczt.cn/jszc/login）获取电子版招标文件。</w:t>
      </w:r>
      <w:r>
        <w:rPr>
          <w:rFonts w:hint="eastAsia"/>
          <w:color w:val="000000"/>
          <w:sz w:val="24"/>
          <w:lang w:bidi="ar"/>
        </w:rPr>
      </w:r>
      <w:r/>
    </w:p>
    <w:p>
      <w:pPr>
        <w:pStyle w:val="1147"/>
        <w:ind w:firstLine="480"/>
        <w:jc w:val="left"/>
        <w:spacing w:line="360" w:lineRule="auto"/>
        <w:widowControl/>
        <w:rPr>
          <w:color w:val="000000"/>
          <w:sz w:val="24"/>
        </w:rPr>
      </w:pPr>
      <w:r>
        <w:rPr>
          <w:color w:val="000000"/>
          <w:sz w:val="24"/>
          <w:lang w:bidi="ar"/>
        </w:rPr>
        <w:t xml:space="preserve">4.售价：0元。</w:t>
      </w:r>
      <w:r>
        <w:rPr>
          <w:color w:val="000000"/>
          <w:sz w:val="24"/>
        </w:rPr>
      </w:r>
      <w:r/>
    </w:p>
    <w:p>
      <w:pPr>
        <w:pStyle w:val="1149"/>
        <w:jc w:val="left"/>
        <w:spacing w:before="0" w:line="360" w:lineRule="auto"/>
        <w:widowControl/>
        <w:rPr>
          <w:rFonts w:ascii="Times New Roman" w:hAnsi="Times New Roman" w:eastAsia="宋体"/>
          <w:color w:val="000000"/>
          <w:sz w:val="24"/>
          <w:szCs w:val="24"/>
        </w:rPr>
      </w:pPr>
      <w:r/>
      <w:bookmarkStart w:id="15" w:name="_Toc28359082"/>
      <w:r/>
      <w:bookmarkStart w:id="16" w:name="_Toc28359005"/>
      <w:r/>
      <w:bookmarkStart w:id="17" w:name="_Toc35393624"/>
      <w:r/>
      <w:bookmarkStart w:id="18" w:name="_Toc35393793"/>
      <w:r>
        <w:rPr>
          <w:rFonts w:ascii="Times New Roman" w:hAnsi="Times New Roman" w:eastAsia="宋体"/>
          <w:color w:val="000000"/>
          <w:sz w:val="24"/>
          <w:szCs w:val="24"/>
        </w:rPr>
        <w:t xml:space="preserve">四、</w:t>
      </w:r>
      <w:bookmarkEnd w:id="15"/>
      <w:r/>
      <w:bookmarkEnd w:id="16"/>
      <w:r/>
      <w:bookmarkEnd w:id="17"/>
      <w:r/>
      <w:bookmarkEnd w:id="18"/>
      <w:r>
        <w:rPr>
          <w:rFonts w:ascii="Times New Roman" w:hAnsi="Times New Roman" w:eastAsia="宋体"/>
          <w:color w:val="000000"/>
          <w:sz w:val="24"/>
          <w:szCs w:val="24"/>
        </w:rPr>
        <w:t xml:space="preserve">响应文件提交</w:t>
      </w:r>
      <w:r>
        <w:rPr>
          <w:rFonts w:ascii="Times New Roman" w:hAnsi="Times New Roman" w:eastAsia="宋体"/>
          <w:color w:val="000000"/>
          <w:sz w:val="24"/>
          <w:szCs w:val="24"/>
        </w:rPr>
      </w:r>
      <w:r/>
    </w:p>
    <w:p>
      <w:pPr>
        <w:pStyle w:val="1147"/>
        <w:ind w:firstLine="480"/>
        <w:spacing w:line="360" w:lineRule="auto"/>
        <w:rPr>
          <w:bCs/>
          <w:color w:val="000000"/>
          <w:sz w:val="24"/>
          <w:u w:val="single"/>
        </w:rPr>
      </w:pPr>
      <w:r>
        <w:rPr>
          <w:color w:val="000000"/>
          <w:sz w:val="24"/>
        </w:rPr>
        <w:t xml:space="preserve">截止时间</w:t>
      </w:r>
      <w:r>
        <w:rPr>
          <w:color w:val="000000"/>
          <w:sz w:val="24"/>
          <w:lang w:bidi="ar"/>
        </w:rPr>
        <w:t xml:space="preserve">：</w:t>
      </w:r>
      <w:r>
        <w:rPr>
          <w:rFonts w:hint="eastAsia"/>
          <w:color w:val="0000ff"/>
          <w:sz w:val="24"/>
          <w:lang w:val="en-US" w:eastAsia="zh-CN" w:bidi="ar"/>
        </w:rPr>
        <w:t xml:space="preserve">2026</w:t>
      </w:r>
      <w:r>
        <w:rPr>
          <w:color w:val="0000ff"/>
          <w:sz w:val="24"/>
          <w:lang w:bidi="ar"/>
        </w:rPr>
        <w:t xml:space="preserve">年</w:t>
      </w:r>
      <w:r>
        <w:rPr>
          <w:rFonts w:hint="eastAsia"/>
          <w:color w:val="0000ff"/>
          <w:sz w:val="24"/>
          <w:lang w:val="en-US" w:eastAsia="zh-CN" w:bidi="ar"/>
        </w:rPr>
        <w:t xml:space="preserve">04</w:t>
      </w:r>
      <w:r>
        <w:rPr>
          <w:color w:val="0000ff"/>
          <w:sz w:val="24"/>
          <w:lang w:bidi="ar"/>
        </w:rPr>
        <w:t xml:space="preserve">月</w:t>
      </w:r>
      <w:r>
        <w:rPr>
          <w:rFonts w:hint="eastAsia"/>
          <w:color w:val="0000ff"/>
          <w:sz w:val="24"/>
          <w:lang w:val="en-US" w:eastAsia="zh-CN" w:bidi="ar"/>
        </w:rPr>
        <w:t xml:space="preserve">15</w:t>
      </w:r>
      <w:r>
        <w:rPr>
          <w:color w:val="0000ff"/>
          <w:sz w:val="24"/>
          <w:lang w:bidi="ar"/>
        </w:rPr>
        <w:t xml:space="preserve">日</w:t>
      </w:r>
      <w:r>
        <w:rPr>
          <w:rFonts w:hint="eastAsia"/>
          <w:color w:val="0000ff"/>
          <w:sz w:val="24"/>
          <w:lang w:val="en-US" w:eastAsia="zh-CN" w:bidi="ar"/>
        </w:rPr>
        <w:t xml:space="preserve">14</w:t>
      </w:r>
      <w:r>
        <w:rPr>
          <w:color w:val="0000ff"/>
          <w:sz w:val="24"/>
          <w:lang w:bidi="ar"/>
        </w:rPr>
        <w:t xml:space="preserve">点</w:t>
      </w:r>
      <w:r>
        <w:rPr>
          <w:rFonts w:hint="eastAsia"/>
          <w:color w:val="0000ff"/>
          <w:sz w:val="24"/>
          <w:lang w:val="en-US" w:eastAsia="zh-CN" w:bidi="ar"/>
        </w:rPr>
        <w:t xml:space="preserve">00</w:t>
      </w:r>
      <w:r>
        <w:rPr>
          <w:color w:val="0000ff"/>
          <w:sz w:val="24"/>
          <w:lang w:bidi="ar"/>
        </w:rPr>
        <w:t xml:space="preserve">分</w:t>
      </w:r>
      <w:r>
        <w:rPr>
          <w:bCs/>
          <w:color w:val="000000"/>
          <w:sz w:val="24"/>
          <w:lang w:bidi="ar"/>
        </w:rPr>
        <w:t xml:space="preserve">（北京时间）</w:t>
      </w:r>
      <w:r>
        <w:rPr>
          <w:iCs/>
          <w:color w:val="000000"/>
          <w:sz w:val="24"/>
          <w:lang w:bidi="ar"/>
        </w:rPr>
        <w:t xml:space="preserve">。</w:t>
      </w:r>
      <w:r>
        <w:rPr>
          <w:bCs/>
          <w:color w:val="000000"/>
          <w:sz w:val="24"/>
          <w:u w:val="single"/>
        </w:rPr>
      </w:r>
      <w:r/>
    </w:p>
    <w:p>
      <w:pPr>
        <w:pStyle w:val="1147"/>
        <w:ind w:firstLine="480"/>
        <w:spacing w:line="360" w:lineRule="auto"/>
        <w:rPr>
          <w:color w:val="000000"/>
          <w:sz w:val="24"/>
          <w:lang w:val="zh-TW" w:bidi="ar"/>
        </w:rPr>
      </w:pPr>
      <w:r>
        <w:rPr>
          <w:color w:val="000000"/>
          <w:sz w:val="24"/>
        </w:rPr>
        <w:t xml:space="preserve">地点</w:t>
      </w:r>
      <w:r>
        <w:rPr>
          <w:color w:val="000000"/>
          <w:sz w:val="24"/>
          <w:lang w:bidi="ar"/>
        </w:rPr>
        <w:t xml:space="preserve">：</w:t>
      </w:r>
      <w:r>
        <w:rPr>
          <w:rFonts w:hint="eastAsia" w:ascii="宋体" w:hAnsi="宋体"/>
          <w:color w:val="000000"/>
          <w:sz w:val="24"/>
          <w:u w:val="single"/>
        </w:rPr>
        <w:t xml:space="preserve">本项目采用不见面交易方式，无需到现场提交，响应人登录“苏采云”政府采购一体化平台供应商端，通过系统在线提交电子投标文件</w:t>
      </w:r>
      <w:r>
        <w:rPr>
          <w:color w:val="000000"/>
          <w:sz w:val="24"/>
          <w:lang w:val="zh-TW" w:bidi="ar"/>
        </w:rPr>
        <w:t xml:space="preserve">。</w:t>
      </w:r>
      <w:r>
        <w:rPr>
          <w:color w:val="000000"/>
          <w:sz w:val="24"/>
          <w:lang w:val="zh-TW" w:bidi="ar"/>
        </w:rPr>
      </w:r>
      <w:r/>
    </w:p>
    <w:p>
      <w:pPr>
        <w:pStyle w:val="1149"/>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五、开启</w:t>
      </w:r>
      <w:r>
        <w:rPr>
          <w:rFonts w:ascii="Times New Roman" w:hAnsi="Times New Roman" w:eastAsia="宋体"/>
          <w:color w:val="000000"/>
          <w:sz w:val="24"/>
          <w:szCs w:val="24"/>
        </w:rPr>
      </w:r>
      <w:r/>
    </w:p>
    <w:p>
      <w:pPr>
        <w:pStyle w:val="1147"/>
        <w:ind w:firstLine="480"/>
        <w:spacing w:line="360" w:lineRule="auto"/>
        <w:rPr>
          <w:bCs/>
          <w:color w:val="000000"/>
          <w:sz w:val="24"/>
          <w:u w:val="single"/>
        </w:rPr>
      </w:pPr>
      <w:r>
        <w:rPr>
          <w:color w:val="000000"/>
          <w:sz w:val="24"/>
          <w:lang w:bidi="ar"/>
        </w:rPr>
        <w:t xml:space="preserve">时间：</w:t>
      </w:r>
      <w:r>
        <w:rPr>
          <w:rFonts w:hint="eastAsia" w:ascii="Times New Roman" w:eastAsia="宋体"/>
          <w:color w:val="0000ff"/>
          <w:sz w:val="24"/>
          <w:lang w:val="en-US" w:eastAsia="zh-CN" w:bidi="ar"/>
        </w:rPr>
        <w:t xml:space="preserve">2026</w:t>
      </w:r>
      <w:r>
        <w:rPr>
          <w:color w:val="0000ff"/>
          <w:sz w:val="24"/>
          <w:lang w:bidi="ar"/>
        </w:rPr>
        <w:t xml:space="preserve">年</w:t>
      </w:r>
      <w:r>
        <w:rPr>
          <w:rFonts w:hint="eastAsia" w:ascii="Times New Roman" w:eastAsia="宋体"/>
          <w:color w:val="0000ff"/>
          <w:sz w:val="24"/>
          <w:lang w:val="en-US" w:eastAsia="zh-CN" w:bidi="ar"/>
        </w:rPr>
        <w:t xml:space="preserve">04</w:t>
      </w:r>
      <w:r>
        <w:rPr>
          <w:color w:val="0000ff"/>
          <w:sz w:val="24"/>
          <w:lang w:bidi="ar"/>
        </w:rPr>
        <w:t xml:space="preserve">月</w:t>
      </w:r>
      <w:r>
        <w:rPr>
          <w:rFonts w:hint="eastAsia" w:ascii="Times New Roman" w:eastAsia="宋体"/>
          <w:color w:val="0000ff"/>
          <w:sz w:val="24"/>
          <w:lang w:val="en-US" w:eastAsia="zh-CN" w:bidi="ar"/>
        </w:rPr>
        <w:t xml:space="preserve">15</w:t>
      </w:r>
      <w:r>
        <w:rPr>
          <w:color w:val="0000ff"/>
          <w:sz w:val="24"/>
          <w:lang w:bidi="ar"/>
        </w:rPr>
        <w:t xml:space="preserve">日</w:t>
      </w:r>
      <w:r>
        <w:rPr>
          <w:rFonts w:hint="eastAsia" w:ascii="Times New Roman" w:eastAsia="宋体"/>
          <w:color w:val="0000ff"/>
          <w:sz w:val="24"/>
          <w:lang w:val="en-US" w:eastAsia="zh-CN" w:bidi="ar"/>
        </w:rPr>
        <w:t xml:space="preserve">14</w:t>
      </w:r>
      <w:r>
        <w:rPr>
          <w:color w:val="0000ff"/>
          <w:sz w:val="24"/>
          <w:lang w:bidi="ar"/>
        </w:rPr>
        <w:t xml:space="preserve">点</w:t>
      </w:r>
      <w:r>
        <w:rPr>
          <w:rFonts w:hint="eastAsia" w:ascii="Times New Roman" w:eastAsia="宋体"/>
          <w:color w:val="0000ff"/>
          <w:sz w:val="24"/>
          <w:lang w:val="en-US" w:eastAsia="zh-CN" w:bidi="ar"/>
        </w:rPr>
        <w:t xml:space="preserve">00</w:t>
      </w:r>
      <w:r>
        <w:rPr>
          <w:color w:val="0000ff"/>
          <w:sz w:val="24"/>
          <w:lang w:bidi="ar"/>
        </w:rPr>
        <w:t xml:space="preserve">分</w:t>
      </w:r>
      <w:r>
        <w:rPr>
          <w:bCs/>
          <w:color w:val="000000"/>
          <w:sz w:val="24"/>
          <w:lang w:bidi="ar"/>
        </w:rPr>
        <w:t xml:space="preserve">（北京时间）</w:t>
      </w:r>
      <w:r>
        <w:rPr>
          <w:iCs/>
          <w:color w:val="000000"/>
          <w:sz w:val="24"/>
          <w:lang w:bidi="ar"/>
        </w:rPr>
        <w:t xml:space="preserve">。</w:t>
      </w:r>
      <w:r>
        <w:rPr>
          <w:bCs/>
          <w:color w:val="000000"/>
          <w:sz w:val="24"/>
          <w:u w:val="single"/>
        </w:rPr>
      </w:r>
      <w:r/>
    </w:p>
    <w:p>
      <w:pPr>
        <w:pStyle w:val="1147"/>
        <w:ind w:firstLine="480"/>
        <w:spacing w:line="360" w:lineRule="auto"/>
        <w:rPr>
          <w:color w:val="000000"/>
          <w:sz w:val="24"/>
          <w:lang w:val="zh-TW" w:bidi="ar"/>
        </w:rPr>
      </w:pPr>
      <w:r>
        <w:rPr>
          <w:color w:val="000000"/>
          <w:sz w:val="24"/>
          <w:lang w:bidi="ar"/>
        </w:rPr>
        <w:t xml:space="preserve">地点：</w:t>
      </w:r>
      <w:r>
        <w:rPr>
          <w:rFonts w:hint="eastAsia" w:ascii="宋体" w:hAnsi="宋体"/>
          <w:color w:val="000000"/>
          <w:sz w:val="24"/>
          <w:u w:val="single"/>
        </w:rPr>
        <w:t xml:space="preserve">本项目采用不见面交易方式，无需到现场提交，响应人登录“苏采云”政府采购一体化平台供应商端，通过系统在线提交电子投标文件</w:t>
      </w:r>
      <w:r>
        <w:rPr>
          <w:color w:val="000000"/>
          <w:sz w:val="24"/>
          <w:lang w:val="zh-TW" w:bidi="ar"/>
        </w:rPr>
        <w:t xml:space="preserve">。</w:t>
      </w:r>
      <w:r>
        <w:rPr>
          <w:color w:val="000000"/>
          <w:sz w:val="24"/>
          <w:lang w:val="zh-TW" w:bidi="ar"/>
        </w:rPr>
      </w:r>
      <w:r/>
    </w:p>
    <w:p>
      <w:pPr>
        <w:pStyle w:val="1149"/>
        <w:jc w:val="left"/>
        <w:spacing w:before="0" w:line="360" w:lineRule="auto"/>
        <w:rPr>
          <w:rFonts w:ascii="Times New Roman" w:hAnsi="Times New Roman" w:eastAsia="宋体"/>
          <w:color w:val="000000"/>
          <w:sz w:val="24"/>
          <w:szCs w:val="24"/>
        </w:rPr>
      </w:pPr>
      <w:r/>
      <w:bookmarkStart w:id="19" w:name="_Toc28359007"/>
      <w:r/>
      <w:bookmarkStart w:id="20" w:name="_Toc35393794"/>
      <w:r/>
      <w:bookmarkStart w:id="21" w:name="_Toc35393625"/>
      <w:r/>
      <w:bookmarkStart w:id="22" w:name="_Toc28359084"/>
      <w:r>
        <w:rPr>
          <w:rFonts w:ascii="Times New Roman" w:hAnsi="Times New Roman" w:eastAsia="宋体"/>
          <w:color w:val="000000"/>
          <w:sz w:val="24"/>
          <w:szCs w:val="24"/>
        </w:rPr>
        <w:t xml:space="preserve">六、公告期限</w:t>
      </w:r>
      <w:bookmarkEnd w:id="19"/>
      <w:r/>
      <w:bookmarkEnd w:id="20"/>
      <w:r/>
      <w:bookmarkEnd w:id="21"/>
      <w:r/>
      <w:bookmarkEnd w:id="22"/>
      <w:r>
        <w:rPr>
          <w:rFonts w:ascii="Times New Roman" w:hAnsi="Times New Roman" w:eastAsia="宋体"/>
          <w:color w:val="000000"/>
          <w:sz w:val="24"/>
          <w:szCs w:val="24"/>
        </w:rPr>
      </w:r>
      <w:r/>
    </w:p>
    <w:p>
      <w:pPr>
        <w:pStyle w:val="1147"/>
        <w:ind w:firstLine="480"/>
        <w:spacing w:line="360" w:lineRule="auto"/>
        <w:rPr>
          <w:color w:val="000000"/>
          <w:sz w:val="24"/>
        </w:rPr>
      </w:pPr>
      <w:r>
        <w:rPr>
          <w:color w:val="000000"/>
          <w:sz w:val="24"/>
        </w:rPr>
        <w:t xml:space="preserve">自本公告发布之日起</w:t>
      </w:r>
      <w:r>
        <w:rPr>
          <w:rFonts w:hint="eastAsia"/>
          <w:color w:val="000000"/>
          <w:sz w:val="24"/>
        </w:rPr>
        <w:t xml:space="preserve">5</w:t>
      </w:r>
      <w:r>
        <w:rPr>
          <w:color w:val="000000"/>
          <w:sz w:val="24"/>
        </w:rPr>
        <w:t xml:space="preserve">个工作日。</w:t>
      </w:r>
      <w:r>
        <w:rPr>
          <w:color w:val="000000"/>
          <w:sz w:val="24"/>
        </w:rPr>
      </w:r>
      <w:r/>
    </w:p>
    <w:p>
      <w:pPr>
        <w:pStyle w:val="1149"/>
        <w:jc w:val="left"/>
        <w:spacing w:before="0" w:line="360" w:lineRule="auto"/>
        <w:rPr>
          <w:rFonts w:ascii="Times New Roman" w:hAnsi="Times New Roman" w:eastAsia="宋体"/>
          <w:color w:val="000000"/>
          <w:sz w:val="24"/>
          <w:szCs w:val="24"/>
        </w:rPr>
      </w:pPr>
      <w:r/>
      <w:bookmarkStart w:id="23" w:name="_Toc35393626"/>
      <w:r/>
      <w:bookmarkStart w:id="24" w:name="_Toc35393795"/>
      <w:r>
        <w:rPr>
          <w:rFonts w:ascii="Times New Roman" w:hAnsi="Times New Roman" w:eastAsia="宋体"/>
          <w:color w:val="000000"/>
          <w:sz w:val="24"/>
          <w:szCs w:val="24"/>
        </w:rPr>
        <w:t xml:space="preserve">七、其他补充事宜</w:t>
      </w:r>
      <w:bookmarkEnd w:id="23"/>
      <w:r/>
      <w:bookmarkEnd w:id="24"/>
      <w:r>
        <w:rPr>
          <w:rFonts w:ascii="Times New Roman" w:hAnsi="Times New Roman" w:eastAsia="宋体"/>
          <w:color w:val="000000"/>
          <w:sz w:val="24"/>
          <w:szCs w:val="24"/>
        </w:rPr>
      </w:r>
      <w:r/>
    </w:p>
    <w:p>
      <w:pPr>
        <w:pStyle w:val="1147"/>
        <w:ind w:firstLine="480"/>
        <w:spacing w:line="360" w:lineRule="auto"/>
        <w:rPr>
          <w:color w:val="000000"/>
          <w:sz w:val="24"/>
        </w:rPr>
      </w:pPr>
      <w:r>
        <w:rPr>
          <w:color w:val="000000"/>
          <w:sz w:val="24"/>
        </w:rPr>
        <w:t xml:space="preserve">1.本项目需要落实的政府采购政策：</w:t>
      </w:r>
      <w:r>
        <w:rPr>
          <w:rFonts w:hint="eastAsia"/>
          <w:color w:val="000000"/>
          <w:sz w:val="24"/>
          <w:u w:val="single"/>
        </w:rPr>
        <w:t xml:space="preserve">  /  </w:t>
      </w:r>
      <w:r>
        <w:rPr>
          <w:color w:val="000000"/>
          <w:sz w:val="24"/>
          <w:lang w:bidi="ar"/>
        </w:rPr>
        <w:t xml:space="preserve">。</w:t>
      </w:r>
      <w:r>
        <w:rPr>
          <w:color w:val="000000"/>
          <w:sz w:val="24"/>
        </w:rPr>
      </w:r>
      <w:r/>
    </w:p>
    <w:p>
      <w:pPr>
        <w:pStyle w:val="1147"/>
        <w:ind w:firstLine="480"/>
        <w:spacing w:line="360" w:lineRule="auto"/>
        <w:rPr>
          <w:color w:val="000000"/>
          <w:sz w:val="24"/>
        </w:rPr>
      </w:pPr>
      <w:r/>
      <w:bookmarkStart w:id="25" w:name="_Toc28359008"/>
      <w:r/>
      <w:bookmarkStart w:id="26" w:name="_Toc35393796"/>
      <w:r/>
      <w:bookmarkStart w:id="27" w:name="_Toc35393627"/>
      <w:r/>
      <w:bookmarkStart w:id="28" w:name="_Toc28359085"/>
      <w:r>
        <w:rPr>
          <w:rFonts w:hint="eastAsia"/>
          <w:color w:val="000000"/>
          <w:sz w:val="24"/>
        </w:rPr>
        <w:t xml:space="preserve">2.关于常州市中小企业政府采购信用融资：根据《常州市财政局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sz w:val="24"/>
        </w:rPr>
      </w:r>
      <w:r/>
    </w:p>
    <w:p>
      <w:pPr>
        <w:pStyle w:val="1147"/>
        <w:ind w:firstLine="480"/>
        <w:spacing w:line="360" w:lineRule="auto"/>
        <w:rPr>
          <w:color w:val="000000"/>
          <w:sz w:val="24"/>
        </w:rPr>
      </w:pPr>
      <w:r>
        <w:rPr>
          <w:rFonts w:hint="eastAsia"/>
          <w:color w:val="000000"/>
          <w:sz w:val="24"/>
        </w:rPr>
        <w:t xml:space="preserve">3.本项目采用全流程电子化采购方式，请供应商认真学习</w:t>
      </w:r>
      <w:r>
        <w:rPr>
          <w:rFonts w:hint="eastAsia"/>
          <w:color w:val="000000"/>
          <w:sz w:val="24"/>
          <w:lang w:eastAsia="zh-CN"/>
        </w:rPr>
        <w:t xml:space="preserve">苏采云</w:t>
      </w:r>
      <w:r>
        <w:rPr>
          <w:rFonts w:hint="eastAsia"/>
          <w:color w:val="000000"/>
          <w:sz w:val="24"/>
        </w:rPr>
        <w:t xml:space="preserve">系统平台发布的相关操作手册，办理CA认证证书、进行</w:t>
      </w:r>
      <w:r>
        <w:rPr>
          <w:rFonts w:hint="eastAsia"/>
          <w:color w:val="000000"/>
          <w:sz w:val="24"/>
          <w:lang w:eastAsia="zh-CN"/>
        </w:rPr>
        <w:t xml:space="preserve">苏采云</w:t>
      </w:r>
      <w:r>
        <w:rPr>
          <w:rFonts w:hint="eastAsia"/>
          <w:color w:val="000000"/>
          <w:sz w:val="24"/>
        </w:rPr>
        <w:t xml:space="preserve">系统平台注册绑定，并认真核实数字认证证书情况确认是否符合本项目电子化采购流程要求。</w:t>
      </w:r>
      <w:r>
        <w:rPr>
          <w:color w:val="000000"/>
          <w:sz w:val="24"/>
        </w:rPr>
      </w:r>
      <w:r/>
    </w:p>
    <w:p>
      <w:pPr>
        <w:pStyle w:val="1147"/>
        <w:ind w:firstLine="480"/>
        <w:spacing w:line="360" w:lineRule="auto"/>
        <w:rPr>
          <w:color w:val="000000"/>
          <w:sz w:val="24"/>
        </w:rPr>
      </w:pPr>
      <w:r>
        <w:rPr>
          <w:rFonts w:hint="eastAsia"/>
          <w:color w:val="000000"/>
          <w:sz w:val="24"/>
        </w:rPr>
        <w:t xml:space="preserve">技术支持服务热线    400-608-6099</w:t>
      </w:r>
      <w:r>
        <w:rPr>
          <w:color w:val="000000"/>
          <w:sz w:val="24"/>
        </w:rPr>
      </w:r>
      <w:r/>
    </w:p>
    <w:p>
      <w:pPr>
        <w:pStyle w:val="1147"/>
        <w:ind w:firstLine="480"/>
        <w:spacing w:line="360" w:lineRule="auto"/>
        <w:rPr>
          <w:color w:val="000000"/>
          <w:sz w:val="24"/>
        </w:rPr>
      </w:pPr>
      <w:r>
        <w:rPr>
          <w:rFonts w:hint="eastAsia"/>
          <w:color w:val="000000"/>
          <w:sz w:val="24"/>
        </w:rPr>
        <w:t xml:space="preserve">3.1办理CA认证证书</w:t>
      </w:r>
      <w:r>
        <w:rPr>
          <w:color w:val="000000"/>
          <w:sz w:val="24"/>
        </w:rPr>
      </w:r>
      <w:r/>
    </w:p>
    <w:p>
      <w:pPr>
        <w:pStyle w:val="1147"/>
        <w:ind w:firstLine="480"/>
        <w:spacing w:line="360" w:lineRule="auto"/>
        <w:rPr>
          <w:color w:val="000000"/>
          <w:sz w:val="24"/>
        </w:rPr>
      </w:pPr>
      <w:r>
        <w:rPr>
          <w:rFonts w:hint="eastAsia"/>
          <w:color w:val="000000"/>
          <w:sz w:val="24"/>
        </w:rPr>
        <w:t xml:space="preserve">供应商登录常州市政府采购网“下载中心”下载并查阅 “江苏省政府采购数字证书（供应商）数字证书CA及电子签章办理指南”，按照程序要求办理。</w:t>
      </w:r>
      <w:r>
        <w:rPr>
          <w:color w:val="000000"/>
          <w:sz w:val="24"/>
        </w:rPr>
      </w:r>
      <w:r/>
    </w:p>
    <w:p>
      <w:pPr>
        <w:pStyle w:val="1147"/>
        <w:ind w:firstLine="480"/>
        <w:spacing w:line="360" w:lineRule="auto"/>
        <w:rPr>
          <w:color w:val="000000"/>
          <w:sz w:val="24"/>
        </w:rPr>
      </w:pPr>
      <w:r>
        <w:rPr>
          <w:rFonts w:hint="eastAsia"/>
          <w:color w:val="000000"/>
          <w:sz w:val="24"/>
        </w:rPr>
        <w:t xml:space="preserve">3.2注册</w:t>
      </w:r>
      <w:r>
        <w:rPr>
          <w:color w:val="000000"/>
          <w:sz w:val="24"/>
        </w:rPr>
      </w:r>
      <w:r/>
    </w:p>
    <w:p>
      <w:pPr>
        <w:pStyle w:val="1147"/>
        <w:ind w:firstLine="480"/>
        <w:spacing w:line="360" w:lineRule="auto"/>
        <w:rPr>
          <w:color w:val="000000"/>
          <w:sz w:val="24"/>
        </w:rPr>
      </w:pPr>
      <w:r>
        <w:rPr>
          <w:rFonts w:hint="eastAsia"/>
          <w:color w:val="000000"/>
          <w:sz w:val="24"/>
        </w:rPr>
        <w:t xml:space="preserve">供应商登录常州市政府采购网“下载中心”-“</w:t>
      </w:r>
      <w:r>
        <w:rPr>
          <w:color w:val="000000"/>
          <w:sz w:val="24"/>
        </w:rPr>
        <w:t xml:space="preserve">“苏采云”系统供应商操作手册</w:t>
      </w:r>
      <w:r>
        <w:rPr>
          <w:rFonts w:hint="eastAsia"/>
          <w:color w:val="000000"/>
          <w:sz w:val="24"/>
        </w:rPr>
        <w:t xml:space="preserve">”下载相关操作手册、操作视频等，查阅后进行自助注册。</w:t>
      </w:r>
      <w:r>
        <w:rPr>
          <w:color w:val="000000"/>
          <w:sz w:val="24"/>
        </w:rPr>
      </w:r>
      <w:r/>
    </w:p>
    <w:p>
      <w:pPr>
        <w:pStyle w:val="1147"/>
        <w:ind w:firstLine="480"/>
        <w:spacing w:line="360" w:lineRule="auto"/>
        <w:rPr>
          <w:color w:val="000000"/>
          <w:sz w:val="24"/>
        </w:rPr>
      </w:pPr>
      <w:r>
        <w:rPr>
          <w:rFonts w:hint="eastAsia"/>
          <w:color w:val="000000"/>
          <w:sz w:val="24"/>
        </w:rPr>
        <w:t xml:space="preserve">3.3控件、客户端下载</w:t>
      </w:r>
      <w:r>
        <w:rPr>
          <w:color w:val="000000"/>
          <w:sz w:val="24"/>
        </w:rPr>
      </w:r>
      <w:r/>
    </w:p>
    <w:p>
      <w:pPr>
        <w:pStyle w:val="1147"/>
        <w:ind w:firstLine="480"/>
        <w:spacing w:line="360" w:lineRule="auto"/>
        <w:rPr>
          <w:color w:val="000000"/>
          <w:sz w:val="24"/>
        </w:rPr>
      </w:pPr>
      <w:r>
        <w:rPr>
          <w:rFonts w:hint="eastAsia"/>
          <w:color w:val="000000"/>
          <w:sz w:val="24"/>
        </w:rPr>
        <w:t xml:space="preserve">供应商登录常州市政府采购网“下载中心”-“政府采购管理交易系统（苏采云）CA及签章控件驱动”下载相关控件和客户端。</w:t>
      </w:r>
      <w:r>
        <w:rPr>
          <w:color w:val="000000"/>
          <w:sz w:val="24"/>
        </w:rPr>
      </w:r>
      <w:r/>
    </w:p>
    <w:p>
      <w:pPr>
        <w:pStyle w:val="1147"/>
        <w:ind w:firstLine="480"/>
        <w:spacing w:line="360" w:lineRule="auto"/>
        <w:rPr>
          <w:color w:val="000000"/>
          <w:sz w:val="24"/>
        </w:rPr>
      </w:pPr>
      <w:r>
        <w:rPr>
          <w:rFonts w:hint="eastAsia"/>
          <w:color w:val="000000"/>
          <w:sz w:val="24"/>
        </w:rPr>
        <w:t xml:space="preserve">3.4 获取电子磋商文件</w:t>
      </w:r>
      <w:r>
        <w:rPr>
          <w:color w:val="000000"/>
          <w:sz w:val="24"/>
        </w:rPr>
      </w:r>
      <w:r/>
    </w:p>
    <w:p>
      <w:pPr>
        <w:pStyle w:val="1147"/>
        <w:ind w:firstLine="480"/>
        <w:spacing w:line="360" w:lineRule="auto"/>
        <w:rPr>
          <w:color w:val="000000"/>
          <w:sz w:val="24"/>
        </w:rPr>
      </w:pPr>
      <w:r>
        <w:rPr>
          <w:rFonts w:hint="eastAsia"/>
          <w:color w:val="000000"/>
          <w:sz w:val="24"/>
        </w:rPr>
        <w:t xml:space="preserve">供应商持CA数字认证证书登录</w:t>
      </w:r>
      <w:r>
        <w:rPr>
          <w:rFonts w:hint="eastAsia"/>
          <w:color w:val="000000"/>
          <w:sz w:val="24"/>
          <w:lang w:eastAsia="zh-CN"/>
        </w:rPr>
        <w:t xml:space="preserve">苏采云</w:t>
      </w:r>
      <w:r>
        <w:rPr>
          <w:rFonts w:hint="eastAsia"/>
          <w:color w:val="000000"/>
          <w:sz w:val="24"/>
        </w:rPr>
        <w:t xml:space="preserve">系统平台获取电子磋商文件。未在规定期限内通过</w:t>
      </w:r>
      <w:r>
        <w:rPr>
          <w:rFonts w:hint="eastAsia"/>
          <w:color w:val="000000"/>
          <w:sz w:val="24"/>
          <w:lang w:eastAsia="zh-CN"/>
        </w:rPr>
        <w:t xml:space="preserve">苏采云</w:t>
      </w:r>
      <w:r>
        <w:rPr>
          <w:rFonts w:hint="eastAsia"/>
          <w:color w:val="000000"/>
          <w:sz w:val="24"/>
        </w:rPr>
        <w:t xml:space="preserve">系统平台获取磋商文件的响应无效。</w:t>
      </w:r>
      <w:r>
        <w:rPr>
          <w:color w:val="000000"/>
          <w:sz w:val="24"/>
        </w:rPr>
      </w:r>
      <w:r/>
    </w:p>
    <w:p>
      <w:pPr>
        <w:pStyle w:val="1147"/>
        <w:ind w:firstLine="480"/>
        <w:spacing w:line="360" w:lineRule="auto"/>
        <w:rPr>
          <w:color w:val="000000"/>
          <w:sz w:val="24"/>
        </w:rPr>
      </w:pPr>
      <w:r>
        <w:rPr>
          <w:rFonts w:hint="eastAsia"/>
          <w:color w:val="000000"/>
          <w:sz w:val="24"/>
        </w:rPr>
        <w:t xml:space="preserve">3.5编制电子响应文件</w:t>
      </w:r>
      <w:r>
        <w:rPr>
          <w:color w:val="000000"/>
          <w:sz w:val="24"/>
        </w:rPr>
      </w:r>
      <w:r/>
    </w:p>
    <w:p>
      <w:pPr>
        <w:pStyle w:val="1147"/>
        <w:ind w:firstLine="480"/>
        <w:spacing w:line="360" w:lineRule="auto"/>
        <w:rPr>
          <w:color w:val="000000"/>
          <w:sz w:val="24"/>
        </w:rPr>
      </w:pPr>
      <w:r>
        <w:rPr>
          <w:rFonts w:hint="eastAsia"/>
          <w:color w:val="000000"/>
          <w:sz w:val="24"/>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rPr>
          <w:color w:val="000000"/>
          <w:sz w:val="24"/>
        </w:rPr>
      </w:r>
      <w:r/>
    </w:p>
    <w:p>
      <w:pPr>
        <w:pStyle w:val="1147"/>
        <w:ind w:firstLine="480"/>
        <w:spacing w:line="360" w:lineRule="auto"/>
        <w:rPr>
          <w:color w:val="000000"/>
          <w:sz w:val="24"/>
        </w:rPr>
      </w:pPr>
      <w:r>
        <w:rPr>
          <w:rFonts w:hint="eastAsia"/>
          <w:color w:val="000000"/>
          <w:sz w:val="24"/>
        </w:rPr>
        <w:t xml:space="preserve">3.6提交电子响应文件</w:t>
      </w:r>
      <w:r>
        <w:rPr>
          <w:color w:val="000000"/>
          <w:sz w:val="24"/>
        </w:rPr>
      </w:r>
      <w:r/>
    </w:p>
    <w:p>
      <w:pPr>
        <w:pStyle w:val="1147"/>
        <w:ind w:firstLine="480"/>
        <w:spacing w:line="360" w:lineRule="auto"/>
        <w:rPr>
          <w:color w:val="000000"/>
          <w:sz w:val="24"/>
        </w:rPr>
      </w:pPr>
      <w:r>
        <w:rPr>
          <w:rFonts w:hint="eastAsia"/>
          <w:color w:val="000000"/>
          <w:sz w:val="24"/>
        </w:rPr>
        <w:t xml:space="preserve">供应商应于响应截止时间前在</w:t>
      </w:r>
      <w:r>
        <w:rPr>
          <w:rFonts w:hint="eastAsia"/>
          <w:color w:val="000000"/>
          <w:sz w:val="24"/>
          <w:lang w:eastAsia="zh-CN"/>
        </w:rPr>
        <w:t xml:space="preserve">苏采云</w:t>
      </w:r>
      <w:r>
        <w:rPr>
          <w:rFonts w:hint="eastAsia"/>
          <w:color w:val="000000"/>
          <w:sz w:val="24"/>
        </w:rPr>
        <w:t xml:space="preserve">系统平台提交电子响应文件，上传电子响应文件过程中请保持与互联网的连接畅通。</w:t>
      </w:r>
      <w:r>
        <w:rPr>
          <w:color w:val="000000"/>
          <w:sz w:val="24"/>
        </w:rPr>
      </w:r>
      <w:r/>
    </w:p>
    <w:p>
      <w:pPr>
        <w:pStyle w:val="1147"/>
        <w:ind w:firstLine="480"/>
        <w:spacing w:line="360" w:lineRule="auto"/>
        <w:rPr>
          <w:color w:val="000000"/>
          <w:sz w:val="24"/>
        </w:rPr>
      </w:pPr>
      <w:r>
        <w:rPr>
          <w:rFonts w:hint="eastAsia"/>
          <w:color w:val="000000"/>
          <w:sz w:val="24"/>
        </w:rPr>
        <w:t xml:space="preserve">3.7电子开标</w:t>
      </w:r>
      <w:r>
        <w:rPr>
          <w:color w:val="000000"/>
          <w:sz w:val="24"/>
        </w:rPr>
      </w:r>
      <w:r/>
    </w:p>
    <w:p>
      <w:pPr>
        <w:pStyle w:val="1147"/>
        <w:ind w:firstLine="480"/>
        <w:spacing w:line="360" w:lineRule="auto"/>
        <w:rPr>
          <w:color w:val="000000"/>
          <w:sz w:val="24"/>
        </w:rPr>
      </w:pPr>
      <w:r>
        <w:rPr>
          <w:rFonts w:hint="eastAsia"/>
          <w:color w:val="000000"/>
          <w:sz w:val="24"/>
        </w:rPr>
        <w:t xml:space="preserve">供应商使用CA认证证书登录</w:t>
      </w:r>
      <w:r>
        <w:rPr>
          <w:rFonts w:hint="eastAsia"/>
          <w:color w:val="000000"/>
          <w:sz w:val="24"/>
          <w:lang w:eastAsia="zh-CN"/>
        </w:rPr>
        <w:t xml:space="preserve">苏采云</w:t>
      </w:r>
      <w:r>
        <w:rPr>
          <w:rFonts w:hint="eastAsia"/>
          <w:color w:val="000000"/>
          <w:sz w:val="24"/>
        </w:rPr>
        <w:t xml:space="preserve">系统平台进行电子化不见面开标。</w:t>
      </w:r>
      <w:r>
        <w:rPr>
          <w:color w:val="000000"/>
          <w:sz w:val="24"/>
        </w:rPr>
      </w:r>
      <w:r/>
    </w:p>
    <w:p>
      <w:pPr>
        <w:pStyle w:val="1147"/>
        <w:ind w:firstLine="480"/>
        <w:spacing w:line="360" w:lineRule="auto"/>
        <w:rPr>
          <w:color w:val="000000"/>
          <w:sz w:val="24"/>
        </w:rPr>
      </w:pPr>
      <w:r>
        <w:rPr>
          <w:rFonts w:hint="eastAsia"/>
          <w:color w:val="000000"/>
          <w:sz w:val="24"/>
        </w:rPr>
        <w:t xml:space="preserve">3.8注意事项</w:t>
      </w:r>
      <w:r>
        <w:rPr>
          <w:color w:val="000000"/>
          <w:sz w:val="24"/>
        </w:rPr>
      </w:r>
      <w:r/>
    </w:p>
    <w:p>
      <w:pPr>
        <w:pStyle w:val="1147"/>
        <w:ind w:firstLine="480"/>
        <w:spacing w:line="360" w:lineRule="auto"/>
        <w:rPr>
          <w:color w:val="000000"/>
          <w:sz w:val="24"/>
        </w:rPr>
      </w:pPr>
      <w:r>
        <w:rPr>
          <w:rFonts w:hint="eastAsia"/>
          <w:color w:val="000000"/>
          <w:sz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color w:val="000000"/>
          <w:sz w:val="24"/>
        </w:rPr>
      </w:r>
      <w:r/>
    </w:p>
    <w:p>
      <w:pPr>
        <w:pStyle w:val="1147"/>
        <w:ind w:firstLine="480"/>
        <w:spacing w:line="360" w:lineRule="auto"/>
        <w:rPr>
          <w:color w:val="000000"/>
          <w:sz w:val="24"/>
        </w:rPr>
      </w:pPr>
      <w:r>
        <w:rPr>
          <w:rFonts w:hint="eastAsia"/>
          <w:color w:val="000000"/>
          <w:sz w:val="24"/>
        </w:rPr>
        <w:t xml:space="preserve">4.关于常州市中小企业政府采购信用融资：</w:t>
      </w:r>
      <w:r>
        <w:rPr>
          <w:color w:val="000000"/>
          <w:sz w:val="24"/>
        </w:rPr>
      </w:r>
      <w:r/>
    </w:p>
    <w:p>
      <w:pPr>
        <w:pStyle w:val="1147"/>
        <w:ind w:firstLine="480"/>
        <w:spacing w:line="360" w:lineRule="auto"/>
        <w:rPr>
          <w:color w:val="000000"/>
          <w:sz w:val="24"/>
        </w:rPr>
      </w:pPr>
      <w:r>
        <w:rPr>
          <w:rFonts w:hint="eastAsia"/>
          <w:color w:val="000000"/>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sz w:val="24"/>
        </w:rPr>
      </w:r>
      <w:r/>
    </w:p>
    <w:p>
      <w:pPr>
        <w:pStyle w:val="1149"/>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八、对本项目提出询问，请按以下方式联系。</w:t>
      </w:r>
      <w:bookmarkEnd w:id="25"/>
      <w:r/>
      <w:bookmarkEnd w:id="26"/>
      <w:r/>
      <w:bookmarkEnd w:id="27"/>
      <w:r/>
      <w:bookmarkEnd w:id="28"/>
      <w:r>
        <w:rPr>
          <w:rFonts w:ascii="Times New Roman" w:hAnsi="Times New Roman" w:eastAsia="宋体"/>
          <w:color w:val="000000"/>
          <w:sz w:val="24"/>
          <w:szCs w:val="24"/>
        </w:rPr>
      </w:r>
      <w:r/>
    </w:p>
    <w:p>
      <w:pPr>
        <w:pStyle w:val="1147"/>
        <w:jc w:val="left"/>
        <w:spacing w:line="360" w:lineRule="auto"/>
        <w:widowControl/>
        <w:rPr>
          <w:b/>
          <w:color w:val="000000"/>
          <w:sz w:val="24"/>
        </w:rPr>
      </w:pPr>
      <w:r>
        <w:rPr>
          <w:color w:val="000000"/>
          <w:sz w:val="24"/>
        </w:rPr>
        <w:t xml:space="preserve">　　　</w:t>
      </w:r>
      <w:r>
        <w:rPr>
          <w:b/>
          <w:color w:val="000000"/>
          <w:sz w:val="24"/>
        </w:rPr>
        <w:t xml:space="preserve">1.采购人信息</w:t>
      </w:r>
      <w:r>
        <w:rPr>
          <w:b/>
          <w:color w:val="000000"/>
          <w:sz w:val="24"/>
        </w:rPr>
      </w:r>
      <w:r/>
    </w:p>
    <w:p>
      <w:pPr>
        <w:pStyle w:val="1147"/>
        <w:ind w:left="1076" w:hanging="297"/>
        <w:jc w:val="left"/>
        <w:spacing w:line="360" w:lineRule="auto"/>
        <w:rPr>
          <w:rFonts w:hint="eastAsia" w:ascii="宋体" w:hAnsi="宋体" w:eastAsia="宋体" w:cs="宋体"/>
          <w:color w:val="000000"/>
          <w:sz w:val="24"/>
        </w:rPr>
      </w:pPr>
      <w:r/>
      <w:bookmarkStart w:id="29" w:name="_Toc28359009"/>
      <w:r/>
      <w:bookmarkStart w:id="30" w:name="_Toc28359086"/>
      <w:r>
        <w:rPr>
          <w:rFonts w:hint="eastAsia" w:ascii="宋体" w:hAnsi="宋体" w:eastAsia="宋体" w:cs="宋体"/>
          <w:color w:val="000000"/>
          <w:sz w:val="24"/>
        </w:rPr>
        <w:t xml:space="preserve">名    称：</w:t>
      </w:r>
      <w:r>
        <w:rPr>
          <w:rFonts w:hint="eastAsia" w:ascii="宋体" w:hAnsi="宋体" w:eastAsia="宋体" w:cs="宋体"/>
          <w:color w:val="000000"/>
          <w:sz w:val="24"/>
          <w:lang w:val="zh-TW" w:eastAsia="zh-CN"/>
        </w:rPr>
        <w:t xml:space="preserve">常州市金坛区东城街道办事处</w:t>
      </w: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1147"/>
        <w:ind w:left="1076" w:hanging="297"/>
        <w:jc w:val="left"/>
        <w:spacing w:line="360" w:lineRule="auto"/>
        <w:rPr>
          <w:rFonts w:hint="eastAsia" w:ascii="宋体" w:hAnsi="宋体" w:eastAsia="宋体" w:cs="宋体"/>
          <w:color w:val="000000"/>
          <w:sz w:val="24"/>
          <w:lang w:val="zh-TW"/>
        </w:rPr>
      </w:pPr>
      <w:r>
        <w:rPr>
          <w:rFonts w:hint="eastAsia" w:ascii="宋体" w:hAnsi="宋体" w:eastAsia="宋体" w:cs="宋体"/>
          <w:color w:val="000000"/>
          <w:sz w:val="24"/>
        </w:rPr>
        <w:t xml:space="preserve">地    址：</w:t>
      </w:r>
      <w:r>
        <w:rPr>
          <w:rFonts w:hint="eastAsia" w:ascii="宋体" w:hAnsi="宋体" w:eastAsia="宋体" w:cs="宋体"/>
          <w:color w:val="000000"/>
          <w:sz w:val="24"/>
          <w:lang w:val="zh-TW"/>
        </w:rPr>
        <w:t xml:space="preserve">常州市金坛区华城中路168号</w:t>
      </w:r>
      <w:r>
        <w:rPr>
          <w:rFonts w:hint="eastAsia" w:ascii="宋体" w:hAnsi="宋体" w:eastAsia="宋体" w:cs="宋体"/>
          <w:color w:val="000000"/>
          <w:sz w:val="24"/>
          <w:lang w:val="zh-TW"/>
        </w:rPr>
      </w:r>
      <w:r/>
    </w:p>
    <w:p>
      <w:pPr>
        <w:pStyle w:val="1147"/>
        <w:ind w:left="1076" w:hanging="297"/>
        <w:jc w:val="left"/>
        <w:spacing w:line="360" w:lineRule="auto"/>
        <w:rPr>
          <w:rFonts w:ascii="宋体" w:hAnsi="宋体" w:eastAsia="宋体" w:cs="宋体"/>
          <w:color w:val="000000"/>
          <w:sz w:val="24"/>
          <w:lang w:val="en-US" w:eastAsia="zh-CN"/>
        </w:rPr>
      </w:pPr>
      <w:r>
        <w:rPr>
          <w:rFonts w:hint="eastAsia" w:ascii="宋体" w:hAnsi="宋体" w:eastAsia="宋体" w:cs="宋体"/>
          <w:color w:val="000000"/>
          <w:sz w:val="24"/>
        </w:rPr>
        <w:t xml:space="preserve">联系方式：</w:t>
      </w:r>
      <w:r>
        <w:rPr>
          <w:rFonts w:hint="eastAsia" w:ascii="宋体" w:hAnsi="宋体" w:eastAsia="宋体" w:cs="宋体"/>
          <w:color w:val="000000"/>
          <w:sz w:val="24"/>
          <w:lang w:val="en-US" w:eastAsia="zh-CN"/>
        </w:rPr>
        <w:t xml:space="preserve">18651950158</w:t>
      </w:r>
      <w:r>
        <w:rPr>
          <w:rFonts w:ascii="宋体" w:hAnsi="宋体" w:eastAsia="宋体" w:cs="宋体"/>
          <w:color w:val="000000"/>
          <w:sz w:val="24"/>
          <w:lang w:val="en-US" w:eastAsia="zh-CN"/>
        </w:rPr>
      </w:r>
      <w:r/>
    </w:p>
    <w:p>
      <w:pPr>
        <w:pStyle w:val="1147"/>
        <w:ind w:left="1078" w:hanging="299"/>
        <w:jc w:val="left"/>
        <w:spacing w:line="360" w:lineRule="auto"/>
        <w:rPr>
          <w:b/>
          <w:color w:val="000000"/>
          <w:sz w:val="24"/>
        </w:rPr>
      </w:pPr>
      <w:r>
        <w:rPr>
          <w:b/>
          <w:color w:val="000000"/>
          <w:sz w:val="24"/>
        </w:rPr>
        <w:t xml:space="preserve">2.采购代理机构信息</w:t>
      </w:r>
      <w:bookmarkEnd w:id="29"/>
      <w:r/>
      <w:bookmarkEnd w:id="30"/>
      <w:r>
        <w:rPr>
          <w:b/>
          <w:color w:val="000000"/>
          <w:sz w:val="24"/>
        </w:rPr>
      </w:r>
      <w:r/>
    </w:p>
    <w:p>
      <w:pPr>
        <w:pStyle w:val="1147"/>
        <w:ind w:left="1076" w:hanging="297"/>
        <w:jc w:val="left"/>
        <w:spacing w:line="360" w:lineRule="auto"/>
        <w:rPr>
          <w:color w:val="000000"/>
          <w:sz w:val="24"/>
        </w:rPr>
      </w:pPr>
      <w:r/>
      <w:bookmarkStart w:id="31" w:name="_Toc28359087"/>
      <w:r/>
      <w:bookmarkStart w:id="32" w:name="_Toc28359010"/>
      <w:r>
        <w:rPr>
          <w:color w:val="000000"/>
          <w:sz w:val="24"/>
        </w:rPr>
        <w:t xml:space="preserve">名    称：</w:t>
      </w:r>
      <w:r>
        <w:rPr>
          <w:rFonts w:hint="eastAsia" w:ascii="宋体" w:hAnsi="宋体" w:cs="宋体"/>
          <w:color w:val="000000"/>
          <w:sz w:val="24"/>
        </w:rPr>
        <w:t xml:space="preserve">常州名源全过程工程咨询有限公司</w:t>
      </w:r>
      <w:r>
        <w:rPr>
          <w:color w:val="000000"/>
          <w:sz w:val="24"/>
        </w:rPr>
      </w:r>
      <w:r/>
    </w:p>
    <w:p>
      <w:pPr>
        <w:pStyle w:val="1147"/>
        <w:ind w:left="1076" w:hanging="297"/>
        <w:jc w:val="left"/>
        <w:spacing w:line="360" w:lineRule="auto"/>
        <w:rPr>
          <w:color w:val="000000"/>
          <w:sz w:val="24"/>
        </w:rPr>
      </w:pPr>
      <w:r>
        <w:rPr>
          <w:color w:val="000000"/>
          <w:sz w:val="24"/>
        </w:rPr>
        <w:t xml:space="preserve">地    址：</w:t>
      </w:r>
      <w:r>
        <w:rPr>
          <w:rFonts w:hint="eastAsia" w:ascii="宋体" w:hAnsi="宋体" w:cs="宋体"/>
          <w:color w:val="000000"/>
          <w:sz w:val="24"/>
        </w:rPr>
        <w:t xml:space="preserve">常州市金坛区金沙科技金融中心B栋1202</w:t>
      </w:r>
      <w:r>
        <w:rPr>
          <w:color w:val="000000"/>
          <w:sz w:val="24"/>
        </w:rPr>
      </w:r>
      <w:r/>
    </w:p>
    <w:p>
      <w:pPr>
        <w:pStyle w:val="1147"/>
        <w:ind w:left="1079" w:hanging="300"/>
        <w:jc w:val="left"/>
        <w:spacing w:line="360" w:lineRule="auto"/>
        <w:rPr>
          <w:rFonts w:eastAsia="宋体"/>
          <w:color w:val="000000"/>
          <w:sz w:val="24"/>
          <w:u w:val="single"/>
          <w:lang w:val="en-US" w:eastAsia="zh-CN"/>
        </w:rPr>
      </w:pPr>
      <w:r>
        <w:rPr>
          <w:color w:val="000000"/>
          <w:sz w:val="24"/>
        </w:rPr>
        <w:t xml:space="preserve">联系方式：</w:t>
      </w:r>
      <w:r>
        <w:rPr>
          <w:rFonts w:hint="eastAsia"/>
          <w:color w:val="000000"/>
          <w:sz w:val="24"/>
          <w:lang w:val="en-US" w:eastAsia="zh-CN"/>
        </w:rPr>
        <w:t xml:space="preserve">18015282560</w:t>
      </w:r>
      <w:r>
        <w:rPr>
          <w:rFonts w:eastAsia="宋体"/>
          <w:color w:val="000000"/>
          <w:sz w:val="24"/>
          <w:u w:val="single"/>
          <w:lang w:val="en-US" w:eastAsia="zh-CN"/>
        </w:rPr>
      </w:r>
      <w:r/>
    </w:p>
    <w:p>
      <w:pPr>
        <w:pStyle w:val="1147"/>
        <w:ind w:firstLine="723"/>
        <w:spacing w:line="360" w:lineRule="auto"/>
        <w:rPr>
          <w:b/>
          <w:color w:val="000000"/>
          <w:sz w:val="24"/>
          <w:u w:val="single"/>
        </w:rPr>
      </w:pPr>
      <w:r>
        <w:rPr>
          <w:b/>
          <w:color w:val="000000"/>
          <w:sz w:val="24"/>
        </w:rPr>
        <w:t xml:space="preserve">3.项目联系方式</w:t>
      </w:r>
      <w:bookmarkEnd w:id="31"/>
      <w:r/>
      <w:bookmarkEnd w:id="32"/>
      <w:r>
        <w:rPr>
          <w:b/>
          <w:color w:val="000000"/>
          <w:sz w:val="24"/>
          <w:u w:val="single"/>
        </w:rPr>
      </w:r>
      <w:r/>
    </w:p>
    <w:p>
      <w:pPr>
        <w:pStyle w:val="1186"/>
        <w:ind w:left="1076" w:hanging="297"/>
        <w:spacing w:line="360" w:lineRule="auto"/>
        <w:rPr>
          <w:rFonts w:ascii="Times New Roman" w:hAnsi="Times New Roman"/>
          <w:color w:val="000000"/>
          <w:sz w:val="24"/>
        </w:rPr>
      </w:pPr>
      <w:r>
        <w:rPr>
          <w:rFonts w:ascii="Times New Roman" w:hAnsi="Times New Roman"/>
          <w:color w:val="000000"/>
          <w:sz w:val="24"/>
          <w:szCs w:val="24"/>
        </w:rPr>
        <w:t xml:space="preserve">项目联系人：</w:t>
      </w:r>
      <w:r>
        <w:rPr>
          <w:rFonts w:hint="eastAsia" w:ascii="Times New Roman" w:hAnsi="Times New Roman"/>
          <w:color w:val="000000"/>
          <w:sz w:val="24"/>
          <w:szCs w:val="24"/>
          <w:lang w:val="en-US" w:eastAsia="zh-CN"/>
        </w:rPr>
        <w:t xml:space="preserve">何</w:t>
      </w:r>
      <w:r>
        <w:rPr>
          <w:rFonts w:ascii="Times New Roman" w:hAnsi="Times New Roman"/>
          <w:color w:val="000000"/>
          <w:sz w:val="24"/>
        </w:rPr>
        <w:t xml:space="preserve">女士</w:t>
      </w:r>
      <w:r>
        <w:rPr>
          <w:rFonts w:ascii="Times New Roman" w:hAnsi="Times New Roman"/>
          <w:color w:val="000000"/>
          <w:sz w:val="24"/>
        </w:rPr>
      </w:r>
      <w:r/>
    </w:p>
    <w:p>
      <w:pPr>
        <w:pStyle w:val="1186"/>
        <w:ind w:left="1076" w:hanging="297"/>
        <w:spacing w:line="360" w:lineRule="auto"/>
        <w:rPr>
          <w:color w:val="000000"/>
          <w:sz w:val="24"/>
        </w:rPr>
      </w:pPr>
      <w:r>
        <w:rPr>
          <w:rFonts w:ascii="Times New Roman" w:hAnsi="Times New Roman"/>
          <w:color w:val="000000"/>
          <w:sz w:val="24"/>
        </w:rPr>
        <w:t xml:space="preserve">电      话：</w:t>
      </w:r>
      <w:r>
        <w:rPr>
          <w:rFonts w:hint="eastAsia" w:ascii="Times New Roman" w:eastAsia="宋体"/>
          <w:color w:val="000000"/>
          <w:sz w:val="24"/>
          <w:lang w:val="en-US" w:eastAsia="zh-CN"/>
        </w:rPr>
        <w:t xml:space="preserve">18015282560</w:t>
      </w:r>
      <w:r>
        <w:rPr>
          <w:color w:val="000000"/>
          <w:sz w:val="24"/>
        </w:rPr>
      </w:r>
      <w:r/>
    </w:p>
    <w:p>
      <w:pPr>
        <w:pStyle w:val="1147"/>
        <w:ind w:firstLine="5880"/>
        <w:jc w:val="right"/>
        <w:spacing w:line="360" w:lineRule="auto"/>
        <w:rPr>
          <w:color w:val="000000"/>
          <w:sz w:val="24"/>
        </w:rPr>
      </w:pPr>
      <w:r>
        <w:rPr>
          <w:color w:val="000000"/>
          <w:sz w:val="24"/>
        </w:rPr>
      </w:r>
      <w:r/>
    </w:p>
    <w:p>
      <w:pPr>
        <w:pStyle w:val="1147"/>
        <w:jc w:val="center"/>
        <w:spacing w:line="360" w:lineRule="auto"/>
        <w:rPr>
          <w:b/>
          <w:color w:val="000000"/>
          <w:sz w:val="32"/>
          <w:szCs w:val="32"/>
        </w:rPr>
        <w:outlineLvl w:val="0"/>
      </w:pPr>
      <w:r>
        <w:rPr>
          <w:color w:val="000000"/>
          <w:sz w:val="24"/>
        </w:rPr>
        <w:br w:type="page" w:clear="all"/>
      </w:r>
      <w:bookmarkStart w:id="33" w:name="_Toc127151777"/>
      <w:r/>
      <w:bookmarkStart w:id="34" w:name="_Toc305158928"/>
      <w:r/>
      <w:bookmarkStart w:id="35" w:name="_Toc127161488"/>
      <w:r/>
      <w:bookmarkStart w:id="36" w:name="_Toc353873938"/>
      <w:r/>
      <w:bookmarkStart w:id="37" w:name="_Toc226965856"/>
      <w:r/>
      <w:bookmarkStart w:id="38" w:name="_Toc305158854"/>
      <w:r/>
      <w:bookmarkStart w:id="39" w:name="_Toc265228423"/>
      <w:r/>
      <w:bookmarkStart w:id="40" w:name="_Toc104818926"/>
      <w:r/>
      <w:bookmarkStart w:id="41" w:name="_Toc512937850"/>
      <w:r/>
      <w:bookmarkStart w:id="42" w:name="_Toc195842950"/>
      <w:r/>
      <w:bookmarkStart w:id="43" w:name="_Toc150774783"/>
      <w:r/>
      <w:bookmarkStart w:id="44" w:name="_Toc353825548"/>
      <w:r/>
      <w:bookmarkStart w:id="45" w:name="_Toc264969275"/>
      <w:r>
        <w:rPr>
          <w:b/>
          <w:color w:val="000000"/>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color w:val="000000"/>
          <w:sz w:val="32"/>
          <w:szCs w:val="32"/>
        </w:rPr>
      </w:r>
      <w:r/>
    </w:p>
    <w:p>
      <w:pPr>
        <w:pStyle w:val="1149"/>
        <w:spacing w:before="0" w:line="360" w:lineRule="auto"/>
        <w:tabs>
          <w:tab w:val="center" w:pos="4592" w:leader="none"/>
          <w:tab w:val="left" w:pos="7860" w:leader="none"/>
        </w:tabs>
        <w:rPr>
          <w:rFonts w:ascii="Times New Roman" w:hAnsi="Times New Roman" w:eastAsia="宋体"/>
          <w:b w:val="0"/>
          <w:color w:val="000000"/>
          <w:sz w:val="28"/>
        </w:rPr>
      </w:pPr>
      <w:r/>
      <w:bookmarkStart w:id="46" w:name="_Toc164229214"/>
      <w:r/>
      <w:bookmarkStart w:id="47" w:name="_Toc151193761"/>
      <w:r/>
      <w:bookmarkStart w:id="48" w:name="_Toc520356144"/>
      <w:r/>
      <w:bookmarkStart w:id="49" w:name="_Toc127161433"/>
      <w:r/>
      <w:bookmarkStart w:id="50" w:name="_Toc151193907"/>
      <w:r/>
      <w:bookmarkStart w:id="51" w:name="_Toc127151720"/>
      <w:r/>
      <w:bookmarkStart w:id="52" w:name="_Toc164351613"/>
      <w:r/>
      <w:bookmarkStart w:id="53" w:name="_Toc226309763"/>
      <w:r/>
      <w:bookmarkStart w:id="54" w:name="_Toc142311021"/>
      <w:r/>
      <w:bookmarkStart w:id="55" w:name="_Toc151193833"/>
      <w:r/>
      <w:bookmarkStart w:id="56" w:name="_Toc150774619"/>
      <w:r/>
      <w:bookmarkStart w:id="57" w:name="_Toc195842884"/>
      <w:r/>
      <w:bookmarkStart w:id="58" w:name="_Toc151190146"/>
      <w:r/>
      <w:bookmarkStart w:id="59" w:name="_Toc150480757"/>
      <w:r/>
      <w:bookmarkStart w:id="60" w:name="_Toc150774724"/>
      <w:r/>
      <w:bookmarkStart w:id="61" w:name="_Toc226337215"/>
      <w:r/>
      <w:bookmarkStart w:id="62" w:name="_Toc164608788"/>
      <w:r/>
      <w:bookmarkStart w:id="63" w:name="_Toc127151519"/>
      <w:r/>
      <w:bookmarkStart w:id="64" w:name="_Toc164229360"/>
      <w:r/>
      <w:bookmarkStart w:id="65" w:name="_Toc151193689"/>
      <w:r/>
      <w:bookmarkStart w:id="66" w:name="_Toc226965792"/>
      <w:r/>
      <w:bookmarkStart w:id="67" w:name="_Toc164608633"/>
      <w:r/>
      <w:bookmarkStart w:id="68" w:name="_Toc151193617"/>
      <w:r/>
      <w:bookmarkStart w:id="69" w:name="_Toc226965709"/>
      <w:r/>
      <w:bookmarkStart w:id="70" w:name="_Toc150509270"/>
      <w:r/>
      <w:bookmarkStart w:id="71" w:name="_Toc149720812"/>
      <w:r>
        <w:rPr>
          <w:rFonts w:ascii="Times New Roman" w:hAnsi="Times New Roman" w:eastAsia="宋体"/>
          <w:color w:val="000000"/>
          <w:sz w:val="28"/>
        </w:rPr>
        <w:t xml:space="preserve">供应商须知资料表</w:t>
      </w:r>
      <w:r>
        <w:rPr>
          <w:rFonts w:ascii="Times New Roman" w:hAnsi="Times New Roman" w:eastAsia="宋体"/>
          <w:b w:val="0"/>
          <w:color w:val="000000"/>
          <w:sz w:val="28"/>
        </w:rPr>
      </w:r>
      <w:r/>
    </w:p>
    <w:p>
      <w:pPr>
        <w:pStyle w:val="1147"/>
        <w:ind w:firstLine="480"/>
        <w:spacing w:line="360" w:lineRule="auto"/>
        <w:rPr>
          <w:color w:val="000000"/>
          <w:sz w:val="24"/>
        </w:rPr>
      </w:pPr>
      <w:r>
        <w:rPr>
          <w:color w:val="000000"/>
          <w:sz w:val="24"/>
        </w:rPr>
        <w:t xml:space="preserve">本表是对供应商须知的具体补充和修改，如有矛盾，均以本资料表为准。标记“</w:t>
      </w:r>
      <w:r>
        <w:rPr>
          <w:b/>
          <w:color w:val="000000"/>
          <w:sz w:val="24"/>
        </w:rPr>
        <w:t xml:space="preserve">■</w:t>
      </w:r>
      <w:r>
        <w:rPr>
          <w:color w:val="000000"/>
          <w:sz w:val="24"/>
        </w:rPr>
        <w:t xml:space="preserve">”的选项意为适用于本项目，标记“</w:t>
      </w:r>
      <w:r>
        <w:rPr>
          <w:color w:val="000000"/>
        </w:rPr>
        <w:t xml:space="preserve">□</w:t>
      </w:r>
      <w:r>
        <w:rPr>
          <w:color w:val="000000"/>
          <w:sz w:val="24"/>
        </w:rPr>
        <w:t xml:space="preserve">”的选项意为不适用于本项目。</w:t>
      </w:r>
      <w:r>
        <w:rPr>
          <w:color w:val="000000"/>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147"/>
              <w:jc w:val="center"/>
              <w:rPr>
                <w:b/>
                <w:bCs/>
                <w:color w:val="000000"/>
                <w:sz w:val="24"/>
              </w:rPr>
            </w:pPr>
            <w:r>
              <w:rPr>
                <w:b/>
                <w:color w:val="000000"/>
                <w:sz w:val="24"/>
              </w:rPr>
              <w:t xml:space="preserve">条款号</w:t>
            </w:r>
            <w:r>
              <w:rPr>
                <w:b/>
                <w:bCs/>
                <w:color w:val="000000"/>
                <w:sz w:val="24"/>
              </w:rPr>
            </w:r>
            <w:r/>
          </w:p>
        </w:tc>
        <w:tc>
          <w:tcPr>
            <w:tcW w:w="1701" w:type="dxa"/>
            <w:vAlign w:val="center"/>
            <w:textDirection w:val="lrTb"/>
            <w:noWrap w:val="false"/>
          </w:tcPr>
          <w:p>
            <w:pPr>
              <w:pStyle w:val="1147"/>
              <w:jc w:val="center"/>
              <w:rPr>
                <w:b/>
                <w:bCs/>
                <w:color w:val="000000"/>
                <w:sz w:val="24"/>
              </w:rPr>
            </w:pPr>
            <w:r>
              <w:rPr>
                <w:b/>
                <w:bCs/>
                <w:color w:val="000000"/>
                <w:sz w:val="24"/>
              </w:rPr>
              <w:t xml:space="preserve">条目</w:t>
            </w:r>
            <w:r>
              <w:rPr>
                <w:b/>
                <w:bCs/>
                <w:color w:val="000000"/>
                <w:sz w:val="24"/>
              </w:rPr>
            </w:r>
            <w:r/>
          </w:p>
        </w:tc>
        <w:tc>
          <w:tcPr>
            <w:tcW w:w="7253" w:type="dxa"/>
            <w:vAlign w:val="center"/>
            <w:textDirection w:val="lrTb"/>
            <w:noWrap w:val="false"/>
          </w:tcPr>
          <w:p>
            <w:pPr>
              <w:pStyle w:val="1147"/>
              <w:jc w:val="center"/>
              <w:rPr>
                <w:b/>
                <w:bCs/>
                <w:color w:val="000000"/>
                <w:sz w:val="24"/>
              </w:rPr>
            </w:pPr>
            <w:r>
              <w:rPr>
                <w:b/>
                <w:bCs/>
                <w:color w:val="000000"/>
                <w:sz w:val="24"/>
              </w:rPr>
              <w:t xml:space="preserve">内容</w:t>
            </w:r>
            <w:r>
              <w:rPr>
                <w:b/>
                <w:bCs/>
                <w:color w:val="000000"/>
                <w:sz w:val="24"/>
              </w:rPr>
            </w:r>
            <w:r/>
          </w:p>
        </w:tc>
      </w:tr>
      <w:tr>
        <w:trPr>
          <w:trHeight w:val="20"/>
        </w:trPr>
        <w:tc>
          <w:tcPr>
            <w:tcW w:w="988" w:type="dxa"/>
            <w:vAlign w:val="center"/>
            <w:textDirection w:val="lrTb"/>
            <w:noWrap w:val="false"/>
          </w:tcPr>
          <w:p>
            <w:pPr>
              <w:pStyle w:val="1186"/>
              <w:jc w:val="center"/>
              <w:rPr>
                <w:rFonts w:ascii="Times New Roman" w:hAnsi="Times New Roman"/>
                <w:color w:val="000000"/>
                <w:sz w:val="24"/>
                <w:szCs w:val="24"/>
              </w:rPr>
            </w:pPr>
            <w:r>
              <w:rPr>
                <w:rFonts w:ascii="Times New Roman" w:hAnsi="Times New Roman"/>
                <w:color w:val="000000"/>
                <w:sz w:val="24"/>
                <w:szCs w:val="24"/>
              </w:rPr>
              <w:t xml:space="preserve">2.2</w:t>
            </w:r>
            <w:r>
              <w:rPr>
                <w:rFonts w:ascii="Times New Roman" w:hAnsi="Times New Roman"/>
                <w:color w:val="000000"/>
                <w:sz w:val="24"/>
                <w:szCs w:val="24"/>
              </w:rPr>
            </w:r>
            <w:r/>
          </w:p>
        </w:tc>
        <w:tc>
          <w:tcPr>
            <w:tcW w:w="1701" w:type="dxa"/>
            <w:vAlign w:val="center"/>
            <w:textDirection w:val="lrTb"/>
            <w:noWrap w:val="false"/>
          </w:tcPr>
          <w:p>
            <w:pPr>
              <w:pStyle w:val="1147"/>
              <w:jc w:val="center"/>
              <w:rPr>
                <w:color w:val="000000"/>
                <w:sz w:val="24"/>
              </w:rPr>
            </w:pPr>
            <w:r>
              <w:rPr>
                <w:color w:val="000000"/>
                <w:sz w:val="24"/>
              </w:rPr>
              <w:t xml:space="preserve">项目属性</w:t>
            </w:r>
            <w:r>
              <w:rPr>
                <w:color w:val="000000"/>
                <w:sz w:val="24"/>
              </w:rPr>
            </w:r>
            <w:r/>
          </w:p>
        </w:tc>
        <w:tc>
          <w:tcPr>
            <w:tcW w:w="7253" w:type="dxa"/>
            <w:vAlign w:val="center"/>
            <w:textDirection w:val="lrTb"/>
            <w:noWrap w:val="false"/>
          </w:tcPr>
          <w:p>
            <w:pPr>
              <w:pStyle w:val="1147"/>
              <w:jc w:val="left"/>
              <w:rPr>
                <w:color w:val="000000"/>
                <w:sz w:val="24"/>
              </w:rPr>
            </w:pPr>
            <w:r>
              <w:rPr>
                <w:color w:val="000000"/>
                <w:sz w:val="24"/>
              </w:rPr>
              <w:t xml:space="preserve">项目属性：</w:t>
            </w:r>
            <w:r>
              <w:rPr>
                <w:color w:val="000000"/>
                <w:sz w:val="24"/>
              </w:rPr>
            </w:r>
            <w:r/>
          </w:p>
          <w:p>
            <w:pPr>
              <w:pStyle w:val="1147"/>
              <w:jc w:val="left"/>
              <w:rPr>
                <w:color w:val="000000"/>
                <w:sz w:val="24"/>
              </w:rPr>
            </w:pPr>
            <w:r>
              <w:rPr>
                <w:rFonts w:hint="eastAsia"/>
                <w:color w:val="000000"/>
                <w:lang w:eastAsia="zh-CN"/>
              </w:rPr>
              <w:t xml:space="preserve">□</w:t>
            </w:r>
            <w:r>
              <w:rPr>
                <w:color w:val="000000"/>
                <w:sz w:val="24"/>
              </w:rPr>
              <w:t xml:space="preserve">服务</w:t>
            </w:r>
            <w:r>
              <w:rPr>
                <w:color w:val="000000"/>
                <w:sz w:val="24"/>
              </w:rPr>
            </w:r>
            <w:r/>
          </w:p>
          <w:p>
            <w:pPr>
              <w:pStyle w:val="1147"/>
              <w:jc w:val="left"/>
              <w:rPr>
                <w:color w:val="000000"/>
                <w:sz w:val="24"/>
              </w:rPr>
            </w:pPr>
            <w:r>
              <w:rPr>
                <w:rFonts w:hint="eastAsia"/>
                <w:color w:val="000000"/>
                <w:lang w:eastAsia="zh-CN"/>
              </w:rPr>
              <w:t xml:space="preserve">□</w:t>
            </w:r>
            <w:r>
              <w:rPr>
                <w:color w:val="000000"/>
                <w:sz w:val="24"/>
              </w:rPr>
              <w:t xml:space="preserve">货物</w:t>
            </w:r>
            <w:r>
              <w:rPr>
                <w:color w:val="000000"/>
                <w:sz w:val="24"/>
              </w:rPr>
            </w:r>
            <w:r/>
          </w:p>
          <w:p>
            <w:pPr>
              <w:pStyle w:val="1147"/>
              <w:jc w:val="left"/>
              <w:rPr>
                <w:color w:val="000000"/>
                <w:sz w:val="24"/>
                <w:u w:val="single"/>
              </w:rPr>
            </w:pPr>
            <w:r>
              <w:rPr>
                <w:rFonts w:hint="eastAsia"/>
                <w:color w:val="000000"/>
                <w:sz w:val="24"/>
                <w:lang w:eastAsia="zh-CN"/>
              </w:rPr>
              <w:t xml:space="preserve">☑</w:t>
            </w:r>
            <w:r>
              <w:rPr>
                <w:rFonts w:hint="eastAsia"/>
                <w:color w:val="000000"/>
                <w:sz w:val="24"/>
              </w:rPr>
              <w:t xml:space="preserve">工程</w:t>
            </w:r>
            <w:r>
              <w:rPr>
                <w:color w:val="000000"/>
                <w:sz w:val="24"/>
                <w:u w:val="single"/>
              </w:rPr>
            </w:r>
            <w:r/>
          </w:p>
        </w:tc>
      </w:tr>
      <w:tr>
        <w:trPr>
          <w:trHeight w:val="20"/>
        </w:trPr>
        <w:tc>
          <w:tcPr>
            <w:tcW w:w="988" w:type="dxa"/>
            <w:vAlign w:val="center"/>
            <w:textDirection w:val="lrTb"/>
            <w:noWrap w:val="false"/>
          </w:tcPr>
          <w:p>
            <w:pPr>
              <w:pStyle w:val="1186"/>
              <w:jc w:val="center"/>
              <w:rPr>
                <w:rFonts w:ascii="Times New Roman" w:hAnsi="Times New Roman"/>
                <w:color w:val="000000"/>
                <w:sz w:val="24"/>
                <w:szCs w:val="24"/>
              </w:rPr>
            </w:pPr>
            <w:r>
              <w:rPr>
                <w:rFonts w:ascii="Times New Roman" w:hAnsi="Times New Roman"/>
                <w:color w:val="000000"/>
                <w:sz w:val="24"/>
                <w:szCs w:val="24"/>
              </w:rPr>
              <w:t xml:space="preserve">2.3</w:t>
            </w:r>
            <w:r>
              <w:rPr>
                <w:rFonts w:ascii="Times New Roman" w:hAnsi="Times New Roman"/>
                <w:color w:val="000000"/>
                <w:sz w:val="24"/>
                <w:szCs w:val="24"/>
              </w:rPr>
            </w:r>
            <w:r/>
          </w:p>
        </w:tc>
        <w:tc>
          <w:tcPr>
            <w:tcW w:w="1701" w:type="dxa"/>
            <w:vAlign w:val="center"/>
            <w:textDirection w:val="lrTb"/>
            <w:noWrap w:val="false"/>
          </w:tcPr>
          <w:p>
            <w:pPr>
              <w:pStyle w:val="1147"/>
              <w:jc w:val="center"/>
              <w:rPr>
                <w:color w:val="000000"/>
                <w:sz w:val="24"/>
              </w:rPr>
            </w:pPr>
            <w:r>
              <w:rPr>
                <w:color w:val="000000"/>
                <w:sz w:val="24"/>
              </w:rPr>
              <w:t xml:space="preserve">科研仪器设备</w:t>
            </w:r>
            <w:r>
              <w:rPr>
                <w:color w:val="000000"/>
                <w:sz w:val="24"/>
              </w:rPr>
            </w:r>
            <w:r/>
          </w:p>
        </w:tc>
        <w:tc>
          <w:tcPr>
            <w:tcW w:w="7253" w:type="dxa"/>
            <w:vAlign w:val="center"/>
            <w:textDirection w:val="lrTb"/>
            <w:noWrap w:val="false"/>
          </w:tcPr>
          <w:p>
            <w:pPr>
              <w:pStyle w:val="1147"/>
              <w:jc w:val="left"/>
              <w:rPr>
                <w:color w:val="000000"/>
                <w:sz w:val="24"/>
              </w:rPr>
            </w:pPr>
            <w:r>
              <w:rPr>
                <w:color w:val="000000"/>
                <w:sz w:val="24"/>
              </w:rPr>
              <w:t xml:space="preserve">是否属于科研仪器设备采购项目：</w:t>
            </w:r>
            <w:r>
              <w:rPr>
                <w:color w:val="000000"/>
                <w:sz w:val="24"/>
              </w:rPr>
            </w:r>
            <w:r/>
          </w:p>
          <w:p>
            <w:pPr>
              <w:pStyle w:val="1147"/>
              <w:jc w:val="left"/>
              <w:rPr>
                <w:color w:val="000000"/>
                <w:sz w:val="24"/>
              </w:rPr>
            </w:pPr>
            <w:r>
              <w:rPr>
                <w:color w:val="000000"/>
              </w:rPr>
              <w:t xml:space="preserve">□</w:t>
            </w:r>
            <w:r>
              <w:rPr>
                <w:color w:val="000000"/>
                <w:sz w:val="24"/>
              </w:rPr>
              <w:t xml:space="preserve">是</w:t>
            </w:r>
            <w:r>
              <w:rPr>
                <w:color w:val="000000"/>
                <w:sz w:val="24"/>
              </w:rPr>
            </w:r>
            <w:r/>
          </w:p>
          <w:p>
            <w:pPr>
              <w:pStyle w:val="1147"/>
              <w:jc w:val="left"/>
              <w:rPr>
                <w:color w:val="000000"/>
                <w:sz w:val="24"/>
              </w:rPr>
            </w:pPr>
            <w:r>
              <w:rPr>
                <w:rFonts w:hint="eastAsia"/>
                <w:color w:val="000000"/>
              </w:rPr>
              <w:t xml:space="preserve">☑</w:t>
            </w:r>
            <w:r>
              <w:rPr>
                <w:color w:val="000000"/>
                <w:sz w:val="24"/>
              </w:rPr>
              <w:t xml:space="preserve">否</w:t>
            </w:r>
            <w:r>
              <w:rPr>
                <w:color w:val="000000"/>
                <w:sz w:val="24"/>
              </w:rPr>
            </w:r>
            <w:r/>
          </w:p>
        </w:tc>
      </w:tr>
      <w:tr>
        <w:trPr>
          <w:trHeight w:val="20"/>
        </w:trPr>
        <w:tc>
          <w:tcPr>
            <w:tcW w:w="988" w:type="dxa"/>
            <w:vAlign w:val="center"/>
            <w:vMerge w:val="restart"/>
            <w:textDirection w:val="lrTb"/>
            <w:noWrap w:val="false"/>
          </w:tcPr>
          <w:p>
            <w:pPr>
              <w:pStyle w:val="1186"/>
              <w:jc w:val="center"/>
              <w:rPr>
                <w:rFonts w:ascii="Times New Roman" w:hAnsi="Times New Roman"/>
                <w:color w:val="000000"/>
                <w:sz w:val="24"/>
                <w:szCs w:val="24"/>
              </w:rPr>
            </w:pPr>
            <w:r>
              <w:rPr>
                <w:rFonts w:ascii="Times New Roman" w:hAnsi="Times New Roman"/>
                <w:color w:val="000000"/>
                <w:sz w:val="24"/>
                <w:szCs w:val="24"/>
              </w:rPr>
              <w:t xml:space="preserve">3.1</w:t>
            </w:r>
            <w:r>
              <w:rPr>
                <w:rFonts w:ascii="Times New Roman" w:hAnsi="Times New Roman"/>
                <w:color w:val="000000"/>
                <w:sz w:val="24"/>
                <w:szCs w:val="24"/>
              </w:rPr>
            </w:r>
            <w:r/>
          </w:p>
        </w:tc>
        <w:tc>
          <w:tcPr>
            <w:tcW w:w="1701" w:type="dxa"/>
            <w:vAlign w:val="center"/>
            <w:textDirection w:val="lrTb"/>
            <w:noWrap w:val="false"/>
          </w:tcPr>
          <w:p>
            <w:pPr>
              <w:pStyle w:val="1147"/>
              <w:jc w:val="center"/>
              <w:rPr>
                <w:color w:val="000000"/>
                <w:sz w:val="24"/>
              </w:rPr>
            </w:pPr>
            <w:r>
              <w:rPr>
                <w:color w:val="000000"/>
                <w:sz w:val="24"/>
              </w:rPr>
              <w:t xml:space="preserve">现场考察</w:t>
            </w:r>
            <w:r>
              <w:rPr>
                <w:color w:val="000000"/>
                <w:sz w:val="24"/>
              </w:rPr>
            </w:r>
            <w:r/>
          </w:p>
        </w:tc>
        <w:tc>
          <w:tcPr>
            <w:tcW w:w="7253" w:type="dxa"/>
            <w:vAlign w:val="center"/>
            <w:textDirection w:val="lrTb"/>
            <w:noWrap w:val="false"/>
          </w:tcPr>
          <w:p>
            <w:pPr>
              <w:pStyle w:val="1147"/>
              <w:jc w:val="left"/>
              <w:rPr>
                <w:color w:val="000000"/>
                <w:sz w:val="24"/>
              </w:rPr>
            </w:pPr>
            <w:r>
              <w:rPr>
                <w:rFonts w:hint="eastAsia"/>
                <w:color w:val="000000"/>
              </w:rPr>
              <w:t xml:space="preserve">☑</w:t>
            </w:r>
            <w:r>
              <w:rPr>
                <w:color w:val="000000"/>
                <w:sz w:val="24"/>
              </w:rPr>
              <w:t xml:space="preserve">不组织</w:t>
            </w:r>
            <w:r>
              <w:rPr>
                <w:color w:val="000000"/>
                <w:sz w:val="24"/>
              </w:rPr>
            </w:r>
            <w:r/>
          </w:p>
          <w:p>
            <w:pPr>
              <w:pStyle w:val="1147"/>
              <w:jc w:val="left"/>
              <w:rPr>
                <w:bCs/>
                <w:color w:val="000000"/>
                <w:sz w:val="24"/>
              </w:rPr>
            </w:pPr>
            <w:r>
              <w:rPr>
                <w:color w:val="000000"/>
              </w:rPr>
              <w:t xml:space="preserve">□</w:t>
            </w:r>
            <w:r>
              <w:rPr>
                <w:color w:val="000000"/>
                <w:sz w:val="24"/>
              </w:rPr>
              <w:t xml:space="preserve">组织，考察时间：___</w:t>
            </w:r>
            <w:r>
              <w:rPr>
                <w:color w:val="000000"/>
                <w:sz w:val="24"/>
                <w:lang w:bidi="ar"/>
              </w:rPr>
              <w:t xml:space="preserve">年</w:t>
            </w:r>
            <w:r>
              <w:rPr>
                <w:color w:val="000000"/>
                <w:sz w:val="24"/>
              </w:rPr>
              <w:t xml:space="preserve">___</w:t>
            </w:r>
            <w:r>
              <w:rPr>
                <w:color w:val="000000"/>
                <w:sz w:val="24"/>
                <w:lang w:bidi="ar"/>
              </w:rPr>
              <w:t xml:space="preserve">月</w:t>
            </w:r>
            <w:r>
              <w:rPr>
                <w:color w:val="000000"/>
                <w:sz w:val="24"/>
              </w:rPr>
              <w:t xml:space="preserve">___</w:t>
            </w:r>
            <w:r>
              <w:rPr>
                <w:color w:val="000000"/>
                <w:sz w:val="24"/>
                <w:lang w:bidi="ar"/>
              </w:rPr>
              <w:t xml:space="preserve">日</w:t>
            </w:r>
            <w:r>
              <w:rPr>
                <w:color w:val="000000"/>
                <w:sz w:val="24"/>
              </w:rPr>
              <w:t xml:space="preserve">___</w:t>
            </w:r>
            <w:r>
              <w:rPr>
                <w:color w:val="000000"/>
                <w:sz w:val="24"/>
                <w:lang w:bidi="ar"/>
              </w:rPr>
              <w:t xml:space="preserve">点</w:t>
            </w:r>
            <w:r>
              <w:rPr>
                <w:color w:val="000000"/>
                <w:sz w:val="24"/>
              </w:rPr>
              <w:t xml:space="preserve">___</w:t>
            </w:r>
            <w:r>
              <w:rPr>
                <w:color w:val="000000"/>
                <w:sz w:val="24"/>
                <w:lang w:bidi="ar"/>
              </w:rPr>
              <w:t xml:space="preserve">分</w:t>
            </w:r>
            <w:r>
              <w:rPr>
                <w:bCs/>
                <w:color w:val="000000"/>
                <w:sz w:val="24"/>
              </w:rPr>
            </w:r>
            <w:r/>
          </w:p>
          <w:p>
            <w:pPr>
              <w:pStyle w:val="1186"/>
              <w:rPr>
                <w:rFonts w:ascii="Times New Roman" w:hAnsi="Times New Roman"/>
                <w:color w:val="000000"/>
                <w:sz w:val="24"/>
                <w:szCs w:val="24"/>
              </w:rPr>
            </w:pPr>
            <w:r>
              <w:rPr>
                <w:rFonts w:ascii="Times New Roman" w:hAnsi="Times New Roman"/>
                <w:color w:val="000000"/>
                <w:sz w:val="24"/>
              </w:rPr>
              <w:t xml:space="preserve">考察地点：___________</w:t>
            </w:r>
            <w:r>
              <w:rPr>
                <w:rFonts w:ascii="Times New Roman" w:hAnsi="Times New Roman"/>
                <w:color w:val="000000"/>
                <w:sz w:val="24"/>
              </w:rPr>
              <w:t xml:space="preserve">。</w:t>
            </w:r>
            <w:r>
              <w:rPr>
                <w:rFonts w:ascii="Times New Roman" w:hAnsi="Times New Roman"/>
                <w:color w:val="000000"/>
                <w:sz w:val="24"/>
                <w:szCs w:val="24"/>
              </w:rPr>
            </w:r>
            <w:r/>
          </w:p>
        </w:tc>
      </w:tr>
      <w:tr>
        <w:trPr>
          <w:trHeight w:val="20"/>
        </w:trPr>
        <w:tc>
          <w:tcPr>
            <w:tcW w:w="988" w:type="dxa"/>
            <w:vAlign w:val="center"/>
            <w:vMerge w:val="continue"/>
            <w:textDirection w:val="lrTb"/>
            <w:noWrap w:val="false"/>
          </w:tcPr>
          <w:p>
            <w:pPr>
              <w:pStyle w:val="1186"/>
              <w:jc w:val="center"/>
              <w:rPr>
                <w:rFonts w:ascii="Times New Roman" w:hAnsi="Times New Roman"/>
                <w:color w:val="000000"/>
                <w:sz w:val="24"/>
                <w:szCs w:val="24"/>
              </w:rPr>
            </w:pPr>
            <w:r>
              <w:rPr>
                <w:rFonts w:ascii="Times New Roman" w:hAnsi="Times New Roman"/>
                <w:color w:val="000000"/>
                <w:sz w:val="24"/>
                <w:szCs w:val="24"/>
              </w:rPr>
            </w:r>
            <w:r/>
          </w:p>
        </w:tc>
        <w:tc>
          <w:tcPr>
            <w:tcW w:w="1701" w:type="dxa"/>
            <w:vAlign w:val="center"/>
            <w:textDirection w:val="lrTb"/>
            <w:noWrap w:val="false"/>
          </w:tcPr>
          <w:p>
            <w:pPr>
              <w:pStyle w:val="1147"/>
              <w:jc w:val="center"/>
              <w:rPr>
                <w:color w:val="000000"/>
                <w:sz w:val="24"/>
              </w:rPr>
            </w:pPr>
            <w:r>
              <w:rPr>
                <w:color w:val="000000"/>
                <w:sz w:val="24"/>
              </w:rPr>
              <w:t xml:space="preserve">磋商前答疑会</w:t>
            </w:r>
            <w:r>
              <w:rPr>
                <w:color w:val="000000"/>
                <w:sz w:val="24"/>
              </w:rPr>
            </w:r>
            <w:r/>
          </w:p>
        </w:tc>
        <w:tc>
          <w:tcPr>
            <w:tcW w:w="7253" w:type="dxa"/>
            <w:vAlign w:val="center"/>
            <w:textDirection w:val="lrTb"/>
            <w:noWrap w:val="false"/>
          </w:tcPr>
          <w:p>
            <w:pPr>
              <w:pStyle w:val="1147"/>
              <w:jc w:val="left"/>
            </w:pPr>
            <w:r>
              <w:rPr>
                <w:rFonts w:hint="eastAsia"/>
                <w:color w:val="000000"/>
              </w:rPr>
              <w:t xml:space="preserve">☑</w:t>
            </w:r>
            <w:r>
              <w:rPr>
                <w:color w:val="000000"/>
                <w:sz w:val="24"/>
              </w:rPr>
              <w:t xml:space="preserve">不召开</w:t>
            </w:r>
            <w:r/>
          </w:p>
        </w:tc>
      </w:tr>
      <w:tr>
        <w:trPr>
          <w:trHeight w:val="711"/>
        </w:trPr>
        <w:tc>
          <w:tcPr>
            <w:tcW w:w="988" w:type="dxa"/>
            <w:vAlign w:val="center"/>
            <w:textDirection w:val="lrTb"/>
            <w:noWrap w:val="false"/>
          </w:tcPr>
          <w:p>
            <w:pPr>
              <w:pStyle w:val="1186"/>
              <w:jc w:val="center"/>
              <w:rPr>
                <w:rFonts w:ascii="Times New Roman" w:hAnsi="Times New Roman"/>
                <w:color w:val="000000"/>
                <w:sz w:val="24"/>
                <w:szCs w:val="24"/>
              </w:rPr>
            </w:pPr>
            <w:r>
              <w:rPr>
                <w:rFonts w:ascii="Times New Roman" w:hAnsi="Times New Roman"/>
                <w:color w:val="000000"/>
                <w:sz w:val="24"/>
                <w:szCs w:val="24"/>
              </w:rPr>
              <w:t xml:space="preserve">4.2.5</w:t>
            </w:r>
            <w:r>
              <w:rPr>
                <w:rFonts w:ascii="Times New Roman" w:hAnsi="Times New Roman"/>
                <w:color w:val="000000"/>
                <w:sz w:val="24"/>
                <w:szCs w:val="24"/>
              </w:rPr>
            </w:r>
            <w:r/>
          </w:p>
        </w:tc>
        <w:tc>
          <w:tcPr>
            <w:tcW w:w="1701" w:type="dxa"/>
            <w:vAlign w:val="center"/>
            <w:textDirection w:val="lrTb"/>
            <w:noWrap w:val="false"/>
          </w:tcPr>
          <w:p>
            <w:pPr>
              <w:pStyle w:val="1147"/>
              <w:jc w:val="center"/>
              <w:rPr>
                <w:color w:val="000000"/>
                <w:sz w:val="24"/>
              </w:rPr>
            </w:pPr>
            <w:r>
              <w:rPr>
                <w:color w:val="000000"/>
                <w:sz w:val="24"/>
              </w:rPr>
              <w:t xml:space="preserve">标的所属行业</w:t>
            </w:r>
            <w:r>
              <w:rPr>
                <w:color w:val="000000"/>
                <w:sz w:val="24"/>
              </w:rPr>
            </w:r>
            <w:r/>
          </w:p>
        </w:tc>
        <w:tc>
          <w:tcPr>
            <w:tcW w:w="7253" w:type="dxa"/>
            <w:vAlign w:val="center"/>
            <w:textDirection w:val="lrTb"/>
            <w:noWrap w:val="false"/>
          </w:tcPr>
          <w:p>
            <w:pPr>
              <w:pStyle w:val="1147"/>
              <w:jc w:val="left"/>
              <w:rPr>
                <w:color w:val="000000"/>
                <w:sz w:val="24"/>
              </w:rPr>
            </w:pPr>
            <w:r>
              <w:rPr>
                <w:color w:val="000000"/>
                <w:sz w:val="24"/>
              </w:rPr>
              <w:t xml:space="preserve">本项目采购标的对应的中小企业划分标准所属行业：</w:t>
            </w:r>
            <w:r>
              <w:rPr>
                <w:rFonts w:hint="eastAsia"/>
                <w:color w:val="000000"/>
                <w:sz w:val="24"/>
                <w:u w:val="single"/>
                <w:lang w:eastAsia="zh-CN"/>
              </w:rPr>
              <w:t xml:space="preserve">建筑业</w:t>
            </w:r>
            <w:r>
              <w:rPr>
                <w:color w:val="000000"/>
                <w:sz w:val="24"/>
              </w:rPr>
            </w:r>
            <w:r/>
          </w:p>
        </w:tc>
      </w:tr>
      <w:tr>
        <w:trPr>
          <w:trHeight w:val="890"/>
        </w:trPr>
        <w:tc>
          <w:tcPr>
            <w:tcW w:w="988" w:type="dxa"/>
            <w:vAlign w:val="center"/>
            <w:textDirection w:val="lrTb"/>
            <w:noWrap w:val="false"/>
          </w:tcPr>
          <w:p>
            <w:pPr>
              <w:pStyle w:val="1186"/>
              <w:jc w:val="center"/>
              <w:rPr>
                <w:rFonts w:ascii="Times New Roman" w:hAnsi="Times New Roman"/>
                <w:color w:val="000000"/>
                <w:sz w:val="24"/>
                <w:szCs w:val="24"/>
              </w:rPr>
            </w:pPr>
            <w:r>
              <w:rPr>
                <w:rFonts w:ascii="Times New Roman" w:hAnsi="Times New Roman"/>
                <w:color w:val="000000"/>
                <w:sz w:val="24"/>
                <w:szCs w:val="24"/>
              </w:rPr>
              <w:t xml:space="preserve">10.2</w:t>
            </w:r>
            <w:r>
              <w:rPr>
                <w:rFonts w:ascii="Times New Roman" w:hAnsi="Times New Roman"/>
                <w:color w:val="000000"/>
                <w:sz w:val="24"/>
                <w:szCs w:val="24"/>
              </w:rPr>
            </w:r>
            <w:r/>
          </w:p>
        </w:tc>
        <w:tc>
          <w:tcPr>
            <w:tcW w:w="1701" w:type="dxa"/>
            <w:vAlign w:val="center"/>
            <w:textDirection w:val="lrTb"/>
            <w:noWrap w:val="false"/>
          </w:tcPr>
          <w:p>
            <w:pPr>
              <w:pStyle w:val="1147"/>
              <w:jc w:val="center"/>
              <w:rPr>
                <w:color w:val="000000"/>
                <w:sz w:val="24"/>
              </w:rPr>
            </w:pPr>
            <w:r>
              <w:rPr>
                <w:color w:val="000000"/>
                <w:sz w:val="24"/>
              </w:rPr>
              <w:t xml:space="preserve">报价</w:t>
            </w:r>
            <w:r>
              <w:rPr>
                <w:color w:val="000000"/>
                <w:sz w:val="24"/>
              </w:rPr>
            </w:r>
            <w:r/>
          </w:p>
        </w:tc>
        <w:tc>
          <w:tcPr>
            <w:tcW w:w="7253" w:type="dxa"/>
            <w:vAlign w:val="center"/>
            <w:textDirection w:val="lrTb"/>
            <w:noWrap w:val="false"/>
          </w:tcPr>
          <w:p>
            <w:pPr>
              <w:pStyle w:val="1147"/>
              <w:jc w:val="left"/>
              <w:rPr>
                <w:color w:val="000000"/>
                <w:sz w:val="24"/>
              </w:rPr>
            </w:pPr>
            <w:r>
              <w:rPr>
                <w:color w:val="000000"/>
                <w:sz w:val="24"/>
              </w:rPr>
              <w:t xml:space="preserve">报价的特殊规定：</w:t>
            </w:r>
            <w:r>
              <w:rPr>
                <w:color w:val="000000"/>
                <w:sz w:val="24"/>
              </w:rPr>
            </w:r>
            <w:r/>
          </w:p>
          <w:p>
            <w:pPr>
              <w:pStyle w:val="1147"/>
              <w:jc w:val="left"/>
              <w:rPr>
                <w:color w:val="000000"/>
                <w:sz w:val="24"/>
              </w:rPr>
            </w:pPr>
            <w:r>
              <w:rPr>
                <w:rFonts w:hint="eastAsia"/>
                <w:color w:val="000000"/>
                <w:lang w:eastAsia="zh-CN"/>
              </w:rPr>
              <w:t xml:space="preserve">□</w:t>
            </w:r>
            <w:r>
              <w:rPr>
                <w:color w:val="000000"/>
                <w:sz w:val="24"/>
              </w:rPr>
              <w:t xml:space="preserve">无</w:t>
            </w:r>
            <w:r>
              <w:rPr>
                <w:color w:val="000000"/>
                <w:sz w:val="24"/>
              </w:rPr>
            </w:r>
            <w:r/>
          </w:p>
          <w:p>
            <w:pPr>
              <w:pStyle w:val="1147"/>
              <w:jc w:val="left"/>
              <w:rPr>
                <w:color w:val="000000"/>
                <w:sz w:val="24"/>
              </w:rPr>
            </w:pPr>
            <w:r>
              <w:rPr>
                <w:rFonts w:hint="eastAsia"/>
                <w:color w:val="000000"/>
              </w:rPr>
              <w:t xml:space="preserve">☑</w:t>
            </w:r>
            <w:r>
              <w:rPr>
                <w:color w:val="000000"/>
                <w:sz w:val="24"/>
              </w:rPr>
              <w:t xml:space="preserve">有，具体情形：</w:t>
            </w:r>
            <w:r>
              <w:rPr>
                <w:color w:val="000000"/>
                <w:sz w:val="24"/>
              </w:rPr>
            </w:r>
            <w:r/>
          </w:p>
          <w:p>
            <w:pPr>
              <w:pStyle w:val="1147"/>
              <w:numPr>
                <w:ilvl w:val="0"/>
                <w:numId w:val="8"/>
              </w:numPr>
              <w:jc w:val="left"/>
              <w:rPr>
                <w:color w:val="000000"/>
                <w:sz w:val="24"/>
                <w:u w:val="single"/>
              </w:rPr>
            </w:pPr>
            <w:r>
              <w:rPr>
                <w:rFonts w:hint="eastAsia"/>
                <w:color w:val="000000"/>
                <w:sz w:val="24"/>
                <w:u w:val="single"/>
              </w:rPr>
              <w:t xml:space="preserve">本项目采用二轮报价，响应文件中书面报价为首轮报价（首轮</w:t>
            </w:r>
            <w:r>
              <w:rPr>
                <w:color w:val="000000"/>
                <w:sz w:val="24"/>
                <w:u w:val="single"/>
              </w:rPr>
              <w:t xml:space="preserve">不唱标</w:t>
            </w:r>
            <w:r>
              <w:rPr>
                <w:rFonts w:hint="eastAsia"/>
                <w:color w:val="000000"/>
                <w:sz w:val="24"/>
                <w:u w:val="single"/>
              </w:rPr>
              <w:t xml:space="preserve">），第二轮报价不得高于首轮报价，第二轮报价即为最终报价；否则作无效报价文件处理</w:t>
            </w:r>
            <w:r>
              <w:rPr>
                <w:color w:val="000000"/>
                <w:sz w:val="24"/>
                <w:u w:val="none"/>
              </w:rPr>
              <w:t xml:space="preserve">。</w:t>
            </w:r>
            <w:r>
              <w:rPr>
                <w:color w:val="000000"/>
                <w:sz w:val="24"/>
                <w:u w:val="single"/>
              </w:rPr>
            </w:r>
            <w:r/>
          </w:p>
          <w:p>
            <w:pPr>
              <w:pStyle w:val="1147"/>
              <w:numPr>
                <w:ilvl w:val="0"/>
                <w:numId w:val="0"/>
              </w:numPr>
              <w:jc w:val="left"/>
            </w:pPr>
            <w:r>
              <w:rPr>
                <w:rFonts w:hint="eastAsia"/>
                <w:color w:val="000000"/>
                <w:sz w:val="24"/>
                <w:u w:val="none"/>
              </w:rPr>
              <w:t xml:space="preserve">（2）</w:t>
            </w:r>
            <w:r>
              <w:rPr>
                <w:rFonts w:hint="eastAsia"/>
                <w:color w:val="000000"/>
                <w:sz w:val="24"/>
                <w:u w:val="single"/>
              </w:rPr>
              <w:t xml:space="preserve">投标报价超过最高限价或任一项目综合单价为0、负数、超过控制单价或缺项者均作</w:t>
            </w:r>
            <w:r>
              <w:rPr>
                <w:rFonts w:hint="eastAsia"/>
                <w:color w:val="000000"/>
                <w:sz w:val="24"/>
                <w:u w:val="single"/>
                <w:lang w:val="en-US" w:eastAsia="zh-CN"/>
              </w:rPr>
              <w:t xml:space="preserve">无效</w:t>
            </w:r>
            <w:r>
              <w:rPr>
                <w:rFonts w:hint="eastAsia"/>
                <w:color w:val="000000"/>
                <w:sz w:val="24"/>
                <w:u w:val="single"/>
              </w:rPr>
              <w:t xml:space="preserve">标处理</w:t>
            </w:r>
            <w:r>
              <w:rPr>
                <w:rFonts w:hint="eastAsia"/>
                <w:color w:val="000000"/>
                <w:sz w:val="24"/>
                <w:u w:val="none"/>
              </w:rPr>
              <w:t xml:space="preserve">。</w:t>
            </w:r>
            <w:r/>
          </w:p>
        </w:tc>
      </w:tr>
      <w:tr>
        <w:trPr>
          <w:trHeight w:val="20"/>
        </w:trPr>
        <w:tc>
          <w:tcPr>
            <w:tcW w:w="988" w:type="dxa"/>
            <w:vAlign w:val="center"/>
            <w:textDirection w:val="lrTb"/>
            <w:noWrap w:val="false"/>
          </w:tcPr>
          <w:p>
            <w:pPr>
              <w:pStyle w:val="1186"/>
              <w:jc w:val="center"/>
              <w:rPr>
                <w:rFonts w:ascii="Times New Roman" w:hAnsi="Times New Roman"/>
                <w:color w:val="000000"/>
                <w:sz w:val="24"/>
                <w:szCs w:val="24"/>
              </w:rPr>
            </w:pPr>
            <w:r>
              <w:rPr>
                <w:rFonts w:ascii="Times New Roman" w:hAnsi="Times New Roman"/>
                <w:color w:val="000000"/>
                <w:sz w:val="24"/>
                <w:szCs w:val="24"/>
              </w:rPr>
              <w:t xml:space="preserve">11.1</w:t>
            </w:r>
            <w:r>
              <w:rPr>
                <w:rFonts w:ascii="Times New Roman" w:hAnsi="Times New Roman"/>
                <w:color w:val="000000"/>
                <w:sz w:val="24"/>
                <w:szCs w:val="24"/>
              </w:rPr>
            </w:r>
            <w:r/>
          </w:p>
        </w:tc>
        <w:tc>
          <w:tcPr>
            <w:tcW w:w="1701" w:type="dxa"/>
            <w:vAlign w:val="center"/>
            <w:textDirection w:val="lrTb"/>
            <w:noWrap w:val="false"/>
          </w:tcPr>
          <w:p>
            <w:pPr>
              <w:pStyle w:val="1147"/>
              <w:jc w:val="center"/>
              <w:rPr>
                <w:color w:val="000000"/>
                <w:sz w:val="24"/>
              </w:rPr>
            </w:pPr>
            <w:r>
              <w:rPr>
                <w:color w:val="000000"/>
                <w:sz w:val="24"/>
              </w:rPr>
              <w:t xml:space="preserve">磋商保证金</w:t>
            </w:r>
            <w:r>
              <w:rPr>
                <w:color w:val="000000"/>
                <w:sz w:val="24"/>
              </w:rPr>
            </w:r>
            <w:r/>
          </w:p>
        </w:tc>
        <w:tc>
          <w:tcPr>
            <w:tcW w:w="7253" w:type="dxa"/>
            <w:vAlign w:val="center"/>
            <w:textDirection w:val="lrTb"/>
            <w:noWrap w:val="false"/>
          </w:tcPr>
          <w:p>
            <w:pPr>
              <w:pStyle w:val="1147"/>
              <w:jc w:val="left"/>
              <w:rPr>
                <w:color w:val="000000"/>
                <w:sz w:val="24"/>
              </w:rPr>
            </w:pPr>
            <w:r>
              <w:rPr>
                <w:rFonts w:hint="eastAsia"/>
                <w:color w:val="000000"/>
                <w:sz w:val="24"/>
              </w:rPr>
              <w:t xml:space="preserve">免收</w:t>
            </w:r>
            <w:r>
              <w:rPr>
                <w:color w:val="000000"/>
                <w:sz w:val="24"/>
              </w:rPr>
            </w:r>
            <w:r/>
          </w:p>
        </w:tc>
      </w:tr>
      <w:tr>
        <w:trPr>
          <w:trHeight w:val="20"/>
        </w:trPr>
        <w:tc>
          <w:tcPr>
            <w:tcW w:w="988" w:type="dxa"/>
            <w:vAlign w:val="center"/>
            <w:textDirection w:val="lrTb"/>
            <w:noWrap w:val="false"/>
          </w:tcPr>
          <w:p>
            <w:pPr>
              <w:pStyle w:val="1186"/>
              <w:jc w:val="center"/>
              <w:rPr>
                <w:rFonts w:ascii="Times New Roman" w:hAnsi="Times New Roman"/>
                <w:color w:val="000000"/>
                <w:sz w:val="24"/>
                <w:szCs w:val="24"/>
              </w:rPr>
            </w:pPr>
            <w:r>
              <w:rPr>
                <w:rFonts w:ascii="Times New Roman" w:hAnsi="Times New Roman"/>
                <w:color w:val="000000"/>
                <w:sz w:val="24"/>
                <w:szCs w:val="24"/>
              </w:rPr>
              <w:t xml:space="preserve">11.2</w:t>
            </w:r>
            <w:r>
              <w:rPr>
                <w:rFonts w:ascii="Times New Roman" w:hAnsi="Times New Roman"/>
                <w:color w:val="000000"/>
                <w:sz w:val="24"/>
                <w:szCs w:val="24"/>
              </w:rPr>
            </w:r>
            <w:r/>
          </w:p>
        </w:tc>
        <w:tc>
          <w:tcPr>
            <w:tcW w:w="1701" w:type="dxa"/>
            <w:vAlign w:val="center"/>
            <w:textDirection w:val="lrTb"/>
            <w:noWrap w:val="false"/>
          </w:tcPr>
          <w:p>
            <w:pPr>
              <w:pStyle w:val="1147"/>
              <w:jc w:val="center"/>
              <w:rPr>
                <w:color w:val="000000"/>
                <w:sz w:val="24"/>
              </w:rPr>
            </w:pPr>
            <w:r>
              <w:rPr>
                <w:rFonts w:hint="eastAsia"/>
                <w:color w:val="000000"/>
                <w:sz w:val="24"/>
              </w:rPr>
              <w:t xml:space="preserve">履约保证金</w:t>
            </w:r>
            <w:r>
              <w:rPr>
                <w:color w:val="000000"/>
                <w:sz w:val="24"/>
              </w:rPr>
            </w:r>
            <w:r/>
          </w:p>
        </w:tc>
        <w:tc>
          <w:tcPr>
            <w:tcW w:w="7253" w:type="dxa"/>
            <w:vAlign w:val="center"/>
            <w:textDirection w:val="lrTb"/>
            <w:noWrap w:val="false"/>
          </w:tcPr>
          <w:p>
            <w:pPr>
              <w:pStyle w:val="1147"/>
              <w:jc w:val="left"/>
              <w:rPr>
                <w:rFonts w:hint="eastAsia"/>
                <w:color w:val="000000"/>
                <w:sz w:val="24"/>
              </w:rPr>
            </w:pPr>
            <w:r>
              <w:rPr>
                <w:rFonts w:hint="eastAsia"/>
                <w:color w:val="0000ff"/>
                <w:sz w:val="24"/>
                <w:lang w:val="zh-CN"/>
              </w:rPr>
              <w:t xml:space="preserve">是，</w:t>
            </w:r>
            <w:r>
              <w:rPr>
                <w:rFonts w:hint="eastAsia"/>
                <w:color w:val="0000ff"/>
                <w:sz w:val="24"/>
              </w:rPr>
              <w:t xml:space="preserve">中标供应商在合同签订前，向采购人提供</w:t>
            </w:r>
            <w:r>
              <w:rPr>
                <w:rFonts w:hint="eastAsia"/>
                <w:color w:val="0000ff"/>
                <w:sz w:val="24"/>
                <w:u w:val="single"/>
                <w:lang w:val="en-US" w:eastAsia="zh-CN"/>
              </w:rPr>
              <w:t xml:space="preserve">合同总价5%</w:t>
            </w:r>
            <w:r>
              <w:rPr>
                <w:rFonts w:hint="eastAsia"/>
                <w:color w:val="0000ff"/>
                <w:sz w:val="24"/>
              </w:rPr>
              <w:t xml:space="preserve">的履约保证金（中标供应商自主选择以支票、汇票、本票、保函等非现金形式缴纳或提交），工程</w:t>
            </w:r>
            <w:r>
              <w:rPr>
                <w:rFonts w:hint="eastAsia"/>
                <w:color w:val="0000ff"/>
                <w:sz w:val="24"/>
                <w:lang w:val="en-US" w:eastAsia="zh-CN"/>
              </w:rPr>
              <w:t xml:space="preserve">完工</w:t>
            </w:r>
            <w:r>
              <w:rPr>
                <w:rFonts w:hint="eastAsia"/>
                <w:color w:val="0000ff"/>
                <w:sz w:val="24"/>
              </w:rPr>
              <w:t xml:space="preserve">验收合格后一次性退还（不计息）；</w:t>
            </w:r>
            <w:r>
              <w:rPr>
                <w:rFonts w:hint="eastAsia"/>
                <w:color w:val="000000"/>
                <w:sz w:val="24"/>
              </w:rPr>
            </w:r>
            <w:r/>
          </w:p>
        </w:tc>
      </w:tr>
      <w:tr>
        <w:trPr>
          <w:trHeight w:val="20"/>
        </w:trPr>
        <w:tc>
          <w:tcPr>
            <w:tcW w:w="988" w:type="dxa"/>
            <w:vAlign w:val="center"/>
            <w:textDirection w:val="lrTb"/>
            <w:noWrap w:val="false"/>
          </w:tcPr>
          <w:p>
            <w:pPr>
              <w:pStyle w:val="1186"/>
              <w:jc w:val="center"/>
              <w:rPr>
                <w:rFonts w:ascii="Times New Roman" w:hAnsi="Times New Roman"/>
                <w:color w:val="000000"/>
                <w:sz w:val="24"/>
                <w:szCs w:val="24"/>
              </w:rPr>
            </w:pPr>
            <w:r>
              <w:rPr>
                <w:rFonts w:ascii="Times New Roman" w:hAnsi="Times New Roman"/>
                <w:color w:val="000000"/>
                <w:sz w:val="24"/>
                <w:szCs w:val="24"/>
              </w:rPr>
              <w:t xml:space="preserve">12.1</w:t>
            </w:r>
            <w:r>
              <w:rPr>
                <w:rFonts w:ascii="Times New Roman" w:hAnsi="Times New Roman"/>
                <w:color w:val="000000"/>
                <w:sz w:val="24"/>
                <w:szCs w:val="24"/>
              </w:rPr>
            </w:r>
            <w:r/>
          </w:p>
        </w:tc>
        <w:tc>
          <w:tcPr>
            <w:tcW w:w="1701" w:type="dxa"/>
            <w:vAlign w:val="center"/>
            <w:textDirection w:val="lrTb"/>
            <w:noWrap w:val="false"/>
          </w:tcPr>
          <w:p>
            <w:pPr>
              <w:pStyle w:val="1147"/>
              <w:jc w:val="center"/>
              <w:rPr>
                <w:color w:val="000000"/>
                <w:sz w:val="24"/>
              </w:rPr>
            </w:pPr>
            <w:r>
              <w:rPr>
                <w:color w:val="000000"/>
                <w:sz w:val="24"/>
              </w:rPr>
              <w:t xml:space="preserve">响应有效期</w:t>
            </w:r>
            <w:r>
              <w:rPr>
                <w:color w:val="000000"/>
                <w:sz w:val="24"/>
              </w:rPr>
            </w:r>
            <w:r/>
          </w:p>
        </w:tc>
        <w:tc>
          <w:tcPr>
            <w:tcW w:w="7253" w:type="dxa"/>
            <w:vAlign w:val="center"/>
            <w:textDirection w:val="lrTb"/>
            <w:noWrap w:val="false"/>
          </w:tcPr>
          <w:p>
            <w:pPr>
              <w:pStyle w:val="1147"/>
              <w:jc w:val="left"/>
              <w:rPr>
                <w:color w:val="000000"/>
                <w:sz w:val="24"/>
              </w:rPr>
            </w:pPr>
            <w:r>
              <w:rPr>
                <w:color w:val="000000"/>
                <w:sz w:val="24"/>
              </w:rPr>
              <w:t xml:space="preserve">自提交响应文件的截止之日起算</w:t>
            </w:r>
            <w:r>
              <w:rPr>
                <w:rFonts w:hint="eastAsia"/>
                <w:color w:val="000000"/>
                <w:sz w:val="24"/>
              </w:rPr>
              <w:t xml:space="preserve">60</w:t>
            </w:r>
            <w:r>
              <w:rPr>
                <w:color w:val="000000"/>
                <w:sz w:val="24"/>
              </w:rPr>
              <w:t xml:space="preserve">日历天。</w:t>
            </w:r>
            <w:r>
              <w:rPr>
                <w:color w:val="000000"/>
                <w:sz w:val="24"/>
              </w:rPr>
            </w:r>
            <w:r/>
          </w:p>
        </w:tc>
      </w:tr>
      <w:tr>
        <w:trPr>
          <w:trHeight w:val="20"/>
        </w:trPr>
        <w:tc>
          <w:tcPr>
            <w:tcW w:w="988" w:type="dxa"/>
            <w:vAlign w:val="center"/>
            <w:textDirection w:val="lrTb"/>
            <w:noWrap w:val="false"/>
          </w:tcPr>
          <w:p>
            <w:pPr>
              <w:pStyle w:val="1186"/>
              <w:jc w:val="center"/>
              <w:rPr>
                <w:rFonts w:ascii="Times New Roman" w:hAnsi="Times New Roman"/>
                <w:color w:val="000000"/>
                <w:sz w:val="24"/>
                <w:szCs w:val="24"/>
              </w:rPr>
            </w:pPr>
            <w:r>
              <w:rPr>
                <w:rFonts w:ascii="Times New Roman" w:hAnsi="Times New Roman"/>
                <w:color w:val="000000"/>
                <w:sz w:val="24"/>
                <w:szCs w:val="24"/>
              </w:rPr>
              <w:t xml:space="preserve">23.5</w:t>
            </w:r>
            <w:r>
              <w:rPr>
                <w:rFonts w:ascii="Times New Roman" w:hAnsi="Times New Roman"/>
                <w:color w:val="000000"/>
                <w:sz w:val="24"/>
                <w:szCs w:val="24"/>
              </w:rPr>
            </w:r>
            <w:r/>
          </w:p>
        </w:tc>
        <w:tc>
          <w:tcPr>
            <w:tcW w:w="1701" w:type="dxa"/>
            <w:vAlign w:val="center"/>
            <w:textDirection w:val="lrTb"/>
            <w:noWrap w:val="false"/>
          </w:tcPr>
          <w:p>
            <w:pPr>
              <w:pStyle w:val="1147"/>
              <w:jc w:val="center"/>
              <w:rPr>
                <w:color w:val="000000"/>
                <w:sz w:val="24"/>
              </w:rPr>
            </w:pPr>
            <w:r>
              <w:rPr>
                <w:color w:val="000000"/>
                <w:sz w:val="24"/>
              </w:rPr>
              <w:t xml:space="preserve">分包</w:t>
            </w:r>
            <w:r>
              <w:rPr>
                <w:color w:val="000000"/>
                <w:sz w:val="24"/>
              </w:rPr>
            </w:r>
            <w:r/>
          </w:p>
        </w:tc>
        <w:tc>
          <w:tcPr>
            <w:tcW w:w="7253" w:type="dxa"/>
            <w:vAlign w:val="center"/>
            <w:textDirection w:val="lrTb"/>
            <w:noWrap w:val="false"/>
          </w:tcPr>
          <w:p>
            <w:pPr>
              <w:pStyle w:val="1147"/>
              <w:jc w:val="left"/>
              <w:rPr>
                <w:color w:val="000000"/>
                <w:sz w:val="24"/>
              </w:rPr>
            </w:pPr>
            <w:r>
              <w:rPr>
                <w:color w:val="000000"/>
                <w:sz w:val="24"/>
              </w:rPr>
              <w:t xml:space="preserve">本项目是否允许分包： </w:t>
            </w:r>
            <w:r>
              <w:rPr>
                <w:color w:val="000000"/>
                <w:sz w:val="24"/>
              </w:rPr>
            </w:r>
            <w:r/>
          </w:p>
          <w:p>
            <w:pPr>
              <w:pStyle w:val="1147"/>
              <w:jc w:val="left"/>
              <w:rPr>
                <w:color w:val="000000"/>
                <w:sz w:val="24"/>
                <w:u w:val="single"/>
              </w:rPr>
            </w:pPr>
            <w:r>
              <w:rPr>
                <w:rFonts w:hint="eastAsia"/>
                <w:color w:val="000000"/>
              </w:rPr>
              <w:t xml:space="preserve">☑</w:t>
            </w:r>
            <w:r>
              <w:rPr>
                <w:color w:val="000000"/>
                <w:sz w:val="24"/>
              </w:rPr>
              <w:t xml:space="preserve">不允许</w:t>
            </w:r>
            <w:r>
              <w:rPr>
                <w:color w:val="000000"/>
                <w:sz w:val="24"/>
                <w:u w:val="single"/>
              </w:rPr>
            </w:r>
            <w:r/>
          </w:p>
        </w:tc>
      </w:tr>
      <w:tr>
        <w:trPr>
          <w:trHeight w:val="20"/>
        </w:trPr>
        <w:tc>
          <w:tcPr>
            <w:tcW w:w="988" w:type="dxa"/>
            <w:vAlign w:val="center"/>
            <w:textDirection w:val="lrTb"/>
            <w:noWrap w:val="false"/>
          </w:tcPr>
          <w:p>
            <w:pPr>
              <w:pStyle w:val="1186"/>
              <w:jc w:val="center"/>
              <w:rPr>
                <w:rFonts w:ascii="Times New Roman" w:hAnsi="Times New Roman"/>
                <w:color w:val="000000"/>
                <w:sz w:val="24"/>
                <w:szCs w:val="24"/>
              </w:rPr>
            </w:pPr>
            <w:r>
              <w:rPr>
                <w:rFonts w:ascii="Times New Roman" w:hAnsi="Times New Roman"/>
                <w:color w:val="000000"/>
                <w:sz w:val="24"/>
                <w:szCs w:val="24"/>
              </w:rPr>
              <w:t xml:space="preserve">24.1.1</w:t>
            </w:r>
            <w:r>
              <w:rPr>
                <w:rFonts w:ascii="Times New Roman" w:hAnsi="Times New Roman"/>
                <w:color w:val="000000"/>
                <w:sz w:val="24"/>
                <w:szCs w:val="24"/>
              </w:rPr>
            </w:r>
            <w:r/>
          </w:p>
        </w:tc>
        <w:tc>
          <w:tcPr>
            <w:tcW w:w="1701" w:type="dxa"/>
            <w:vAlign w:val="center"/>
            <w:textDirection w:val="lrTb"/>
            <w:noWrap w:val="false"/>
          </w:tcPr>
          <w:p>
            <w:pPr>
              <w:pStyle w:val="1147"/>
              <w:jc w:val="center"/>
              <w:rPr>
                <w:color w:val="000000"/>
                <w:sz w:val="24"/>
              </w:rPr>
            </w:pPr>
            <w:r>
              <w:rPr>
                <w:color w:val="000000"/>
                <w:sz w:val="24"/>
              </w:rPr>
              <w:t xml:space="preserve">询问</w:t>
            </w:r>
            <w:r>
              <w:rPr>
                <w:color w:val="000000"/>
                <w:sz w:val="24"/>
              </w:rPr>
            </w:r>
            <w:r/>
          </w:p>
        </w:tc>
        <w:tc>
          <w:tcPr>
            <w:tcW w:w="7253" w:type="dxa"/>
            <w:vAlign w:val="center"/>
            <w:textDirection w:val="lrTb"/>
            <w:noWrap w:val="false"/>
          </w:tcPr>
          <w:p>
            <w:pPr>
              <w:pStyle w:val="1147"/>
              <w:jc w:val="left"/>
              <w:rPr>
                <w:color w:val="000000"/>
                <w:sz w:val="24"/>
              </w:rPr>
            </w:pPr>
            <w:r>
              <w:rPr>
                <w:color w:val="000000"/>
                <w:sz w:val="24"/>
              </w:rPr>
              <w:t xml:space="preserve">询问送达形式：</w:t>
            </w:r>
            <w:r>
              <w:rPr>
                <w:rFonts w:hint="eastAsia"/>
                <w:color w:val="000000"/>
                <w:sz w:val="24"/>
                <w:u w:val="single"/>
                <w:lang w:eastAsia="zh-CN"/>
              </w:rPr>
              <w:t xml:space="preserve">邮箱</w:t>
            </w:r>
            <w:r>
              <w:rPr>
                <w:rFonts w:hint="eastAsia"/>
                <w:color w:val="000000"/>
                <w:sz w:val="24"/>
                <w:u w:val="single"/>
                <w:lang w:val="en-US" w:eastAsia="zh-CN"/>
              </w:rPr>
              <w:t xml:space="preserve">806220138@qq.com </w:t>
            </w:r>
            <w:r>
              <w:rPr>
                <w:color w:val="000000"/>
                <w:sz w:val="24"/>
              </w:rPr>
              <w:t xml:space="preserve">。</w:t>
            </w:r>
            <w:r>
              <w:rPr>
                <w:color w:val="000000"/>
                <w:sz w:val="24"/>
              </w:rPr>
            </w:r>
            <w:r/>
          </w:p>
        </w:tc>
      </w:tr>
      <w:tr>
        <w:trPr>
          <w:trHeight w:val="20"/>
        </w:trPr>
        <w:tc>
          <w:tcPr>
            <w:tcW w:w="988" w:type="dxa"/>
            <w:vAlign w:val="center"/>
            <w:textDirection w:val="lrTb"/>
            <w:noWrap w:val="false"/>
          </w:tcPr>
          <w:p>
            <w:pPr>
              <w:pStyle w:val="1186"/>
              <w:jc w:val="center"/>
              <w:rPr>
                <w:rFonts w:ascii="Times New Roman" w:hAnsi="Times New Roman"/>
                <w:color w:val="000000"/>
                <w:sz w:val="24"/>
                <w:szCs w:val="24"/>
              </w:rPr>
            </w:pPr>
            <w:r>
              <w:rPr>
                <w:rFonts w:ascii="Times New Roman" w:hAnsi="Times New Roman"/>
                <w:color w:val="000000"/>
                <w:sz w:val="24"/>
                <w:szCs w:val="24"/>
              </w:rPr>
              <w:t xml:space="preserve">24.3</w:t>
            </w:r>
            <w:r>
              <w:rPr>
                <w:rFonts w:ascii="Times New Roman" w:hAnsi="Times New Roman"/>
                <w:color w:val="000000"/>
                <w:sz w:val="24"/>
                <w:szCs w:val="24"/>
              </w:rPr>
            </w:r>
            <w:r/>
          </w:p>
        </w:tc>
        <w:tc>
          <w:tcPr>
            <w:tcW w:w="1701" w:type="dxa"/>
            <w:vAlign w:val="center"/>
            <w:textDirection w:val="lrTb"/>
            <w:noWrap w:val="false"/>
          </w:tcPr>
          <w:p>
            <w:pPr>
              <w:pStyle w:val="1147"/>
              <w:jc w:val="center"/>
              <w:rPr>
                <w:color w:val="000000"/>
                <w:sz w:val="24"/>
              </w:rPr>
            </w:pPr>
            <w:r>
              <w:rPr>
                <w:color w:val="000000"/>
                <w:sz w:val="24"/>
              </w:rPr>
              <w:t xml:space="preserve">联系方式</w:t>
            </w:r>
            <w:r>
              <w:rPr>
                <w:color w:val="000000"/>
                <w:sz w:val="24"/>
              </w:rPr>
            </w:r>
            <w:r/>
          </w:p>
        </w:tc>
        <w:tc>
          <w:tcPr>
            <w:tcW w:w="7253" w:type="dxa"/>
            <w:vAlign w:val="center"/>
            <w:textDirection w:val="lrTb"/>
            <w:noWrap w:val="false"/>
          </w:tcPr>
          <w:p>
            <w:pPr>
              <w:pStyle w:val="1147"/>
              <w:jc w:val="left"/>
              <w:rPr>
                <w:color w:val="000000"/>
                <w:sz w:val="24"/>
              </w:rPr>
            </w:pPr>
            <w:r>
              <w:rPr>
                <w:color w:val="000000"/>
                <w:sz w:val="24"/>
              </w:rPr>
              <w:t xml:space="preserve">接收询问和质疑的联系方式</w:t>
            </w:r>
            <w:r>
              <w:rPr>
                <w:color w:val="000000"/>
                <w:sz w:val="24"/>
              </w:rPr>
            </w:r>
            <w:r/>
          </w:p>
          <w:p>
            <w:pPr>
              <w:pStyle w:val="1147"/>
              <w:jc w:val="left"/>
              <w:rPr>
                <w:color w:val="000000"/>
                <w:sz w:val="24"/>
              </w:rPr>
            </w:pPr>
            <w:r>
              <w:rPr>
                <w:color w:val="000000"/>
                <w:sz w:val="24"/>
              </w:rPr>
              <w:t xml:space="preserve">联系部门：</w:t>
            </w:r>
            <w:r>
              <w:rPr>
                <w:rFonts w:hint="eastAsia"/>
                <w:color w:val="000000"/>
                <w:sz w:val="24"/>
              </w:rPr>
              <w:t xml:space="preserve">常州名源全过程工程咨询有限公司、</w:t>
            </w:r>
            <w:r>
              <w:rPr>
                <w:rFonts w:hint="eastAsia"/>
                <w:color w:val="000000"/>
                <w:sz w:val="24"/>
                <w:lang w:eastAsia="zh-CN"/>
              </w:rPr>
              <w:t xml:space="preserve">常州市金坛区东城街道办事处</w:t>
            </w:r>
            <w:r>
              <w:rPr>
                <w:color w:val="000000"/>
                <w:sz w:val="24"/>
              </w:rPr>
              <w:t xml:space="preserve">；</w:t>
            </w:r>
            <w:r>
              <w:rPr>
                <w:color w:val="000000"/>
                <w:sz w:val="24"/>
              </w:rPr>
            </w:r>
            <w:r/>
          </w:p>
          <w:p>
            <w:pPr>
              <w:pStyle w:val="1147"/>
              <w:jc w:val="left"/>
              <w:rPr>
                <w:rFonts w:ascii="Times New Roman" w:hAnsi="Times New Roman" w:eastAsia="宋体" w:cs="Times New Roman"/>
                <w:color w:val="000000"/>
                <w:sz w:val="24"/>
              </w:rPr>
            </w:pPr>
            <w:r>
              <w:rPr>
                <w:color w:val="000000"/>
                <w:sz w:val="24"/>
              </w:rPr>
              <w:t xml:space="preserve">联系电话：</w:t>
            </w:r>
            <w:r>
              <w:rPr>
                <w:rFonts w:hint="eastAsia"/>
                <w:color w:val="000000"/>
                <w:sz w:val="24"/>
                <w:lang w:val="en-US" w:eastAsia="zh-CN"/>
              </w:rPr>
              <w:t xml:space="preserve">18015282</w:t>
            </w:r>
            <w:r>
              <w:rPr>
                <w:rFonts w:hint="eastAsia" w:ascii="Times New Roman" w:hAnsi="Times New Roman" w:eastAsia="宋体" w:cs="Times New Roman"/>
                <w:color w:val="000000"/>
                <w:sz w:val="24"/>
                <w:lang w:val="en-US" w:eastAsia="zh-CN"/>
              </w:rPr>
              <w:t xml:space="preserve">560</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18651950158</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147"/>
              <w:jc w:val="left"/>
              <w:rPr>
                <w:color w:val="000000"/>
                <w:sz w:val="24"/>
              </w:rPr>
            </w:pPr>
            <w:r>
              <w:rPr>
                <w:rFonts w:ascii="Times New Roman" w:hAnsi="Times New Roman" w:eastAsia="宋体" w:cs="Times New Roman"/>
                <w:color w:val="000000"/>
                <w:sz w:val="24"/>
              </w:rPr>
              <w:t xml:space="preserve">通讯地址：</w:t>
            </w:r>
            <w:r>
              <w:rPr>
                <w:rFonts w:hint="eastAsia" w:ascii="Times New Roman" w:hAnsi="Times New Roman" w:eastAsia="宋体" w:cs="Times New Roman"/>
                <w:color w:val="000000"/>
                <w:sz w:val="24"/>
              </w:rPr>
              <w:t xml:space="preserve">常州市金坛区金沙科技金融中心B座</w:t>
            </w:r>
            <w:r>
              <w:rPr>
                <w:rFonts w:hint="eastAsia"/>
                <w:color w:val="000000"/>
                <w:sz w:val="24"/>
              </w:rPr>
              <w:t xml:space="preserve">12层、</w:t>
            </w:r>
            <w:r>
              <w:rPr>
                <w:rFonts w:hint="eastAsia" w:ascii="宋体" w:hAnsi="宋体" w:eastAsia="宋体" w:cs="宋体"/>
                <w:color w:val="000000"/>
                <w:sz w:val="24"/>
                <w:lang w:val="zh-TW"/>
              </w:rPr>
              <w:t xml:space="preserve">常州市金坛区华城中路168号</w:t>
            </w:r>
            <w:r>
              <w:rPr>
                <w:color w:val="000000"/>
                <w:sz w:val="24"/>
              </w:rPr>
              <w:t xml:space="preserve">。</w:t>
            </w:r>
            <w:r>
              <w:rPr>
                <w:color w:val="000000"/>
                <w:sz w:val="24"/>
              </w:rPr>
            </w:r>
            <w:r/>
          </w:p>
        </w:tc>
      </w:tr>
      <w:tr>
        <w:trPr>
          <w:trHeight w:val="20"/>
        </w:trPr>
        <w:tc>
          <w:tcPr>
            <w:tcW w:w="988" w:type="dxa"/>
            <w:vAlign w:val="center"/>
            <w:textDirection w:val="lrTb"/>
            <w:noWrap w:val="false"/>
          </w:tcPr>
          <w:p>
            <w:pPr>
              <w:pStyle w:val="1186"/>
              <w:jc w:val="center"/>
              <w:rPr>
                <w:rFonts w:ascii="Times New Roman" w:hAnsi="Times New Roman"/>
                <w:color w:val="000000"/>
                <w:sz w:val="24"/>
                <w:szCs w:val="24"/>
              </w:rPr>
            </w:pPr>
            <w:r>
              <w:rPr>
                <w:rFonts w:ascii="Times New Roman" w:hAnsi="Times New Roman"/>
                <w:color w:val="000000"/>
                <w:sz w:val="24"/>
                <w:szCs w:val="24"/>
              </w:rPr>
              <w:t xml:space="preserve">25</w:t>
            </w:r>
            <w:r>
              <w:rPr>
                <w:rFonts w:ascii="Times New Roman" w:hAnsi="Times New Roman"/>
                <w:color w:val="000000"/>
                <w:sz w:val="24"/>
                <w:szCs w:val="24"/>
              </w:rPr>
            </w:r>
            <w:r/>
          </w:p>
        </w:tc>
        <w:tc>
          <w:tcPr>
            <w:tcW w:w="1701" w:type="dxa"/>
            <w:vAlign w:val="center"/>
            <w:textDirection w:val="lrTb"/>
            <w:noWrap w:val="false"/>
          </w:tcPr>
          <w:p>
            <w:pPr>
              <w:pStyle w:val="1147"/>
              <w:jc w:val="center"/>
              <w:rPr>
                <w:color w:val="000000"/>
                <w:sz w:val="24"/>
              </w:rPr>
            </w:pPr>
            <w:r>
              <w:rPr>
                <w:color w:val="000000"/>
                <w:sz w:val="24"/>
              </w:rPr>
              <w:t xml:space="preserve">代理费</w:t>
            </w:r>
            <w:r>
              <w:rPr>
                <w:color w:val="000000"/>
                <w:sz w:val="24"/>
              </w:rPr>
            </w:r>
            <w:r/>
          </w:p>
        </w:tc>
        <w:tc>
          <w:tcPr>
            <w:tcW w:w="7253" w:type="dxa"/>
            <w:vAlign w:val="center"/>
            <w:textDirection w:val="lrTb"/>
            <w:noWrap w:val="false"/>
          </w:tcPr>
          <w:p>
            <w:pPr>
              <w:pStyle w:val="1147"/>
              <w:jc w:val="left"/>
              <w:rPr>
                <w:color w:val="000000"/>
                <w:sz w:val="24"/>
              </w:rPr>
            </w:pPr>
            <w:r>
              <w:rPr>
                <w:color w:val="000000"/>
                <w:sz w:val="24"/>
              </w:rPr>
              <w:t xml:space="preserve">收费对象：</w:t>
            </w:r>
            <w:r>
              <w:rPr>
                <w:color w:val="000000"/>
                <w:sz w:val="24"/>
              </w:rPr>
            </w:r>
            <w:r/>
          </w:p>
          <w:p>
            <w:pPr>
              <w:pStyle w:val="1147"/>
              <w:jc w:val="left"/>
              <w:rPr>
                <w:color w:val="000000"/>
                <w:sz w:val="24"/>
              </w:rPr>
            </w:pPr>
            <w:r>
              <w:rPr>
                <w:rFonts w:hint="eastAsia"/>
                <w:color w:val="000000"/>
              </w:rPr>
              <w:t xml:space="preserve">☑</w:t>
            </w:r>
            <w:r>
              <w:rPr>
                <w:color w:val="000000"/>
                <w:sz w:val="24"/>
              </w:rPr>
              <w:t xml:space="preserve">成交供应商</w:t>
            </w:r>
            <w:r>
              <w:rPr>
                <w:color w:val="000000"/>
                <w:sz w:val="24"/>
              </w:rPr>
            </w:r>
            <w:r/>
          </w:p>
          <w:p>
            <w:pPr>
              <w:pStyle w:val="1147"/>
              <w:jc w:val="left"/>
              <w:rPr>
                <w:color w:val="000000"/>
                <w:sz w:val="24"/>
                <w:u w:val="single"/>
              </w:rPr>
            </w:pPr>
            <w:r>
              <w:rPr>
                <w:color w:val="000000"/>
                <w:sz w:val="24"/>
              </w:rPr>
              <w:t xml:space="preserve">收费标准：</w:t>
            </w:r>
            <w:r>
              <w:rPr>
                <w:rFonts w:hint="eastAsia"/>
                <w:color w:val="000000"/>
                <w:sz w:val="24"/>
                <w:u w:val="single"/>
                <w:lang w:val="en-US" w:eastAsia="zh-CN"/>
              </w:rPr>
              <w:t xml:space="preserve">6750元</w:t>
            </w:r>
            <w:r>
              <w:rPr>
                <w:rFonts w:hint="eastAsia"/>
                <w:color w:val="000000"/>
                <w:sz w:val="24"/>
                <w:u w:val="single"/>
                <w:lang w:val="zh-TW" w:eastAsia="zh-CN"/>
              </w:rPr>
              <w:t xml:space="preserve">；</w:t>
            </w:r>
            <w:r>
              <w:rPr>
                <w:color w:val="000000"/>
                <w:sz w:val="24"/>
                <w:u w:val="single"/>
              </w:rPr>
            </w:r>
            <w:r/>
          </w:p>
          <w:p>
            <w:pPr>
              <w:pStyle w:val="1147"/>
              <w:jc w:val="left"/>
              <w:rPr>
                <w:color w:val="000000"/>
                <w:sz w:val="24"/>
              </w:rPr>
            </w:pPr>
            <w:r>
              <w:rPr>
                <w:color w:val="000000"/>
                <w:sz w:val="24"/>
              </w:rPr>
              <w:t xml:space="preserve">缴纳时间：</w:t>
            </w:r>
            <w:r>
              <w:rPr>
                <w:rFonts w:hint="eastAsia"/>
                <w:color w:val="000000"/>
                <w:sz w:val="24"/>
                <w:u w:val="single"/>
              </w:rPr>
              <w:t xml:space="preserve">由成交单位领取中标通知书时一次性支付给采购代理单位</w:t>
            </w:r>
            <w:r>
              <w:rPr>
                <w:rFonts w:hint="eastAsia"/>
                <w:color w:val="000000"/>
                <w:sz w:val="24"/>
                <w:u w:val="single"/>
                <w:lang w:val="zh-TW" w:eastAsia="zh-CN"/>
              </w:rPr>
              <w:t xml:space="preserve">，各投标单位在投标报价时应综合考虑</w:t>
            </w:r>
            <w:r>
              <w:rPr>
                <w:color w:val="000000"/>
                <w:sz w:val="24"/>
                <w:u w:val="single"/>
              </w:rPr>
              <w:t xml:space="preserve">。</w:t>
            </w:r>
            <w:r>
              <w:rPr>
                <w:color w:val="000000"/>
                <w:sz w:val="24"/>
              </w:rPr>
            </w:r>
            <w:r/>
          </w:p>
        </w:tc>
      </w:tr>
    </w:tbl>
    <w:p>
      <w:pPr>
        <w:pStyle w:val="1147"/>
        <w:jc w:val="both"/>
        <w:spacing w:line="360" w:lineRule="auto"/>
        <w:tabs>
          <w:tab w:val="left" w:pos="5580" w:leader="none"/>
        </w:tabs>
        <w:rPr>
          <w:color w:val="000000"/>
          <w:sz w:val="24"/>
        </w:rPr>
        <w:sectPr>
          <w:footerReference w:type="default" r:id="rId16"/>
          <w:footerReference w:type="first" r:id="rId17"/>
          <w:footnotePr/>
          <w:endnotePr/>
          <w:type w:val="nextPage"/>
          <w:pgSz w:w="11907" w:h="16840" w:orient="portrait"/>
          <w:pgMar w:top="1418" w:right="1134" w:bottom="1418" w:left="1701" w:header="851" w:footer="851" w:gutter="0"/>
          <w:pgNumType w:start="6"/>
          <w:cols w:num="1" w:sep="0" w:space="1701" w:equalWidth="1"/>
          <w:docGrid w:linePitch="360"/>
          <w:titlePg/>
        </w:sectPr>
      </w:pPr>
      <w:r>
        <w:rPr>
          <w:color w:val="000000"/>
          <w:sz w:val="24"/>
        </w:rPr>
      </w:r>
      <w:r/>
    </w:p>
    <w:p>
      <w:pPr>
        <w:pStyle w:val="1147"/>
        <w:jc w:val="center"/>
        <w:spacing w:before="240" w:after="240"/>
        <w:rPr>
          <w:b/>
          <w:color w:val="000000"/>
          <w:sz w:val="28"/>
          <w:szCs w:val="28"/>
        </w:rPr>
      </w:pPr>
      <w:r>
        <w:rPr>
          <w:b/>
          <w:color w:val="000000"/>
          <w:sz w:val="28"/>
          <w:szCs w:val="28"/>
        </w:rPr>
        <w:t xml:space="preserve">供应商须知</w:t>
      </w:r>
      <w:r>
        <w:rPr>
          <w:b/>
          <w:color w:val="000000"/>
          <w:sz w:val="28"/>
          <w:szCs w:val="28"/>
        </w:rPr>
      </w:r>
      <w:r/>
    </w:p>
    <w:p>
      <w:pPr>
        <w:pStyle w:val="1149"/>
        <w:jc w:val="left"/>
        <w:spacing w:before="0" w:line="360" w:lineRule="auto"/>
        <w:tabs>
          <w:tab w:val="center" w:pos="4592" w:leader="none"/>
          <w:tab w:val="left" w:pos="7860" w:leader="none"/>
        </w:tabs>
        <w:rPr>
          <w:rFonts w:ascii="Times New Roman" w:hAnsi="Times New Roman" w:eastAsia="宋体"/>
          <w:color w:val="000000"/>
          <w:sz w:val="28"/>
        </w:rPr>
      </w:pPr>
      <w:r/>
      <w:bookmarkStart w:id="72" w:name="_Toc520356143"/>
      <w:r/>
      <w:bookmarkStart w:id="73" w:name="_Toc127151518"/>
      <w:r>
        <w:rPr>
          <w:rFonts w:ascii="Times New Roman" w:hAnsi="Times New Roman" w:eastAsia="宋体"/>
          <w:color w:val="000000"/>
          <w:sz w:val="28"/>
        </w:rPr>
        <w:tab/>
      </w:r>
      <w:bookmarkStart w:id="74" w:name="_Toc151193832"/>
      <w:r/>
      <w:bookmarkStart w:id="75" w:name="_Toc265228356"/>
      <w:r/>
      <w:bookmarkStart w:id="76" w:name="_Toc150774723"/>
      <w:r/>
      <w:bookmarkStart w:id="77" w:name="_Toc150480756"/>
      <w:r/>
      <w:bookmarkStart w:id="78" w:name="_Toc226965708"/>
      <w:r/>
      <w:bookmarkStart w:id="79" w:name="_Toc226337214"/>
      <w:r/>
      <w:bookmarkStart w:id="80" w:name="_Toc151193760"/>
      <w:r/>
      <w:bookmarkStart w:id="81" w:name="_Toc151190145"/>
      <w:r/>
      <w:bookmarkStart w:id="82" w:name="_Toc151193688"/>
      <w:r/>
      <w:bookmarkStart w:id="83" w:name="_Toc195842883"/>
      <w:r/>
      <w:bookmarkStart w:id="84" w:name="_Toc142311020"/>
      <w:r/>
      <w:bookmarkStart w:id="85" w:name="_Toc305158786"/>
      <w:r/>
      <w:bookmarkStart w:id="86" w:name="_Toc305158860"/>
      <w:r/>
      <w:bookmarkStart w:id="87" w:name="_Toc226965791"/>
      <w:r/>
      <w:bookmarkStart w:id="88" w:name="_Toc226309762"/>
      <w:r/>
      <w:bookmarkStart w:id="89" w:name="_Toc151193616"/>
      <w:r/>
      <w:bookmarkStart w:id="90" w:name="_Toc150509269"/>
      <w:r/>
      <w:bookmarkStart w:id="91" w:name="_Toc264969208"/>
      <w:r/>
      <w:bookmarkStart w:id="92" w:name="_Toc150774618"/>
      <w:r/>
      <w:bookmarkStart w:id="93" w:name="_Toc151193906"/>
      <w:r>
        <w:rPr>
          <w:rFonts w:ascii="Times New Roman" w:hAnsi="Times New Roman" w:eastAsia="宋体"/>
          <w:color w:val="000000"/>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color w:val="000000"/>
          <w:sz w:val="28"/>
        </w:rPr>
        <w:tab/>
      </w:r>
      <w:r>
        <w:rPr>
          <w:rFonts w:ascii="Times New Roman" w:hAnsi="Times New Roman" w:eastAsia="宋体"/>
          <w:color w:val="000000"/>
          <w:sz w:val="28"/>
        </w:rPr>
      </w:r>
      <w:r/>
    </w:p>
    <w:p>
      <w:pPr>
        <w:pStyle w:val="1147"/>
        <w:numPr>
          <w:ilvl w:val="0"/>
          <w:numId w:val="9"/>
        </w:numPr>
        <w:ind w:left="357" w:hanging="357"/>
        <w:spacing w:line="360" w:lineRule="auto"/>
        <w:tabs>
          <w:tab w:val="left" w:pos="360" w:leader="none"/>
        </w:tabs>
        <w:rPr>
          <w:color w:val="000000"/>
          <w:sz w:val="24"/>
        </w:rPr>
        <w:outlineLvl w:val="1"/>
      </w:pPr>
      <w:r/>
      <w:bookmarkStart w:id="94" w:name="_Toc265228357"/>
      <w:r/>
      <w:bookmarkStart w:id="95" w:name="_Toc305158861"/>
      <w:r/>
      <w:bookmarkStart w:id="96" w:name="_Toc305158787"/>
      <w:r/>
      <w:bookmarkStart w:id="97" w:name="_Toc264969209"/>
      <w:r>
        <w:rPr>
          <w:color w:val="000000"/>
          <w:sz w:val="24"/>
        </w:rPr>
        <w:t xml:space="preserve">采购人、采购代理机构、供应商</w:t>
      </w:r>
      <w:bookmarkEnd w:id="94"/>
      <w:r/>
      <w:bookmarkEnd w:id="95"/>
      <w:r/>
      <w:bookmarkEnd w:id="96"/>
      <w:r/>
      <w:bookmarkEnd w:id="97"/>
      <w:r>
        <w:rPr>
          <w:color w:val="000000"/>
          <w:sz w:val="24"/>
        </w:rPr>
        <w:t xml:space="preserve">、联合体</w:t>
      </w:r>
      <w:r>
        <w:rPr>
          <w:color w:val="000000"/>
          <w:sz w:val="24"/>
        </w:rPr>
      </w:r>
      <w:r/>
    </w:p>
    <w:p>
      <w:pPr>
        <w:pStyle w:val="1147"/>
        <w:numPr>
          <w:ilvl w:val="1"/>
          <w:numId w:val="9"/>
        </w:numPr>
        <w:ind w:left="1080" w:hanging="720"/>
        <w:spacing w:line="360" w:lineRule="auto"/>
        <w:tabs>
          <w:tab w:val="left" w:pos="1080" w:leader="none"/>
          <w:tab w:val="left" w:pos="1589" w:leader="none"/>
          <w:tab w:val="left" w:pos="2014" w:leader="none"/>
          <w:tab w:val="left" w:pos="5521" w:leader="none"/>
        </w:tabs>
        <w:rPr>
          <w:color w:val="000000"/>
          <w:sz w:val="24"/>
        </w:rPr>
      </w:pPr>
      <w:r>
        <w:rPr>
          <w:color w:val="000000"/>
          <w:sz w:val="24"/>
        </w:rPr>
        <w:t xml:space="preserve">采购人、采购代理机构：指依法进行政府采购的国家机关、事业单位、团体组织，及其委托的采购代理机构。本项目采购人、采购代理机构见第一章《采购邀请》。</w:t>
      </w:r>
      <w:r>
        <w:rPr>
          <w:color w:val="000000"/>
          <w:sz w:val="24"/>
        </w:rPr>
      </w:r>
      <w:r/>
    </w:p>
    <w:p>
      <w:pPr>
        <w:pStyle w:val="1147"/>
        <w:numPr>
          <w:ilvl w:val="1"/>
          <w:numId w:val="9"/>
        </w:numPr>
        <w:ind w:left="1080" w:hanging="720"/>
        <w:spacing w:line="360" w:lineRule="auto"/>
        <w:tabs>
          <w:tab w:val="left" w:pos="1080" w:leader="none"/>
          <w:tab w:val="left" w:pos="1589" w:leader="none"/>
          <w:tab w:val="left" w:pos="2014" w:leader="none"/>
          <w:tab w:val="left" w:pos="5521" w:leader="none"/>
        </w:tabs>
        <w:rPr>
          <w:color w:val="000000"/>
          <w:sz w:val="24"/>
        </w:rPr>
      </w:pPr>
      <w:r>
        <w:rPr>
          <w:color w:val="000000"/>
          <w:sz w:val="24"/>
        </w:rPr>
        <w:t xml:space="preserve">供应商（也称“申请人”）：指向采购人提供货物、工程或者服务的法人、其他组织或者自然人。</w:t>
      </w:r>
      <w:r>
        <w:rPr>
          <w:color w:val="000000"/>
          <w:sz w:val="24"/>
        </w:rPr>
      </w:r>
      <w:r/>
    </w:p>
    <w:p>
      <w:pPr>
        <w:pStyle w:val="1147"/>
        <w:numPr>
          <w:ilvl w:val="1"/>
          <w:numId w:val="9"/>
        </w:numPr>
        <w:ind w:left="1080" w:hanging="720"/>
        <w:spacing w:line="360" w:lineRule="auto"/>
        <w:tabs>
          <w:tab w:val="left" w:pos="1080" w:leader="none"/>
          <w:tab w:val="left" w:pos="1589" w:leader="none"/>
          <w:tab w:val="left" w:pos="2014" w:leader="none"/>
          <w:tab w:val="left" w:pos="5521" w:leader="none"/>
        </w:tabs>
        <w:rPr>
          <w:color w:val="000000"/>
          <w:sz w:val="24"/>
        </w:rPr>
      </w:pPr>
      <w:r>
        <w:rPr>
          <w:color w:val="000000"/>
          <w:sz w:val="24"/>
        </w:rPr>
        <w:t xml:space="preserve">联合体：指两个以上的自然人、法人或者其他组织组成一个联合体，以一个供应商的身份共同参加政府采购。</w:t>
      </w:r>
      <w:r>
        <w:rPr>
          <w:color w:val="000000"/>
          <w:sz w:val="24"/>
        </w:rPr>
      </w:r>
      <w:r/>
    </w:p>
    <w:p>
      <w:pPr>
        <w:pStyle w:val="1147"/>
        <w:numPr>
          <w:ilvl w:val="0"/>
          <w:numId w:val="9"/>
        </w:numPr>
        <w:ind w:left="357" w:hanging="357"/>
        <w:spacing w:line="360" w:lineRule="auto"/>
        <w:tabs>
          <w:tab w:val="left" w:pos="360" w:leader="none"/>
        </w:tabs>
        <w:rPr>
          <w:color w:val="000000"/>
          <w:sz w:val="24"/>
        </w:rPr>
        <w:outlineLvl w:val="1"/>
      </w:pPr>
      <w:r/>
      <w:bookmarkStart w:id="98" w:name="_Toc265228358"/>
      <w:r/>
      <w:bookmarkStart w:id="99" w:name="_Toc264969210"/>
      <w:r/>
      <w:bookmarkStart w:id="100" w:name="_Toc151193762"/>
      <w:r/>
      <w:bookmarkStart w:id="101" w:name="_Toc164229215"/>
      <w:r/>
      <w:bookmarkStart w:id="102" w:name="_Toc151193834"/>
      <w:r/>
      <w:bookmarkStart w:id="103" w:name="_Toc151193690"/>
      <w:r/>
      <w:bookmarkStart w:id="104" w:name="_Toc150509271"/>
      <w:r/>
      <w:bookmarkStart w:id="105" w:name="_Toc164229361"/>
      <w:r/>
      <w:bookmarkStart w:id="106" w:name="_Toc164351614"/>
      <w:r/>
      <w:bookmarkStart w:id="107" w:name="_Toc151193908"/>
      <w:r/>
      <w:bookmarkStart w:id="108" w:name="_Toc151193618"/>
      <w:r/>
      <w:bookmarkStart w:id="109" w:name="_Toc150480758"/>
      <w:r/>
      <w:bookmarkStart w:id="110" w:name="_Toc195842885"/>
      <w:r/>
      <w:bookmarkStart w:id="111" w:name="_Toc150774725"/>
      <w:r/>
      <w:bookmarkStart w:id="112" w:name="_Toc127161434"/>
      <w:r/>
      <w:bookmarkStart w:id="113" w:name="_Toc164608789"/>
      <w:r/>
      <w:bookmarkStart w:id="114" w:name="_Toc305158862"/>
      <w:r/>
      <w:bookmarkStart w:id="115" w:name="_Toc226965793"/>
      <w:r/>
      <w:bookmarkStart w:id="116" w:name="_Toc226337216"/>
      <w:r/>
      <w:bookmarkStart w:id="117" w:name="_Toc164608634"/>
      <w:r/>
      <w:bookmarkStart w:id="118" w:name="_Toc226309764"/>
      <w:r/>
      <w:bookmarkStart w:id="119" w:name="_Toc151190147"/>
      <w:r/>
      <w:bookmarkStart w:id="120" w:name="_Toc226965710"/>
      <w:r/>
      <w:bookmarkStart w:id="121" w:name="_Toc127151721"/>
      <w:r/>
      <w:bookmarkStart w:id="122" w:name="_Toc127151520"/>
      <w:r/>
      <w:bookmarkStart w:id="123" w:name="_Toc149720813"/>
      <w:r/>
      <w:bookmarkStart w:id="124" w:name="_Toc305158788"/>
      <w:r/>
      <w:bookmarkStart w:id="125" w:name="_Toc150774620"/>
      <w:r/>
      <w:bookmarkStart w:id="126" w:name="_Toc142311022"/>
      <w:r>
        <w:rPr>
          <w:color w:val="000000"/>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color w:val="000000"/>
          <w:sz w:val="24"/>
        </w:rPr>
        <w:t xml:space="preserve">、项目属性、科研仪器设备采购</w:t>
      </w:r>
      <w:r>
        <w:rPr>
          <w:color w:val="000000"/>
          <w:sz w:val="24"/>
        </w:rPr>
      </w:r>
      <w:r/>
    </w:p>
    <w:p>
      <w:pPr>
        <w:pStyle w:val="1147"/>
        <w:numPr>
          <w:ilvl w:val="1"/>
          <w:numId w:val="9"/>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资金来源为财政性资金和/或本项目采购中无法与财政性资金分割的非财政性资金。</w:t>
      </w:r>
      <w:r>
        <w:rPr>
          <w:color w:val="000000"/>
          <w:sz w:val="24"/>
        </w:rPr>
      </w:r>
      <w:r/>
    </w:p>
    <w:p>
      <w:pPr>
        <w:pStyle w:val="1147"/>
        <w:numPr>
          <w:ilvl w:val="1"/>
          <w:numId w:val="9"/>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项目属性见《供应商须知资料表》。</w:t>
      </w:r>
      <w:r>
        <w:rPr>
          <w:color w:val="000000"/>
          <w:sz w:val="24"/>
        </w:rPr>
      </w:r>
      <w:r/>
    </w:p>
    <w:p>
      <w:pPr>
        <w:pStyle w:val="1147"/>
        <w:numPr>
          <w:ilvl w:val="1"/>
          <w:numId w:val="9"/>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是否属于科研仪器设备采购见《供应商须知资料表》。</w:t>
      </w:r>
      <w:r>
        <w:rPr>
          <w:color w:val="000000"/>
          <w:sz w:val="24"/>
        </w:rPr>
      </w:r>
      <w:r/>
    </w:p>
    <w:p>
      <w:pPr>
        <w:pStyle w:val="1147"/>
        <w:numPr>
          <w:ilvl w:val="0"/>
          <w:numId w:val="9"/>
        </w:numPr>
        <w:ind w:left="357" w:hanging="357"/>
        <w:spacing w:line="360" w:lineRule="auto"/>
        <w:tabs>
          <w:tab w:val="left" w:pos="360" w:leader="none"/>
          <w:tab w:val="left" w:pos="900" w:leader="none"/>
        </w:tabs>
        <w:rPr>
          <w:color w:val="000000"/>
          <w:sz w:val="24"/>
        </w:rPr>
        <w:outlineLvl w:val="1"/>
      </w:pPr>
      <w:r>
        <w:rPr>
          <w:color w:val="000000"/>
          <w:sz w:val="24"/>
        </w:rPr>
        <w:t xml:space="preserve">现场考察、磋商前答疑会</w:t>
      </w:r>
      <w:r>
        <w:rPr>
          <w:color w:val="000000"/>
          <w:sz w:val="24"/>
        </w:rPr>
      </w:r>
      <w:r/>
    </w:p>
    <w:p>
      <w:pPr>
        <w:pStyle w:val="1147"/>
        <w:numPr>
          <w:ilvl w:val="1"/>
          <w:numId w:val="9"/>
        </w:numPr>
        <w:ind w:left="1080" w:hanging="720"/>
        <w:spacing w:line="360" w:lineRule="auto"/>
        <w:tabs>
          <w:tab w:val="left" w:pos="1080" w:leader="none"/>
          <w:tab w:val="left" w:pos="1589" w:leader="none"/>
          <w:tab w:val="left" w:pos="2014" w:leader="none"/>
        </w:tabs>
        <w:rPr>
          <w:color w:val="000000"/>
          <w:sz w:val="28"/>
        </w:rPr>
      </w:pPr>
      <w:r>
        <w:rPr>
          <w:color w:val="000000"/>
          <w:sz w:val="24"/>
        </w:rPr>
        <w:t xml:space="preserve">若《供应商须知资料表》中规定了组织现场考察、召开磋商前答疑会，则供应商应按要求在规定的时间和地点参加。</w:t>
      </w:r>
      <w:bookmarkStart w:id="127" w:name="_Toc151190149"/>
      <w:r/>
      <w:bookmarkStart w:id="128" w:name="_Toc151193836"/>
      <w:r/>
      <w:bookmarkStart w:id="129" w:name="_Toc226309766"/>
      <w:r/>
      <w:bookmarkStart w:id="130" w:name="_Toc151193764"/>
      <w:r/>
      <w:bookmarkStart w:id="131" w:name="_Toc264969212"/>
      <w:r/>
      <w:bookmarkStart w:id="132" w:name="_Toc265228360"/>
      <w:r/>
      <w:bookmarkStart w:id="133" w:name="_Toc195842887"/>
      <w:r/>
      <w:bookmarkStart w:id="134" w:name="_Toc226965712"/>
      <w:r/>
      <w:bookmarkStart w:id="135" w:name="_Toc150480760"/>
      <w:r/>
      <w:bookmarkStart w:id="136" w:name="_Toc150774727"/>
      <w:r/>
      <w:bookmarkStart w:id="137" w:name="_Toc127151522"/>
      <w:r/>
      <w:bookmarkStart w:id="138" w:name="_Toc520356146"/>
      <w:r/>
      <w:bookmarkStart w:id="139" w:name="_Toc150509273"/>
      <w:r/>
      <w:bookmarkStart w:id="140" w:name="_Toc142311024"/>
      <w:r/>
      <w:bookmarkStart w:id="141" w:name="_Toc150774622"/>
      <w:r/>
      <w:bookmarkStart w:id="142" w:name="_Toc226337218"/>
      <w:r/>
      <w:bookmarkStart w:id="143" w:name="_Toc226965795"/>
      <w:r/>
      <w:bookmarkStart w:id="144" w:name="_Toc151193620"/>
      <w:r/>
      <w:bookmarkStart w:id="145" w:name="_Toc151193692"/>
      <w:r/>
      <w:bookmarkStart w:id="146" w:name="_Toc305158864"/>
      <w:r/>
      <w:bookmarkStart w:id="147" w:name="_Toc151193910"/>
      <w:r/>
      <w:bookmarkStart w:id="148" w:name="_Toc305158790"/>
      <w:r>
        <w:rPr>
          <w:color w:val="000000"/>
          <w:sz w:val="28"/>
        </w:rPr>
      </w:r>
      <w:r/>
    </w:p>
    <w:p>
      <w:pPr>
        <w:pStyle w:val="1147"/>
        <w:numPr>
          <w:ilvl w:val="1"/>
          <w:numId w:val="9"/>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由于未参加现场考察或磋商前答疑会而导致对项目实际情况不了解，影响响应文件编制、报价准确性、综合因素响应不全面等问题的，由供应商自行承担不利评审后果。</w:t>
      </w:r>
      <w:r>
        <w:rPr>
          <w:color w:val="000000"/>
          <w:sz w:val="24"/>
        </w:rPr>
      </w:r>
      <w:r/>
    </w:p>
    <w:p>
      <w:pPr>
        <w:pStyle w:val="1147"/>
        <w:numPr>
          <w:ilvl w:val="0"/>
          <w:numId w:val="9"/>
        </w:numPr>
        <w:ind w:left="357" w:hanging="357"/>
        <w:spacing w:line="360" w:lineRule="auto"/>
        <w:tabs>
          <w:tab w:val="left" w:pos="360" w:leader="none"/>
        </w:tabs>
        <w:rPr>
          <w:color w:val="000000"/>
          <w:sz w:val="24"/>
        </w:rPr>
        <w:outlineLvl w:val="1"/>
      </w:pPr>
      <w:r>
        <w:rPr>
          <w:color w:val="000000"/>
          <w:sz w:val="24"/>
        </w:rPr>
        <w:t xml:space="preserve">政府采购政策（包括但不限于下列具体政策要求）</w:t>
      </w:r>
      <w:r>
        <w:rPr>
          <w:color w:val="000000"/>
          <w:sz w:val="24"/>
        </w:rPr>
      </w:r>
      <w:r/>
    </w:p>
    <w:p>
      <w:pPr>
        <w:pStyle w:val="1147"/>
        <w:numPr>
          <w:ilvl w:val="1"/>
          <w:numId w:val="9"/>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进口产品</w:t>
      </w:r>
      <w:r>
        <w:rPr>
          <w:color w:val="000000"/>
          <w:sz w:val="24"/>
        </w:rPr>
      </w:r>
      <w:r/>
    </w:p>
    <w:p>
      <w:pPr>
        <w:pStyle w:val="1147"/>
        <w:numPr>
          <w:ilvl w:val="2"/>
          <w:numId w:val="9"/>
        </w:numPr>
        <w:spacing w:line="360" w:lineRule="auto"/>
        <w:tabs>
          <w:tab w:val="left" w:pos="1980" w:leader="none"/>
          <w:tab w:val="left" w:pos="2014" w:leader="none"/>
        </w:tabs>
        <w:rPr>
          <w:color w:val="000000"/>
          <w:sz w:val="24"/>
        </w:rPr>
      </w:pPr>
      <w:r>
        <w:rPr>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rPr>
      </w:r>
      <w:r/>
    </w:p>
    <w:p>
      <w:pPr>
        <w:pStyle w:val="1147"/>
        <w:numPr>
          <w:ilvl w:val="1"/>
          <w:numId w:val="9"/>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中小企业、监狱企业及残疾人福利性单位</w:t>
      </w:r>
      <w:r>
        <w:rPr>
          <w:color w:val="000000"/>
          <w:sz w:val="24"/>
        </w:rPr>
      </w:r>
      <w:r/>
    </w:p>
    <w:p>
      <w:pPr>
        <w:pStyle w:val="1147"/>
        <w:numPr>
          <w:ilvl w:val="2"/>
          <w:numId w:val="9"/>
        </w:numPr>
        <w:spacing w:line="360" w:lineRule="auto"/>
        <w:tabs>
          <w:tab w:val="left" w:pos="1980" w:leader="none"/>
        </w:tabs>
        <w:rPr>
          <w:color w:val="000000"/>
          <w:sz w:val="24"/>
        </w:rPr>
      </w:pPr>
      <w:r>
        <w:rPr>
          <w:color w:val="000000"/>
          <w:sz w:val="24"/>
        </w:rPr>
        <w:t xml:space="preserve">中小企业定义：</w:t>
      </w:r>
      <w:r>
        <w:rPr>
          <w:color w:val="000000"/>
          <w:sz w:val="24"/>
        </w:rPr>
      </w:r>
      <w:r/>
    </w:p>
    <w:p>
      <w:pPr>
        <w:pStyle w:val="1243"/>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43"/>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43"/>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43"/>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43"/>
        <w:numPr>
          <w:ilvl w:val="1"/>
          <w:numId w:val="10"/>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43"/>
        <w:numPr>
          <w:ilvl w:val="1"/>
          <w:numId w:val="10"/>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43"/>
        <w:numPr>
          <w:ilvl w:val="2"/>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47"/>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1147"/>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供应商提供的货物、工程或者服务符合下列情形的，享受中小企业扶持政策：</w:t>
      </w:r>
      <w:r>
        <w:rPr>
          <w:color w:val="000000"/>
          <w:sz w:val="24"/>
        </w:rPr>
      </w:r>
      <w:r/>
    </w:p>
    <w:p>
      <w:pPr>
        <w:pStyle w:val="1147"/>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1147"/>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1147"/>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rPr>
          <w:color w:val="000000"/>
          <w:sz w:val="24"/>
        </w:rPr>
      </w:r>
      <w:r/>
    </w:p>
    <w:p>
      <w:pPr>
        <w:pStyle w:val="1147"/>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在货物采购项目中，供应商提供的货物既有中小企业制造货物，也有大型企业制造货物的，不享受中小企业扶持政策。</w:t>
      </w:r>
      <w:r>
        <w:rPr>
          <w:color w:val="000000"/>
          <w:sz w:val="24"/>
        </w:rPr>
      </w:r>
      <w:r/>
    </w:p>
    <w:p>
      <w:pPr>
        <w:pStyle w:val="1147"/>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以联合体形式参加政府采购活动，联合体各方均为中小企业的，联合体视同中小企业。其中，联合体各方均为小微企业的，联合体视同小微企业。</w:t>
      </w:r>
      <w:r>
        <w:rPr>
          <w:color w:val="000000"/>
          <w:sz w:val="24"/>
        </w:rPr>
      </w:r>
      <w:r/>
    </w:p>
    <w:p>
      <w:pPr>
        <w:pStyle w:val="1147"/>
        <w:numPr>
          <w:ilvl w:val="2"/>
          <w:numId w:val="9"/>
        </w:numPr>
        <w:spacing w:line="360" w:lineRule="auto"/>
        <w:tabs>
          <w:tab w:val="left" w:pos="1980" w:leader="none"/>
        </w:tabs>
        <w:rPr>
          <w:color w:val="000000"/>
          <w:sz w:val="24"/>
        </w:rPr>
      </w:pPr>
      <w:r>
        <w:rPr>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rPr>
      </w:r>
      <w:r/>
    </w:p>
    <w:p>
      <w:pPr>
        <w:pStyle w:val="1147"/>
        <w:numPr>
          <w:ilvl w:val="2"/>
          <w:numId w:val="9"/>
        </w:numPr>
        <w:spacing w:line="360" w:lineRule="auto"/>
        <w:tabs>
          <w:tab w:val="left" w:pos="1980" w:leader="none"/>
        </w:tabs>
        <w:rPr>
          <w:color w:val="000000"/>
          <w:sz w:val="24"/>
        </w:rPr>
      </w:pPr>
      <w:r>
        <w:rPr>
          <w:color w:val="000000"/>
          <w:sz w:val="24"/>
        </w:rPr>
        <w:t xml:space="preserve">残疾人福利单位定义：享受政府采购支持政策的残疾人福利性单位应当同时满足以下条件：</w:t>
      </w:r>
      <w:r>
        <w:rPr>
          <w:color w:val="000000"/>
          <w:sz w:val="24"/>
        </w:rPr>
      </w:r>
      <w:r/>
    </w:p>
    <w:p>
      <w:pPr>
        <w:pStyle w:val="1243"/>
        <w:numPr>
          <w:ilvl w:val="2"/>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43"/>
        <w:numPr>
          <w:ilvl w:val="2"/>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47"/>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1147"/>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依法与安置的每位残疾人签订了一年以上（含一年）的劳动合同或服务协议；</w:t>
      </w:r>
      <w:r>
        <w:rPr>
          <w:color w:val="000000"/>
          <w:sz w:val="24"/>
        </w:rPr>
      </w:r>
      <w:r/>
    </w:p>
    <w:p>
      <w:pPr>
        <w:pStyle w:val="1147"/>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为安置的每位残疾人按月足额缴纳了基本养老保险、基本医疗保险、失业保险、工伤保险和生育保险等社会保险费；</w:t>
      </w:r>
      <w:r>
        <w:rPr>
          <w:color w:val="000000"/>
          <w:sz w:val="24"/>
        </w:rPr>
      </w:r>
      <w:r/>
    </w:p>
    <w:p>
      <w:pPr>
        <w:pStyle w:val="1147"/>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通过银行等金融机构向安置的每位残疾人，按月支付了不低于单位所在区县适用的经省级人民政府批准的月最低工资标准的工资；</w:t>
      </w:r>
      <w:r>
        <w:rPr>
          <w:color w:val="000000"/>
          <w:sz w:val="24"/>
        </w:rPr>
      </w:r>
      <w:r/>
    </w:p>
    <w:p>
      <w:pPr>
        <w:pStyle w:val="1147"/>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1147"/>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1147"/>
        <w:numPr>
          <w:ilvl w:val="2"/>
          <w:numId w:val="9"/>
        </w:numPr>
        <w:spacing w:line="360" w:lineRule="auto"/>
        <w:tabs>
          <w:tab w:val="left" w:pos="1980" w:leader="none"/>
        </w:tabs>
        <w:rPr>
          <w:color w:val="000000"/>
          <w:sz w:val="24"/>
        </w:rPr>
      </w:pPr>
      <w:r>
        <w:rPr>
          <w:color w:val="000000"/>
          <w:sz w:val="24"/>
        </w:rPr>
        <w:t xml:space="preserve">本项目是否专门面向中小企业预留采购份额见第一章《采购邀请》。</w:t>
      </w:r>
      <w:r>
        <w:rPr>
          <w:color w:val="000000"/>
          <w:sz w:val="24"/>
        </w:rPr>
      </w:r>
      <w:r/>
    </w:p>
    <w:p>
      <w:pPr>
        <w:pStyle w:val="1147"/>
        <w:numPr>
          <w:ilvl w:val="2"/>
          <w:numId w:val="9"/>
        </w:numPr>
        <w:spacing w:line="360" w:lineRule="auto"/>
        <w:tabs>
          <w:tab w:val="left" w:pos="1980" w:leader="none"/>
        </w:tabs>
        <w:rPr>
          <w:color w:val="000000"/>
          <w:sz w:val="24"/>
        </w:rPr>
      </w:pPr>
      <w:r>
        <w:rPr>
          <w:color w:val="000000"/>
          <w:sz w:val="24"/>
        </w:rPr>
        <w:t xml:space="preserve">采购标的对应的中小企业划分标准所属行业见《供应商须知资料表》。</w:t>
      </w:r>
      <w:r>
        <w:rPr>
          <w:color w:val="000000"/>
          <w:sz w:val="24"/>
        </w:rPr>
      </w:r>
      <w:r/>
    </w:p>
    <w:p>
      <w:pPr>
        <w:pStyle w:val="1147"/>
        <w:numPr>
          <w:ilvl w:val="2"/>
          <w:numId w:val="9"/>
        </w:numPr>
        <w:spacing w:line="360" w:lineRule="auto"/>
        <w:tabs>
          <w:tab w:val="left" w:pos="1980" w:leader="none"/>
        </w:tabs>
        <w:rPr>
          <w:color w:val="000000"/>
          <w:sz w:val="24"/>
        </w:rPr>
      </w:pPr>
      <w:r>
        <w:rPr>
          <w:color w:val="000000"/>
          <w:sz w:val="24"/>
        </w:rPr>
        <w:t xml:space="preserve">小微企业价格评审优惠的政策调整：见第三章《评审方法和评审标准》。</w:t>
      </w:r>
      <w:r>
        <w:rPr>
          <w:color w:val="000000"/>
          <w:sz w:val="24"/>
        </w:rPr>
      </w:r>
      <w:r/>
    </w:p>
    <w:p>
      <w:pPr>
        <w:pStyle w:val="1147"/>
        <w:numPr>
          <w:ilvl w:val="1"/>
          <w:numId w:val="9"/>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政府采购节能产品、环境标志产品</w:t>
      </w:r>
      <w:r>
        <w:rPr>
          <w:color w:val="000000"/>
          <w:sz w:val="24"/>
        </w:rPr>
      </w:r>
      <w:r/>
    </w:p>
    <w:p>
      <w:pPr>
        <w:pStyle w:val="1147"/>
        <w:numPr>
          <w:ilvl w:val="2"/>
          <w:numId w:val="9"/>
        </w:numPr>
        <w:spacing w:line="360" w:lineRule="auto"/>
        <w:tabs>
          <w:tab w:val="left" w:pos="1980" w:leader="none"/>
        </w:tabs>
        <w:rPr>
          <w:color w:val="000000"/>
          <w:sz w:val="24"/>
        </w:rPr>
      </w:pPr>
      <w:r>
        <w:rPr>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rPr>
      </w:r>
      <w:r/>
    </w:p>
    <w:p>
      <w:pPr>
        <w:pStyle w:val="1147"/>
        <w:numPr>
          <w:ilvl w:val="2"/>
          <w:numId w:val="9"/>
        </w:numPr>
        <w:spacing w:line="360" w:lineRule="auto"/>
        <w:tabs>
          <w:tab w:val="left" w:pos="1980" w:leader="none"/>
        </w:tabs>
        <w:rPr>
          <w:color w:val="000000"/>
          <w:sz w:val="24"/>
        </w:rPr>
      </w:pPr>
      <w:r>
        <w:rPr>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rPr>
      </w:r>
      <w:r/>
    </w:p>
    <w:p>
      <w:pPr>
        <w:pStyle w:val="1147"/>
        <w:numPr>
          <w:ilvl w:val="2"/>
          <w:numId w:val="9"/>
        </w:numPr>
        <w:spacing w:line="360" w:lineRule="auto"/>
        <w:tabs>
          <w:tab w:val="left" w:pos="1980" w:leader="none"/>
        </w:tabs>
        <w:rPr>
          <w:color w:val="000000"/>
          <w:sz w:val="24"/>
        </w:rPr>
      </w:pPr>
      <w:r>
        <w:rPr>
          <w:color w:val="000000"/>
          <w:sz w:val="24"/>
        </w:rPr>
        <w:t xml:space="preserve">如本项目采购产品属于实施政府强制采购品目清单范围的节能产品，则供应商所报产品必须获得国家确定的认证机构出具的、处于有效期之内的节能产品认证证书，</w:t>
      </w:r>
      <w:r>
        <w:rPr>
          <w:color w:val="000000"/>
          <w:sz w:val="24"/>
        </w:rPr>
        <w:t xml:space="preserve">否则</w:t>
      </w:r>
      <w:r>
        <w:rPr>
          <w:b/>
          <w:color w:val="000000"/>
          <w:sz w:val="24"/>
        </w:rPr>
        <w:t xml:space="preserve">响应无效</w:t>
      </w:r>
      <w:r>
        <w:rPr>
          <w:color w:val="000000"/>
          <w:sz w:val="24"/>
        </w:rPr>
        <w:t xml:space="preserve">；</w:t>
      </w:r>
      <w:r>
        <w:rPr>
          <w:color w:val="000000"/>
          <w:sz w:val="24"/>
        </w:rPr>
      </w:r>
      <w:r/>
    </w:p>
    <w:p>
      <w:pPr>
        <w:pStyle w:val="1147"/>
        <w:numPr>
          <w:ilvl w:val="2"/>
          <w:numId w:val="9"/>
        </w:numPr>
        <w:spacing w:line="360" w:lineRule="auto"/>
        <w:tabs>
          <w:tab w:val="left" w:pos="1980" w:leader="none"/>
        </w:tabs>
        <w:rPr>
          <w:rFonts w:hint="eastAsia"/>
          <w:color w:val="000000"/>
          <w:sz w:val="24"/>
        </w:rPr>
      </w:pPr>
      <w:r>
        <w:rPr>
          <w:color w:val="000000"/>
          <w:sz w:val="24"/>
        </w:rPr>
        <w:t xml:space="preserve">非政府强制采购的节能产品或环境标志产品，依据品目清单和认证证书实施政府优先采购。优先采购的具体规定见第三章《评审方法和评审标准》（如涉及）。</w:t>
      </w:r>
      <w:r>
        <w:rPr>
          <w:rFonts w:hint="eastAsia"/>
          <w:color w:val="000000"/>
          <w:sz w:val="24"/>
        </w:rPr>
      </w:r>
      <w:r/>
    </w:p>
    <w:p>
      <w:pPr>
        <w:pStyle w:val="1147"/>
        <w:numPr>
          <w:ilvl w:val="2"/>
          <w:numId w:val="9"/>
        </w:numPr>
        <w:spacing w:line="360" w:lineRule="auto"/>
        <w:tabs>
          <w:tab w:val="left" w:pos="1980" w:leader="none"/>
          <w:tab w:val="left" w:pos="2014" w:leader="none"/>
        </w:tabs>
        <w:rPr>
          <w:color w:val="000000"/>
          <w:sz w:val="24"/>
        </w:rPr>
      </w:pPr>
      <w:r>
        <w:rPr>
          <w:rFonts w:hint="eastAsia"/>
          <w:color w:val="000000"/>
          <w:sz w:val="24"/>
        </w:rPr>
        <w:t xml:space="preserve">依据</w:t>
      </w:r>
      <w:r>
        <w:rPr>
          <w:color w:val="000000"/>
          <w:sz w:val="24"/>
        </w:rPr>
        <w:t xml:space="preserve">《关于印发〈商品包装政府采购需求标准（试行）〉、〈快递包装政府采购需求标准（试行）〉的通知》（财办库〔2020〕123号）</w:t>
      </w:r>
      <w:r>
        <w:rPr>
          <w:rFonts w:hint="eastAsia"/>
          <w:color w:val="000000"/>
          <w:sz w:val="24"/>
        </w:rPr>
        <w:t xml:space="preserve">文件</w:t>
      </w:r>
      <w:r>
        <w:rPr>
          <w:color w:val="000000"/>
          <w:sz w:val="24"/>
        </w:rPr>
        <w:t xml:space="preserve">精神</w:t>
      </w:r>
      <w:r>
        <w:rPr>
          <w:rFonts w:hint="eastAsia"/>
          <w:color w:val="000000"/>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rPr>
      </w:r>
      <w:r/>
    </w:p>
    <w:p>
      <w:pPr>
        <w:pStyle w:val="1147"/>
        <w:numPr>
          <w:ilvl w:val="1"/>
          <w:numId w:val="9"/>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支持乡村产业振兴管理</w:t>
      </w:r>
      <w:r>
        <w:rPr>
          <w:color w:val="000000"/>
          <w:sz w:val="24"/>
        </w:rPr>
      </w:r>
      <w:r/>
    </w:p>
    <w:p>
      <w:pPr>
        <w:pStyle w:val="1147"/>
        <w:numPr>
          <w:ilvl w:val="2"/>
          <w:numId w:val="9"/>
        </w:numPr>
        <w:spacing w:line="360" w:lineRule="auto"/>
        <w:tabs>
          <w:tab w:val="left" w:pos="1980" w:leader="none"/>
          <w:tab w:val="left" w:pos="2014" w:leader="none"/>
        </w:tabs>
        <w:rPr>
          <w:color w:val="000000"/>
          <w:sz w:val="24"/>
        </w:rPr>
      </w:pPr>
      <w:r>
        <w:rPr>
          <w:color w:val="000000"/>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color w:val="000000"/>
          <w:sz w:val="24"/>
        </w:rPr>
      </w:r>
      <w:r/>
    </w:p>
    <w:p>
      <w:pPr>
        <w:pStyle w:val="1147"/>
        <w:numPr>
          <w:ilvl w:val="1"/>
          <w:numId w:val="9"/>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正版软件</w:t>
      </w:r>
      <w:r>
        <w:rPr>
          <w:color w:val="000000"/>
          <w:sz w:val="24"/>
        </w:rPr>
      </w:r>
      <w:r/>
    </w:p>
    <w:p>
      <w:pPr>
        <w:pStyle w:val="1147"/>
        <w:numPr>
          <w:ilvl w:val="2"/>
          <w:numId w:val="9"/>
        </w:numPr>
        <w:spacing w:line="360" w:lineRule="auto"/>
        <w:tabs>
          <w:tab w:val="left" w:pos="1980" w:leader="none"/>
        </w:tabs>
        <w:rPr>
          <w:color w:val="000000"/>
          <w:sz w:val="24"/>
        </w:rPr>
      </w:pPr>
      <w:r>
        <w:rPr>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color w:val="000000"/>
          <w:sz w:val="24"/>
        </w:rPr>
        <w:t xml:space="preserve">否则</w:t>
      </w:r>
      <w:r>
        <w:rPr>
          <w:b/>
          <w:color w:val="000000"/>
          <w:sz w:val="24"/>
        </w:rPr>
        <w:t xml:space="preserve">响应无效</w:t>
      </w:r>
      <w:r>
        <w:rPr>
          <w:color w:val="000000"/>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rPr>
      </w:r>
      <w:r/>
    </w:p>
    <w:p>
      <w:pPr>
        <w:pStyle w:val="1147"/>
        <w:numPr>
          <w:ilvl w:val="2"/>
          <w:numId w:val="9"/>
        </w:numPr>
        <w:spacing w:line="360" w:lineRule="auto"/>
        <w:tabs>
          <w:tab w:val="left" w:pos="1980" w:leader="none"/>
        </w:tabs>
        <w:rPr>
          <w:color w:val="000000"/>
          <w:sz w:val="24"/>
        </w:rPr>
      </w:pPr>
      <w:r>
        <w:rPr>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rPr>
      </w:r>
      <w:r/>
    </w:p>
    <w:p>
      <w:pPr>
        <w:pStyle w:val="1147"/>
        <w:numPr>
          <w:ilvl w:val="1"/>
          <w:numId w:val="9"/>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信息安全产品</w:t>
      </w:r>
      <w:r>
        <w:rPr>
          <w:color w:val="000000"/>
          <w:sz w:val="24"/>
        </w:rPr>
      </w:r>
      <w:r/>
    </w:p>
    <w:p>
      <w:pPr>
        <w:pStyle w:val="1147"/>
        <w:numPr>
          <w:ilvl w:val="2"/>
          <w:numId w:val="9"/>
        </w:numPr>
        <w:spacing w:line="360" w:lineRule="auto"/>
        <w:tabs>
          <w:tab w:val="left" w:pos="1980" w:leader="none"/>
          <w:tab w:val="left" w:pos="2014" w:leader="none"/>
        </w:tabs>
        <w:rPr>
          <w:rFonts w:hint="eastAsia"/>
          <w:color w:val="000000"/>
          <w:sz w:val="24"/>
        </w:rPr>
      </w:pPr>
      <w:r>
        <w:rPr>
          <w:color w:val="000000"/>
          <w:sz w:val="24"/>
        </w:rPr>
        <w:t xml:space="preserve">所投产品属于《关于调整信息安全产品强制性认证实施要求的公告》（2009 年第33 号）范围的，采购经国家认证的信息安全产品，</w:t>
      </w:r>
      <w:r>
        <w:rPr>
          <w:color w:val="000000"/>
          <w:sz w:val="24"/>
        </w:rPr>
        <w:t xml:space="preserve">否则</w:t>
      </w:r>
      <w:r>
        <w:rPr>
          <w:b/>
          <w:color w:val="000000"/>
          <w:sz w:val="24"/>
        </w:rPr>
        <w:t xml:space="preserve">响应无效</w:t>
      </w:r>
      <w:r>
        <w:rPr>
          <w:color w:val="000000"/>
          <w:sz w:val="24"/>
        </w:rPr>
        <w:t xml:space="preserve">。关于信息安全相关规定依据《关于信息安全产品实施政府采购的通知》（财库〔2010〕48 号）。</w:t>
      </w:r>
      <w:r>
        <w:rPr>
          <w:rFonts w:hint="eastAsia"/>
          <w:color w:val="000000"/>
          <w:sz w:val="24"/>
        </w:rPr>
      </w:r>
      <w:r/>
    </w:p>
    <w:p>
      <w:pPr>
        <w:pStyle w:val="1147"/>
        <w:numPr>
          <w:ilvl w:val="1"/>
          <w:numId w:val="9"/>
        </w:numPr>
        <w:ind w:left="1080" w:hanging="720"/>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政府采购创新产品政策</w:t>
      </w:r>
      <w:r>
        <w:rPr>
          <w:rFonts w:hint="eastAsia"/>
          <w:color w:val="000000"/>
          <w:sz w:val="24"/>
        </w:rPr>
      </w:r>
      <w:r/>
    </w:p>
    <w:p>
      <w:pPr>
        <w:pStyle w:val="1147"/>
        <w:numPr>
          <w:ilvl w:val="2"/>
          <w:numId w:val="9"/>
        </w:numPr>
        <w:spacing w:line="360" w:lineRule="auto"/>
        <w:tabs>
          <w:tab w:val="left" w:pos="1980" w:leader="none"/>
          <w:tab w:val="left" w:pos="2014" w:leader="none"/>
        </w:tabs>
        <w:rPr>
          <w:color w:val="000000"/>
          <w:sz w:val="24"/>
        </w:rPr>
      </w:pPr>
      <w:r>
        <w:rPr>
          <w:rFonts w:hint="eastAsia"/>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sz w:val="24"/>
        </w:rPr>
      </w:r>
      <w:r/>
    </w:p>
    <w:p>
      <w:pPr>
        <w:pStyle w:val="1147"/>
        <w:numPr>
          <w:ilvl w:val="1"/>
          <w:numId w:val="9"/>
        </w:numPr>
        <w:ind w:left="1080" w:hanging="720"/>
        <w:spacing w:line="360" w:lineRule="auto"/>
        <w:tabs>
          <w:tab w:val="left" w:pos="1080" w:leader="none"/>
          <w:tab w:val="left" w:pos="1589" w:leader="none"/>
          <w:tab w:val="left" w:pos="2014" w:leader="none"/>
        </w:tabs>
        <w:rPr>
          <w:color w:val="000000"/>
          <w:sz w:val="24"/>
        </w:rPr>
      </w:pPr>
      <w:r>
        <w:rPr>
          <w:rFonts w:hint="eastAsia"/>
          <w:color w:val="000000"/>
          <w:sz w:val="24"/>
        </w:rPr>
        <w:t xml:space="preserve">绿色采购政策</w:t>
      </w:r>
      <w:r>
        <w:rPr>
          <w:color w:val="000000"/>
          <w:sz w:val="24"/>
        </w:rPr>
      </w:r>
      <w:r/>
    </w:p>
    <w:p>
      <w:pPr>
        <w:pStyle w:val="1147"/>
        <w:numPr>
          <w:ilvl w:val="2"/>
          <w:numId w:val="9"/>
        </w:numPr>
        <w:spacing w:line="360" w:lineRule="auto"/>
        <w:tabs>
          <w:tab w:val="left" w:pos="1980" w:leader="none"/>
          <w:tab w:val="left" w:pos="2014"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绿色数据中心政策 </w:t>
      </w:r>
      <w:r>
        <w:rPr>
          <w:rFonts w:hint="eastAsia" w:ascii="Times New Roman" w:hAnsi="Times New Roman" w:eastAsia="宋体" w:cs="Times New Roman"/>
          <w:color w:val="000000"/>
          <w:sz w:val="24"/>
        </w:rPr>
      </w:r>
      <w:r/>
    </w:p>
    <w:p>
      <w:pPr>
        <w:pStyle w:val="1147"/>
        <w:numPr>
          <w:ilvl w:val="0"/>
          <w:numId w:val="0"/>
        </w:numPr>
        <w:ind w:left="1080"/>
        <w:spacing w:line="360" w:lineRule="auto"/>
        <w:tabs>
          <w:tab w:val="left" w:pos="2014"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依据《绿色数据中心政府采购需求标准（试行）》（财办库〔2023〕7 号）文件精神，采购</w:t>
      </w:r>
      <w:r>
        <w:rPr>
          <w:rFonts w:hint="eastAsia" w:ascii="Times New Roman" w:hAnsi="Times New Roman" w:eastAsia="宋体" w:cs="Times New Roman"/>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Times New Roman" w:hAnsi="Times New Roman" w:eastAsia="宋体" w:cs="Times New Roman"/>
          <w:color w:val="000000"/>
          <w:sz w:val="24"/>
        </w:rPr>
      </w:r>
      <w:r/>
    </w:p>
    <w:p>
      <w:pPr>
        <w:pStyle w:val="1147"/>
        <w:numPr>
          <w:ilvl w:val="2"/>
          <w:numId w:val="9"/>
        </w:numPr>
        <w:spacing w:line="360" w:lineRule="auto"/>
        <w:tabs>
          <w:tab w:val="left" w:pos="1980" w:leader="none"/>
          <w:tab w:val="left" w:pos="2014"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推广应用绿色建材</w:t>
      </w:r>
      <w:r>
        <w:rPr>
          <w:rFonts w:hint="eastAsia" w:ascii="Times New Roman" w:hAnsi="Times New Roman" w:eastAsia="宋体" w:cs="Times New Roman"/>
          <w:color w:val="000000"/>
          <w:sz w:val="24"/>
        </w:rPr>
      </w:r>
      <w:r/>
    </w:p>
    <w:p>
      <w:pPr>
        <w:pStyle w:val="1147"/>
        <w:numPr>
          <w:ilvl w:val="0"/>
          <w:numId w:val="0"/>
        </w:numPr>
        <w:ind w:left="1080"/>
        <w:spacing w:line="360" w:lineRule="auto"/>
        <w:tabs>
          <w:tab w:val="left" w:pos="2014"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Times New Roman" w:hAnsi="Times New Roman" w:eastAsia="宋体" w:cs="Times New Roman"/>
          <w:color w:val="000000"/>
          <w:sz w:val="24"/>
        </w:rPr>
      </w:r>
      <w:r/>
    </w:p>
    <w:p>
      <w:pPr>
        <w:pStyle w:val="1147"/>
        <w:numPr>
          <w:ilvl w:val="2"/>
          <w:numId w:val="9"/>
        </w:numPr>
        <w:spacing w:line="360" w:lineRule="auto"/>
        <w:tabs>
          <w:tab w:val="left" w:pos="1980" w:leader="none"/>
          <w:tab w:val="left" w:pos="2014"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优先使用低挥发性有机化合物产品</w:t>
      </w:r>
      <w:r>
        <w:rPr>
          <w:rFonts w:hint="eastAsia" w:ascii="Times New Roman" w:hAnsi="Times New Roman" w:eastAsia="宋体" w:cs="Times New Roman"/>
          <w:color w:val="000000"/>
          <w:sz w:val="24"/>
        </w:rPr>
      </w:r>
      <w:r/>
    </w:p>
    <w:p>
      <w:pPr>
        <w:pStyle w:val="1147"/>
        <w:numPr>
          <w:ilvl w:val="0"/>
          <w:numId w:val="0"/>
        </w:numPr>
        <w:ind w:left="1080"/>
        <w:spacing w:line="360" w:lineRule="auto"/>
        <w:tabs>
          <w:tab w:val="left" w:pos="2014" w:leader="none"/>
        </w:tabs>
        <w:rPr>
          <w:color w:val="000000"/>
          <w:sz w:val="24"/>
        </w:rPr>
      </w:pPr>
      <w:r>
        <w:rPr>
          <w:rFonts w:hint="eastAsia" w:ascii="Times New Roman" w:hAnsi="Times New Roman" w:eastAsia="宋体" w:cs="Times New Roman"/>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sz w:val="24"/>
        </w:rPr>
      </w:r>
      <w:r/>
    </w:p>
    <w:p>
      <w:pPr>
        <w:pStyle w:val="1147"/>
        <w:numPr>
          <w:ilvl w:val="0"/>
          <w:numId w:val="9"/>
        </w:numPr>
        <w:ind w:left="357" w:hanging="357"/>
        <w:spacing w:line="360" w:lineRule="auto"/>
        <w:tabs>
          <w:tab w:val="left" w:pos="360" w:leader="none"/>
          <w:tab w:val="left" w:pos="900" w:leader="none"/>
        </w:tabs>
        <w:rPr>
          <w:color w:val="000000"/>
          <w:sz w:val="24"/>
        </w:rPr>
        <w:outlineLvl w:val="1"/>
      </w:pPr>
      <w:r>
        <w:rPr>
          <w:color w:val="000000"/>
          <w:sz w:val="24"/>
        </w:rPr>
        <w:t xml:space="preserve">响应费用</w:t>
      </w:r>
      <w:r>
        <w:rPr>
          <w:color w:val="000000"/>
          <w:sz w:val="24"/>
        </w:rPr>
      </w:r>
      <w:r/>
    </w:p>
    <w:p>
      <w:pPr>
        <w:pStyle w:val="1147"/>
        <w:numPr>
          <w:ilvl w:val="1"/>
          <w:numId w:val="9"/>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供应商应自行承担所有与准备和参加磋商有关的费用，无论磋商的结果如何，采购人或采购代理机构在任何情况下均无承担这些费用的义务和责任。</w:t>
      </w:r>
      <w:r>
        <w:rPr>
          <w:color w:val="000000"/>
          <w:sz w:val="24"/>
        </w:rPr>
      </w:r>
      <w:r/>
    </w:p>
    <w:p>
      <w:pPr>
        <w:pStyle w:val="1147"/>
        <w:ind w:left="1080"/>
        <w:spacing w:line="360" w:lineRule="auto"/>
        <w:tabs>
          <w:tab w:val="left" w:pos="1080" w:leader="none"/>
        </w:tabs>
        <w:rPr>
          <w:color w:val="000000"/>
          <w:sz w:val="28"/>
        </w:rPr>
      </w:pPr>
      <w:r/>
      <w:bookmarkStart w:id="149" w:name="_1.8_计量单位"/>
      <w:r/>
      <w:bookmarkEnd w:id="149"/>
      <w:r>
        <w:rPr>
          <w:color w:val="000000"/>
          <w:sz w:val="28"/>
        </w:rPr>
      </w:r>
      <w:r/>
    </w:p>
    <w:p>
      <w:pPr>
        <w:pStyle w:val="1149"/>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ascii="Times New Roman" w:hAnsi="Times New Roman" w:eastAsia="宋体"/>
          <w:color w:val="000000"/>
          <w:sz w:val="28"/>
        </w:rPr>
      </w:r>
      <w:r/>
    </w:p>
    <w:p>
      <w:pPr>
        <w:pStyle w:val="1147"/>
        <w:numPr>
          <w:ilvl w:val="0"/>
          <w:numId w:val="9"/>
        </w:numPr>
        <w:ind w:left="357" w:hanging="357"/>
        <w:spacing w:line="360" w:lineRule="auto"/>
        <w:tabs>
          <w:tab w:val="left" w:pos="360" w:leader="none"/>
          <w:tab w:val="left" w:pos="900" w:leader="none"/>
        </w:tabs>
        <w:rPr>
          <w:color w:val="000000"/>
          <w:sz w:val="24"/>
        </w:rPr>
        <w:outlineLvl w:val="1"/>
      </w:pPr>
      <w:r/>
      <w:bookmarkStart w:id="150" w:name="_Toc150774623"/>
      <w:r/>
      <w:bookmarkStart w:id="151" w:name="_Toc305158865"/>
      <w:r/>
      <w:bookmarkStart w:id="152" w:name="_Toc305158791"/>
      <w:r/>
      <w:bookmarkStart w:id="153" w:name="_Toc150480761"/>
      <w:r/>
      <w:bookmarkStart w:id="154" w:name="_Toc151193621"/>
      <w:r/>
      <w:bookmarkStart w:id="155" w:name="_Toc164608792"/>
      <w:r/>
      <w:bookmarkStart w:id="156" w:name="_Toc226309767"/>
      <w:r/>
      <w:bookmarkStart w:id="157" w:name="_Toc164351617"/>
      <w:r/>
      <w:bookmarkStart w:id="158" w:name="_Toc226965796"/>
      <w:r/>
      <w:bookmarkStart w:id="159" w:name="_Toc520356147"/>
      <w:r/>
      <w:bookmarkStart w:id="160" w:name="_Toc265228361"/>
      <w:r/>
      <w:bookmarkStart w:id="161" w:name="_Toc164608637"/>
      <w:r/>
      <w:bookmarkStart w:id="162" w:name="_Toc151193765"/>
      <w:r/>
      <w:bookmarkStart w:id="163" w:name="_Toc151193911"/>
      <w:r/>
      <w:bookmarkStart w:id="164" w:name="_Toc151193837"/>
      <w:r/>
      <w:bookmarkStart w:id="165" w:name="_Toc151193693"/>
      <w:r/>
      <w:bookmarkStart w:id="166" w:name="_Toc195842888"/>
      <w:r/>
      <w:bookmarkStart w:id="167" w:name="_Toc226337219"/>
      <w:r/>
      <w:bookmarkStart w:id="168" w:name="_Toc127161437"/>
      <w:r/>
      <w:bookmarkStart w:id="169" w:name="_Toc127151724"/>
      <w:r/>
      <w:bookmarkStart w:id="170" w:name="_Toc164229364"/>
      <w:r/>
      <w:bookmarkStart w:id="171" w:name="_Toc149720816"/>
      <w:r/>
      <w:bookmarkStart w:id="172" w:name="_Toc151190150"/>
      <w:r/>
      <w:bookmarkStart w:id="173" w:name="_Toc127151523"/>
      <w:r/>
      <w:bookmarkStart w:id="174" w:name="_Toc164229218"/>
      <w:r/>
      <w:bookmarkStart w:id="175" w:name="_Toc150509274"/>
      <w:r/>
      <w:bookmarkStart w:id="176" w:name="_Toc142311025"/>
      <w:r/>
      <w:bookmarkStart w:id="177" w:name="_Toc226965713"/>
      <w:r/>
      <w:bookmarkStart w:id="178" w:name="_Toc264969213"/>
      <w:r/>
      <w:bookmarkStart w:id="179" w:name="_Toc150774728"/>
      <w:r>
        <w:rPr>
          <w:color w:val="000000"/>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color w:val="000000"/>
          <w:sz w:val="24"/>
        </w:rPr>
        <w:t xml:space="preserve">成</w:t>
      </w:r>
      <w:r>
        <w:rPr>
          <w:color w:val="000000"/>
          <w:sz w:val="24"/>
        </w:rPr>
      </w:r>
      <w:r/>
    </w:p>
    <w:p>
      <w:pPr>
        <w:pStyle w:val="1147"/>
        <w:numPr>
          <w:ilvl w:val="1"/>
          <w:numId w:val="9"/>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竞争性磋商文件包括以下部分：</w:t>
      </w:r>
      <w:r>
        <w:rPr>
          <w:color w:val="000000"/>
          <w:sz w:val="24"/>
        </w:rPr>
      </w:r>
      <w:r/>
    </w:p>
    <w:p>
      <w:pPr>
        <w:pStyle w:val="1147"/>
        <w:numPr>
          <w:ilvl w:val="0"/>
          <w:numId w:val="11"/>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采购邀请</w:t>
      </w:r>
      <w:r>
        <w:rPr>
          <w:color w:val="000000"/>
          <w:sz w:val="24"/>
        </w:rPr>
      </w:r>
      <w:r/>
    </w:p>
    <w:p>
      <w:pPr>
        <w:pStyle w:val="1147"/>
        <w:numPr>
          <w:ilvl w:val="0"/>
          <w:numId w:val="11"/>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供应商须知</w:t>
      </w:r>
      <w:r>
        <w:rPr>
          <w:color w:val="000000"/>
          <w:sz w:val="24"/>
        </w:rPr>
      </w:r>
      <w:r/>
    </w:p>
    <w:p>
      <w:pPr>
        <w:pStyle w:val="1147"/>
        <w:numPr>
          <w:ilvl w:val="0"/>
          <w:numId w:val="11"/>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评审</w:t>
      </w:r>
      <w:r>
        <w:rPr>
          <w:rFonts w:hint="eastAsia"/>
          <w:color w:val="000000"/>
          <w:sz w:val="24"/>
        </w:rPr>
        <w:t xml:space="preserve">程序、评审</w:t>
      </w:r>
      <w:r>
        <w:rPr>
          <w:color w:val="000000"/>
          <w:sz w:val="24"/>
        </w:rPr>
        <w:t xml:space="preserve">方法和评审标准</w:t>
      </w:r>
      <w:r>
        <w:rPr>
          <w:color w:val="000000"/>
          <w:sz w:val="24"/>
        </w:rPr>
      </w:r>
      <w:r/>
    </w:p>
    <w:p>
      <w:pPr>
        <w:pStyle w:val="1147"/>
        <w:numPr>
          <w:ilvl w:val="0"/>
          <w:numId w:val="11"/>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采购需求</w:t>
      </w:r>
      <w:r>
        <w:rPr>
          <w:color w:val="000000"/>
          <w:sz w:val="24"/>
        </w:rPr>
      </w:r>
      <w:r/>
    </w:p>
    <w:p>
      <w:pPr>
        <w:pStyle w:val="1147"/>
        <w:numPr>
          <w:ilvl w:val="0"/>
          <w:numId w:val="11"/>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合同草案条款</w:t>
      </w:r>
      <w:r>
        <w:rPr>
          <w:color w:val="000000"/>
          <w:sz w:val="24"/>
        </w:rPr>
      </w:r>
      <w:r/>
    </w:p>
    <w:p>
      <w:pPr>
        <w:pStyle w:val="1147"/>
        <w:numPr>
          <w:ilvl w:val="0"/>
          <w:numId w:val="11"/>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响应文件格式</w:t>
      </w:r>
      <w:r>
        <w:rPr>
          <w:color w:val="000000"/>
          <w:sz w:val="24"/>
        </w:rPr>
      </w:r>
      <w:r/>
    </w:p>
    <w:p>
      <w:pPr>
        <w:pStyle w:val="1147"/>
        <w:numPr>
          <w:ilvl w:val="1"/>
          <w:numId w:val="9"/>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sz w:val="24"/>
        </w:rPr>
        <w:t xml:space="preserve">响应无效</w:t>
      </w:r>
      <w:r>
        <w:rPr>
          <w:color w:val="000000"/>
          <w:sz w:val="24"/>
        </w:rPr>
        <w:t xml:space="preserve">。</w:t>
      </w:r>
      <w:r>
        <w:rPr>
          <w:color w:val="000000"/>
          <w:sz w:val="24"/>
        </w:rPr>
      </w:r>
      <w:r/>
    </w:p>
    <w:p>
      <w:pPr>
        <w:pStyle w:val="1147"/>
        <w:numPr>
          <w:ilvl w:val="0"/>
          <w:numId w:val="9"/>
        </w:numPr>
        <w:ind w:left="357" w:hanging="357"/>
        <w:spacing w:line="360" w:lineRule="auto"/>
        <w:tabs>
          <w:tab w:val="left" w:pos="900" w:leader="none"/>
          <w:tab w:val="left" w:pos="1080" w:leader="none"/>
          <w:tab w:val="left" w:pos="2014" w:leader="none"/>
        </w:tabs>
        <w:rPr>
          <w:color w:val="000000"/>
          <w:sz w:val="24"/>
        </w:rPr>
        <w:outlineLvl w:val="1"/>
      </w:pPr>
      <w:r>
        <w:rPr>
          <w:color w:val="000000"/>
          <w:sz w:val="24"/>
        </w:rPr>
        <w:t xml:space="preserve">对竞争性磋商文件的澄清或修改</w:t>
      </w:r>
      <w:r>
        <w:rPr>
          <w:color w:val="000000"/>
          <w:sz w:val="24"/>
        </w:rPr>
      </w:r>
      <w:r/>
    </w:p>
    <w:p>
      <w:pPr>
        <w:pStyle w:val="1147"/>
        <w:numPr>
          <w:ilvl w:val="1"/>
          <w:numId w:val="9"/>
        </w:numPr>
        <w:ind w:left="1080" w:hanging="720"/>
        <w:spacing w:line="360" w:lineRule="auto"/>
        <w:tabs>
          <w:tab w:val="left" w:pos="1080" w:leader="none"/>
          <w:tab w:val="left" w:pos="1561" w:leader="none"/>
          <w:tab w:val="left" w:pos="1589" w:leader="none"/>
          <w:tab w:val="left" w:pos="2014" w:leader="none"/>
        </w:tabs>
        <w:rPr>
          <w:color w:val="000000"/>
          <w:sz w:val="24"/>
        </w:rPr>
      </w:pPr>
      <w:r>
        <w:rPr>
          <w:color w:val="000000"/>
          <w:sz w:val="24"/>
        </w:rPr>
        <w:t xml:space="preserve">采购人或采购代理机构对已发出的竞争性磋商文件进行必要澄清或者修改的，将在原公告发布媒体上以</w:t>
      </w:r>
      <w:r>
        <w:rPr>
          <w:rFonts w:hint="eastAsia"/>
          <w:color w:val="000000"/>
          <w:sz w:val="24"/>
        </w:rPr>
        <w:t xml:space="preserve">发布</w:t>
      </w:r>
      <w:r>
        <w:rPr>
          <w:color w:val="000000"/>
          <w:sz w:val="24"/>
        </w:rPr>
        <w:t xml:space="preserve">更正公告</w:t>
      </w:r>
      <w:r>
        <w:rPr>
          <w:rFonts w:hint="eastAsia"/>
          <w:color w:val="000000"/>
          <w:sz w:val="24"/>
        </w:rPr>
        <w:t xml:space="preserve">的</w:t>
      </w:r>
      <w:r>
        <w:rPr>
          <w:color w:val="000000"/>
          <w:sz w:val="24"/>
        </w:rPr>
        <w:t xml:space="preserve">形式通知所有获取</w:t>
      </w:r>
      <w:r>
        <w:rPr>
          <w:rFonts w:hint="eastAsia"/>
          <w:color w:val="000000"/>
          <w:sz w:val="24"/>
        </w:rPr>
        <w:t xml:space="preserve">磋商文件</w:t>
      </w:r>
      <w:r>
        <w:rPr>
          <w:color w:val="000000"/>
          <w:sz w:val="24"/>
        </w:rPr>
        <w:t xml:space="preserve">的</w:t>
      </w:r>
      <w:r>
        <w:rPr>
          <w:rFonts w:hint="eastAsia"/>
          <w:color w:val="000000"/>
          <w:sz w:val="24"/>
        </w:rPr>
        <w:t xml:space="preserve">供应商。</w:t>
      </w:r>
      <w:r>
        <w:rPr>
          <w:color w:val="000000"/>
          <w:sz w:val="24"/>
        </w:rPr>
      </w:r>
      <w:r/>
    </w:p>
    <w:p>
      <w:pPr>
        <w:pStyle w:val="1147"/>
        <w:numPr>
          <w:ilvl w:val="1"/>
          <w:numId w:val="9"/>
        </w:numPr>
        <w:ind w:left="1080" w:hanging="720"/>
        <w:spacing w:line="360" w:lineRule="auto"/>
        <w:tabs>
          <w:tab w:val="left" w:pos="1080" w:leader="none"/>
          <w:tab w:val="left" w:pos="1561" w:leader="none"/>
          <w:tab w:val="left" w:pos="1589" w:leader="none"/>
          <w:tab w:val="left" w:pos="2014" w:leader="none"/>
        </w:tabs>
        <w:rPr>
          <w:color w:val="000000"/>
          <w:sz w:val="24"/>
        </w:rPr>
      </w:pPr>
      <w:r>
        <w:rPr>
          <w:color w:val="000000"/>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sz w:val="24"/>
        </w:rPr>
        <w:t xml:space="preserve">5</w:t>
      </w:r>
      <w:r>
        <w:rPr>
          <w:color w:val="000000"/>
          <w:sz w:val="24"/>
        </w:rPr>
        <w:t xml:space="preserve">日前</w:t>
      </w:r>
      <w:r>
        <w:rPr>
          <w:rFonts w:hint="eastAsia"/>
          <w:color w:val="000000"/>
          <w:sz w:val="24"/>
        </w:rPr>
        <w:t xml:space="preserve">，</w:t>
      </w:r>
      <w:r>
        <w:rPr>
          <w:color w:val="000000"/>
          <w:sz w:val="24"/>
        </w:rPr>
        <w:t xml:space="preserve">以更正公告形式通知所有获取</w:t>
      </w:r>
      <w:r>
        <w:rPr>
          <w:rFonts w:hint="eastAsia"/>
          <w:color w:val="000000"/>
          <w:sz w:val="24"/>
        </w:rPr>
        <w:t xml:space="preserve">磋商</w:t>
      </w:r>
      <w:r>
        <w:rPr>
          <w:color w:val="000000"/>
          <w:sz w:val="24"/>
        </w:rPr>
        <w:t xml:space="preserve">文件的潜在供应商；；不足上述时间的，将顺延提交响应文件的截止时间。</w:t>
      </w:r>
      <w:r>
        <w:rPr>
          <w:color w:val="000000"/>
          <w:sz w:val="24"/>
        </w:rPr>
      </w:r>
      <w:r/>
    </w:p>
    <w:p>
      <w:pPr>
        <w:pStyle w:val="1147"/>
        <w:ind w:left="1080"/>
        <w:spacing w:line="360" w:lineRule="auto"/>
        <w:tabs>
          <w:tab w:val="left" w:pos="1080" w:leader="none"/>
          <w:tab w:val="left" w:pos="1561" w:leader="none"/>
        </w:tabs>
        <w:rPr>
          <w:color w:val="000000"/>
          <w:sz w:val="28"/>
        </w:rPr>
      </w:pPr>
      <w:r/>
      <w:bookmarkStart w:id="180" w:name="_Toc226965716"/>
      <w:r/>
      <w:bookmarkStart w:id="181" w:name="_Toc305158868"/>
      <w:r/>
      <w:bookmarkStart w:id="182" w:name="_Toc226965799"/>
      <w:r/>
      <w:bookmarkStart w:id="183" w:name="_Toc150774731"/>
      <w:r/>
      <w:bookmarkStart w:id="184" w:name="_Toc150480764"/>
      <w:r/>
      <w:bookmarkStart w:id="185" w:name="_Toc151193696"/>
      <w:r/>
      <w:bookmarkStart w:id="186" w:name="_Toc150774626"/>
      <w:r/>
      <w:bookmarkStart w:id="187" w:name="_Toc151190153"/>
      <w:r/>
      <w:bookmarkStart w:id="188" w:name="_Toc265228364"/>
      <w:r/>
      <w:bookmarkStart w:id="189" w:name="_Toc305158794"/>
      <w:r/>
      <w:bookmarkStart w:id="190" w:name="_Toc226337222"/>
      <w:r/>
      <w:bookmarkStart w:id="191" w:name="_Toc142311028"/>
      <w:r/>
      <w:bookmarkStart w:id="192" w:name="_Toc516367020"/>
      <w:r/>
      <w:bookmarkStart w:id="193" w:name="_Toc264969216"/>
      <w:r/>
      <w:bookmarkStart w:id="194" w:name="_Toc151193840"/>
      <w:r/>
      <w:bookmarkStart w:id="195" w:name="_Toc151193624"/>
      <w:r/>
      <w:bookmarkStart w:id="196" w:name="_Toc151193914"/>
      <w:r/>
      <w:bookmarkStart w:id="197" w:name="_Toc151193768"/>
      <w:r/>
      <w:bookmarkStart w:id="198" w:name="_Toc150509277"/>
      <w:r/>
      <w:bookmarkStart w:id="199" w:name="_Toc520356150"/>
      <w:r/>
      <w:bookmarkStart w:id="200" w:name="_Toc127151526"/>
      <w:r/>
      <w:bookmarkStart w:id="201" w:name="_Toc226309770"/>
      <w:r/>
      <w:bookmarkStart w:id="202" w:name="_Toc195842891"/>
      <w:r>
        <w:rPr>
          <w:color w:val="000000"/>
          <w:sz w:val="28"/>
        </w:rPr>
      </w:r>
      <w:r/>
    </w:p>
    <w:p>
      <w:pPr>
        <w:pStyle w:val="1149"/>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三   响应文件</w:t>
      </w:r>
      <w:bookmarkEnd w:id="192"/>
      <w:r>
        <w:rPr>
          <w:rFonts w:ascii="Times New Roman" w:hAnsi="Times New Roman" w:eastAsia="宋体"/>
          <w:color w:val="000000"/>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ascii="Times New Roman" w:hAnsi="Times New Roman" w:eastAsia="宋体"/>
          <w:color w:val="000000"/>
          <w:sz w:val="28"/>
        </w:rPr>
      </w:r>
      <w:r/>
    </w:p>
    <w:p>
      <w:pPr>
        <w:pStyle w:val="1147"/>
        <w:numPr>
          <w:ilvl w:val="0"/>
          <w:numId w:val="9"/>
        </w:numPr>
        <w:ind w:left="357" w:hanging="357"/>
        <w:spacing w:line="360" w:lineRule="auto"/>
        <w:tabs>
          <w:tab w:val="left" w:pos="360" w:leader="none"/>
          <w:tab w:val="left" w:pos="900" w:leader="none"/>
        </w:tabs>
        <w:rPr>
          <w:color w:val="000000"/>
          <w:sz w:val="24"/>
        </w:rPr>
        <w:outlineLvl w:val="1"/>
      </w:pPr>
      <w:r/>
      <w:bookmarkStart w:id="203" w:name="_Toc150774732"/>
      <w:r/>
      <w:bookmarkStart w:id="204" w:name="_Toc142311029"/>
      <w:r/>
      <w:bookmarkStart w:id="205" w:name="_Toc127161441"/>
      <w:r/>
      <w:bookmarkStart w:id="206" w:name="_Toc305158869"/>
      <w:r/>
      <w:bookmarkStart w:id="207" w:name="_Toc150509278"/>
      <w:r/>
      <w:bookmarkStart w:id="208" w:name="_Toc516367021"/>
      <w:r/>
      <w:bookmarkStart w:id="209" w:name="_Toc226965717"/>
      <w:r/>
      <w:bookmarkStart w:id="210" w:name="_Toc151193697"/>
      <w:r/>
      <w:bookmarkStart w:id="211" w:name="_Toc127151527"/>
      <w:r/>
      <w:bookmarkStart w:id="212" w:name="_Toc195842892"/>
      <w:r/>
      <w:bookmarkStart w:id="213" w:name="_Toc164608641"/>
      <w:r/>
      <w:bookmarkStart w:id="214" w:name="_Toc150480765"/>
      <w:r/>
      <w:bookmarkStart w:id="215" w:name="_Toc164351621"/>
      <w:r/>
      <w:bookmarkStart w:id="216" w:name="_Toc226337223"/>
      <w:r/>
      <w:bookmarkStart w:id="217" w:name="_Toc520356151"/>
      <w:r/>
      <w:bookmarkStart w:id="218" w:name="_Toc149720820"/>
      <w:r/>
      <w:bookmarkStart w:id="219" w:name="_Toc150774627"/>
      <w:r/>
      <w:bookmarkStart w:id="220" w:name="_Toc127151728"/>
      <w:r/>
      <w:bookmarkStart w:id="221" w:name="_Toc305158795"/>
      <w:r/>
      <w:bookmarkStart w:id="222" w:name="_Toc264969217"/>
      <w:r/>
      <w:bookmarkStart w:id="223" w:name="_Toc151190154"/>
      <w:r/>
      <w:bookmarkStart w:id="224" w:name="_Toc151193915"/>
      <w:r/>
      <w:bookmarkStart w:id="225" w:name="_Toc226965800"/>
      <w:r/>
      <w:bookmarkStart w:id="226" w:name="_Toc151193625"/>
      <w:r/>
      <w:bookmarkStart w:id="227" w:name="_Toc265228365"/>
      <w:r/>
      <w:bookmarkStart w:id="228" w:name="_Toc164608796"/>
      <w:r/>
      <w:bookmarkStart w:id="229" w:name="_Toc226309771"/>
      <w:r/>
      <w:bookmarkStart w:id="230" w:name="_Toc151193841"/>
      <w:r/>
      <w:bookmarkStart w:id="231" w:name="_Toc164229368"/>
      <w:r/>
      <w:bookmarkStart w:id="232" w:name="_Toc164229222"/>
      <w:r/>
      <w:bookmarkStart w:id="233" w:name="_Toc151193769"/>
      <w:r>
        <w:rPr>
          <w:color w:val="000000"/>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color w:val="000000"/>
          <w:sz w:val="24"/>
        </w:rPr>
        <w:t xml:space="preserve">及磋商语言</w:t>
      </w:r>
      <w:r>
        <w:rPr>
          <w:color w:val="000000"/>
          <w:sz w:val="24"/>
        </w:rPr>
      </w:r>
      <w:r/>
    </w:p>
    <w:p>
      <w:pPr>
        <w:pStyle w:val="1147"/>
        <w:numPr>
          <w:ilvl w:val="1"/>
          <w:numId w:val="9"/>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sz w:val="24"/>
        </w:rPr>
        <w:t xml:space="preserve">响应无效</w:t>
      </w:r>
      <w:r>
        <w:rPr>
          <w:color w:val="000000"/>
          <w:sz w:val="24"/>
        </w:rPr>
        <w:t xml:space="preserve">。</w:t>
      </w:r>
      <w:r>
        <w:rPr>
          <w:color w:val="000000"/>
          <w:sz w:val="24"/>
        </w:rPr>
      </w:r>
      <w:r/>
    </w:p>
    <w:p>
      <w:pPr>
        <w:pStyle w:val="1147"/>
        <w:numPr>
          <w:ilvl w:val="1"/>
          <w:numId w:val="9"/>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除竞争性磋商文件有特殊要求外，本项目磋商所使用的计量单位，应采用中华人民共和国法定计量单位。</w:t>
      </w:r>
      <w:r>
        <w:rPr>
          <w:color w:val="000000"/>
          <w:sz w:val="24"/>
        </w:rPr>
      </w:r>
      <w:r/>
    </w:p>
    <w:p>
      <w:pPr>
        <w:pStyle w:val="1147"/>
        <w:numPr>
          <w:ilvl w:val="1"/>
          <w:numId w:val="9"/>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sz w:val="24"/>
        </w:rPr>
      </w:r>
      <w:r/>
    </w:p>
    <w:p>
      <w:pPr>
        <w:pStyle w:val="1147"/>
        <w:numPr>
          <w:ilvl w:val="0"/>
          <w:numId w:val="9"/>
        </w:numPr>
        <w:ind w:left="357" w:hanging="357"/>
        <w:spacing w:line="360" w:lineRule="auto"/>
        <w:tabs>
          <w:tab w:val="left" w:pos="360" w:leader="none"/>
          <w:tab w:val="left" w:pos="900" w:leader="none"/>
        </w:tabs>
        <w:rPr>
          <w:color w:val="000000"/>
          <w:sz w:val="24"/>
        </w:rPr>
        <w:outlineLvl w:val="1"/>
      </w:pPr>
      <w:r/>
      <w:bookmarkStart w:id="234" w:name="_Toc127151528"/>
      <w:r/>
      <w:bookmarkStart w:id="235" w:name="_Toc151190155"/>
      <w:r/>
      <w:bookmarkStart w:id="236" w:name="_Toc149720821"/>
      <w:r/>
      <w:bookmarkStart w:id="237" w:name="_Toc226965718"/>
      <w:r/>
      <w:bookmarkStart w:id="238" w:name="_Toc164229369"/>
      <w:r/>
      <w:bookmarkStart w:id="239" w:name="_Toc305158870"/>
      <w:r/>
      <w:bookmarkStart w:id="240" w:name="_Toc151193770"/>
      <w:r/>
      <w:bookmarkStart w:id="241" w:name="_Toc151193626"/>
      <w:r/>
      <w:bookmarkStart w:id="242" w:name="_Toc150774628"/>
      <w:r/>
      <w:bookmarkStart w:id="243" w:name="_Toc520356152"/>
      <w:r/>
      <w:bookmarkStart w:id="244" w:name="_Toc195842893"/>
      <w:r/>
      <w:bookmarkStart w:id="245" w:name="_Toc164229223"/>
      <w:r/>
      <w:bookmarkStart w:id="246" w:name="_Toc305158796"/>
      <w:r/>
      <w:bookmarkStart w:id="247" w:name="_Ref467306195"/>
      <w:r/>
      <w:bookmarkStart w:id="248" w:name="_Ref467306676"/>
      <w:r/>
      <w:bookmarkStart w:id="249" w:name="_Toc226965801"/>
      <w:r/>
      <w:bookmarkStart w:id="250" w:name="_Toc516367022"/>
      <w:r/>
      <w:bookmarkStart w:id="251" w:name="_Toc151193698"/>
      <w:r/>
      <w:bookmarkStart w:id="252" w:name="_Toc150509279"/>
      <w:r/>
      <w:bookmarkStart w:id="253" w:name="_Toc127161442"/>
      <w:r/>
      <w:bookmarkStart w:id="254" w:name="_Toc226337224"/>
      <w:r/>
      <w:bookmarkStart w:id="255" w:name="_Toc151193916"/>
      <w:r/>
      <w:bookmarkStart w:id="256" w:name="_Toc151193842"/>
      <w:r/>
      <w:bookmarkStart w:id="257" w:name="_Toc127151729"/>
      <w:r/>
      <w:bookmarkStart w:id="258" w:name="_Toc265228366"/>
      <w:r/>
      <w:bookmarkStart w:id="259" w:name="_Toc164608797"/>
      <w:r/>
      <w:bookmarkStart w:id="260" w:name="_Toc164351622"/>
      <w:r/>
      <w:bookmarkStart w:id="261" w:name="_Toc164608642"/>
      <w:r/>
      <w:bookmarkStart w:id="262" w:name="_Toc150480766"/>
      <w:r/>
      <w:bookmarkStart w:id="263" w:name="_Toc142311030"/>
      <w:r/>
      <w:bookmarkStart w:id="264" w:name="_Toc226309772"/>
      <w:r/>
      <w:bookmarkStart w:id="265" w:name="_Toc150774733"/>
      <w:r/>
      <w:bookmarkStart w:id="266" w:name="_Toc264969218"/>
      <w:r>
        <w:rPr>
          <w:color w:val="000000"/>
          <w:sz w:val="24"/>
        </w:rPr>
        <w:t xml:space="preserve">响应文件</w:t>
      </w:r>
      <w:bookmarkEnd w:id="247"/>
      <w:r/>
      <w:bookmarkEnd w:id="248"/>
      <w:r/>
      <w:bookmarkEnd w:id="250"/>
      <w:r>
        <w:rPr>
          <w:color w:val="000000"/>
          <w:sz w:val="24"/>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9"/>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color w:val="000000"/>
          <w:sz w:val="24"/>
        </w:rPr>
      </w:pPr>
      <w:r/>
      <w:bookmarkStart w:id="267" w:name="_Ref467052588"/>
      <w:r>
        <w:rPr>
          <w:color w:val="000000"/>
          <w:sz w:val="24"/>
        </w:rPr>
        <w:t xml:space="preserve">供应商应当按照竞争性磋商文件的要求编制响应文件，</w:t>
      </w:r>
      <w:r>
        <w:rPr>
          <w:color w:val="000000"/>
          <w:sz w:val="24"/>
        </w:rPr>
        <w:t xml:space="preserve">并对其提交的响应文件的真实性、合法性承担法律责任</w:t>
      </w:r>
      <w:r>
        <w:rPr>
          <w:color w:val="000000"/>
          <w:sz w:val="24"/>
        </w:rPr>
        <w:t xml:space="preserve">。响应文件的部分格式要求，见第六章《响应文件格式》。</w:t>
      </w:r>
      <w:r>
        <w:rPr>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对于竞争性磋商文件中标记了“实质性格式”文件的，</w:t>
      </w:r>
      <w:r>
        <w:rPr>
          <w:color w:val="000000"/>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color w:val="000000"/>
          <w:sz w:val="24"/>
        </w:rPr>
        <w:t xml:space="preserve">否则响应无效</w:t>
      </w:r>
      <w:r>
        <w:rPr>
          <w:color w:val="000000"/>
          <w:sz w:val="24"/>
        </w:rPr>
        <w:t xml:space="preserve">。未标记“实质性格式”的文件和竞争性磋商文件未提供格式的内容，可由供应商自行编写。</w:t>
      </w:r>
      <w:r>
        <w:rPr>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第三章《评审方法和评审标准》中涉及的证明文件。</w:t>
      </w:r>
      <w:r>
        <w:rPr>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供应商认为应附的其他材料。</w:t>
      </w:r>
      <w:bookmarkEnd w:id="267"/>
      <w:r>
        <w:rPr>
          <w:color w:val="000000"/>
          <w:sz w:val="24"/>
        </w:rPr>
      </w:r>
      <w:r/>
    </w:p>
    <w:p>
      <w:pPr>
        <w:pStyle w:val="1147"/>
        <w:numPr>
          <w:ilvl w:val="0"/>
          <w:numId w:val="9"/>
        </w:numPr>
        <w:ind w:left="357" w:hanging="357"/>
        <w:spacing w:line="360" w:lineRule="auto"/>
        <w:tabs>
          <w:tab w:val="left" w:pos="360" w:leader="none"/>
          <w:tab w:val="left" w:pos="900" w:leader="none"/>
        </w:tabs>
        <w:rPr>
          <w:color w:val="000000"/>
          <w:sz w:val="24"/>
        </w:rPr>
        <w:outlineLvl w:val="1"/>
      </w:pPr>
      <w:r/>
      <w:bookmarkStart w:id="268" w:name="_Toc149720823"/>
      <w:r/>
      <w:bookmarkStart w:id="269" w:name="_Toc150480768"/>
      <w:r/>
      <w:bookmarkStart w:id="270" w:name="_Toc151193918"/>
      <w:r/>
      <w:bookmarkStart w:id="271" w:name="_Toc151193772"/>
      <w:r/>
      <w:bookmarkStart w:id="272" w:name="_Toc127161444"/>
      <w:r/>
      <w:bookmarkStart w:id="273" w:name="_Toc151193628"/>
      <w:r/>
      <w:bookmarkStart w:id="274" w:name="_Toc151193700"/>
      <w:r/>
      <w:bookmarkStart w:id="275" w:name="_Toc164229371"/>
      <w:r/>
      <w:bookmarkStart w:id="276" w:name="_Toc164229225"/>
      <w:r/>
      <w:bookmarkStart w:id="277" w:name="_Toc127151530"/>
      <w:r/>
      <w:bookmarkStart w:id="278" w:name="_Toc127151731"/>
      <w:r/>
      <w:bookmarkStart w:id="279" w:name="_Toc150509281"/>
      <w:r/>
      <w:bookmarkStart w:id="280" w:name="_Toc520356155"/>
      <w:r/>
      <w:bookmarkStart w:id="281" w:name="_Toc150774630"/>
      <w:r/>
      <w:bookmarkStart w:id="282" w:name="_Toc164608644"/>
      <w:r/>
      <w:bookmarkStart w:id="283" w:name="_Toc151193844"/>
      <w:r/>
      <w:bookmarkStart w:id="284" w:name="_Toc150774735"/>
      <w:r/>
      <w:bookmarkStart w:id="285" w:name="_Toc164608799"/>
      <w:r/>
      <w:bookmarkStart w:id="286" w:name="_Toc164351624"/>
      <w:r/>
      <w:bookmarkStart w:id="287" w:name="_Toc142311032"/>
      <w:r/>
      <w:bookmarkStart w:id="288" w:name="_Toc151190157"/>
      <w:r/>
      <w:bookmarkStart w:id="289" w:name="_Toc195842895"/>
      <w:r>
        <w:rPr>
          <w:color w:val="000000"/>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所有响应均以人民币报价。</w:t>
      </w:r>
      <w:r>
        <w:rPr>
          <w:color w:val="000000"/>
          <w:sz w:val="24"/>
        </w:rPr>
      </w:r>
      <w:r/>
    </w:p>
    <w:p>
      <w:pPr>
        <w:pStyle w:val="1147"/>
        <w:numPr>
          <w:ilvl w:val="1"/>
          <w:numId w:val="9"/>
        </w:numPr>
        <w:spacing w:line="360" w:lineRule="auto"/>
        <w:tabs>
          <w:tab w:val="left" w:pos="1080" w:leader="none"/>
          <w:tab w:val="left" w:pos="1589" w:leader="none"/>
        </w:tabs>
        <w:rPr>
          <w:color w:val="000000"/>
          <w:sz w:val="24"/>
        </w:rPr>
      </w:pPr>
      <w:r>
        <w:rPr>
          <w:color w:val="000000"/>
          <w:sz w:val="24"/>
        </w:rPr>
        <w:t xml:space="preserve">供应商的报价应包括为完成本项目所发生的一切费用和税费，采购人将不再支付报价以外的任何费用。</w:t>
      </w:r>
      <w:r>
        <w:rPr>
          <w:rFonts w:hint="eastAsia"/>
          <w:color w:val="000000"/>
          <w:sz w:val="24"/>
        </w:rPr>
        <w:t xml:space="preserve">供应商的报价应包括但不限于下列内容，《供应商须知资料表》中有特殊规定的，从其规定。</w:t>
      </w:r>
      <w:r>
        <w:rPr>
          <w:color w:val="000000"/>
          <w:sz w:val="24"/>
        </w:rPr>
      </w:r>
      <w:r/>
    </w:p>
    <w:p>
      <w:pPr>
        <w:pStyle w:val="1147"/>
        <w:numPr>
          <w:ilvl w:val="2"/>
          <w:numId w:val="9"/>
        </w:numPr>
        <w:spacing w:line="360" w:lineRule="auto"/>
        <w:tabs>
          <w:tab w:val="left" w:pos="1980" w:leader="none"/>
        </w:tabs>
        <w:rPr>
          <w:color w:val="000000"/>
          <w:sz w:val="24"/>
        </w:rPr>
      </w:pPr>
      <w:r>
        <w:rPr>
          <w:color w:val="000000"/>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color w:val="000000"/>
          <w:sz w:val="24"/>
        </w:rPr>
      </w:r>
      <w:r/>
    </w:p>
    <w:p>
      <w:pPr>
        <w:pStyle w:val="1147"/>
        <w:numPr>
          <w:ilvl w:val="2"/>
          <w:numId w:val="9"/>
        </w:numPr>
        <w:spacing w:line="360" w:lineRule="auto"/>
        <w:tabs>
          <w:tab w:val="left" w:pos="1980" w:leader="none"/>
        </w:tabs>
        <w:rPr>
          <w:color w:val="000000"/>
          <w:sz w:val="24"/>
        </w:rPr>
      </w:pPr>
      <w:r>
        <w:rPr>
          <w:color w:val="000000"/>
          <w:sz w:val="24"/>
        </w:rPr>
        <w:t xml:space="preserve">按照竞争性磋商文件要求完成本项</w:t>
      </w:r>
      <w:r>
        <w:rPr>
          <w:rFonts w:hint="eastAsia"/>
          <w:color w:val="000000"/>
          <w:sz w:val="24"/>
        </w:rPr>
        <w:t xml:space="preserve">目的全部相关工程或服务费用。</w:t>
      </w:r>
      <w:r>
        <w:rPr>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采购人不得向供应商索要或者接受其给予的赠品、回扣或者与采购无关的其他商品、服务。</w:t>
      </w:r>
      <w:r>
        <w:rPr>
          <w:color w:val="000000"/>
          <w:sz w:val="24"/>
        </w:rPr>
      </w:r>
      <w:r/>
    </w:p>
    <w:p>
      <w:pPr>
        <w:pStyle w:val="1147"/>
        <w:numPr>
          <w:ilvl w:val="1"/>
          <w:numId w:val="9"/>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供应商不能提供任何有选择性或可调整的最终报价（</w:t>
      </w:r>
      <w:r>
        <w:rPr>
          <w:color w:val="000000"/>
          <w:sz w:val="24"/>
        </w:rPr>
        <w:t xml:space="preserve">竞争性磋商文件</w:t>
      </w:r>
      <w:r>
        <w:rPr>
          <w:color w:val="000000"/>
          <w:sz w:val="24"/>
        </w:rPr>
        <w:t xml:space="preserve">另有规定的除外），否则其</w:t>
      </w:r>
      <w:r>
        <w:rPr>
          <w:b/>
          <w:color w:val="000000"/>
          <w:sz w:val="24"/>
        </w:rPr>
        <w:t xml:space="preserve">响应无效</w:t>
      </w:r>
      <w:r>
        <w:rPr>
          <w:color w:val="000000"/>
          <w:sz w:val="24"/>
        </w:rPr>
        <w:t xml:space="preserve">。</w:t>
      </w:r>
      <w:r>
        <w:rPr>
          <w:color w:val="000000"/>
          <w:sz w:val="24"/>
        </w:rPr>
      </w:r>
      <w:r/>
    </w:p>
    <w:p>
      <w:pPr>
        <w:pStyle w:val="1147"/>
        <w:numPr>
          <w:ilvl w:val="0"/>
          <w:numId w:val="9"/>
        </w:numPr>
        <w:ind w:left="357" w:hanging="357"/>
        <w:spacing w:line="360" w:lineRule="auto"/>
        <w:tabs>
          <w:tab w:val="left" w:pos="360" w:leader="none"/>
          <w:tab w:val="left" w:pos="900" w:leader="none"/>
        </w:tabs>
        <w:rPr>
          <w:color w:val="000000"/>
          <w:sz w:val="24"/>
        </w:rPr>
        <w:outlineLvl w:val="1"/>
      </w:pPr>
      <w:r>
        <w:rPr>
          <w:color w:val="000000"/>
          <w:sz w:val="24"/>
        </w:rPr>
        <w:t xml:space="preserve">磋商保证金</w:t>
      </w:r>
      <w:r>
        <w:rPr>
          <w:color w:val="000000"/>
          <w:sz w:val="24"/>
        </w:rPr>
      </w:r>
      <w:r/>
    </w:p>
    <w:p>
      <w:pPr>
        <w:pStyle w:val="1147"/>
        <w:ind w:firstLine="360"/>
        <w:spacing w:line="360" w:lineRule="auto"/>
        <w:tabs>
          <w:tab w:val="left" w:pos="360" w:leader="none"/>
        </w:tabs>
        <w:rPr>
          <w:color w:val="000000"/>
          <w:sz w:val="24"/>
        </w:rPr>
        <w:outlineLvl w:val="1"/>
      </w:pPr>
      <w:r>
        <w:rPr>
          <w:rFonts w:hint="eastAsia"/>
          <w:color w:val="000000"/>
          <w:sz w:val="24"/>
        </w:rPr>
        <w:t xml:space="preserve">根据江苏省和常州市的相关文件规定，免收保证金。</w:t>
      </w:r>
      <w:r>
        <w:rPr>
          <w:color w:val="000000"/>
          <w:sz w:val="24"/>
        </w:rPr>
      </w:r>
      <w:r/>
    </w:p>
    <w:p>
      <w:pPr>
        <w:pStyle w:val="1147"/>
        <w:numPr>
          <w:ilvl w:val="0"/>
          <w:numId w:val="9"/>
        </w:numPr>
        <w:ind w:left="357" w:hanging="357"/>
        <w:spacing w:line="360" w:lineRule="auto"/>
        <w:tabs>
          <w:tab w:val="left" w:pos="360" w:leader="none"/>
          <w:tab w:val="left" w:pos="900" w:leader="none"/>
        </w:tabs>
        <w:rPr>
          <w:color w:val="000000"/>
          <w:sz w:val="24"/>
        </w:rPr>
        <w:outlineLvl w:val="1"/>
      </w:pPr>
      <w:r>
        <w:rPr>
          <w:color w:val="000000"/>
          <w:sz w:val="24"/>
        </w:rPr>
        <w:t xml:space="preserve">响应有效期</w:t>
      </w:r>
      <w:r>
        <w:rPr>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响应文件应在本竞争性磋商文件《供应商须知资料表》中规定的响应有效期内保持有效，响应有效期少于竞争性磋商文件规定期限的，其</w:t>
      </w:r>
      <w:r>
        <w:rPr>
          <w:b/>
          <w:color w:val="000000"/>
          <w:sz w:val="24"/>
        </w:rPr>
        <w:t xml:space="preserve">响应无效</w:t>
      </w:r>
      <w:r>
        <w:rPr>
          <w:color w:val="000000"/>
          <w:sz w:val="24"/>
        </w:rPr>
        <w:t xml:space="preserve">。</w:t>
      </w:r>
      <w:r>
        <w:rPr>
          <w:color w:val="000000"/>
          <w:sz w:val="24"/>
        </w:rPr>
      </w:r>
      <w:r/>
    </w:p>
    <w:p>
      <w:pPr>
        <w:pStyle w:val="1147"/>
        <w:numPr>
          <w:ilvl w:val="0"/>
          <w:numId w:val="9"/>
        </w:numPr>
        <w:ind w:left="357" w:hanging="357"/>
        <w:spacing w:line="360" w:lineRule="auto"/>
        <w:tabs>
          <w:tab w:val="left" w:pos="360" w:leader="none"/>
          <w:tab w:val="left" w:pos="900" w:leader="none"/>
        </w:tabs>
        <w:rPr>
          <w:color w:val="000000"/>
          <w:sz w:val="24"/>
        </w:rPr>
        <w:outlineLvl w:val="1"/>
      </w:pPr>
      <w:r/>
      <w:bookmarkStart w:id="290" w:name="_Toc151193775"/>
      <w:r/>
      <w:bookmarkStart w:id="291" w:name="_Toc127161447"/>
      <w:r/>
      <w:bookmarkStart w:id="292" w:name="_Toc164608647"/>
      <w:r/>
      <w:bookmarkStart w:id="293" w:name="_Toc150774633"/>
      <w:r/>
      <w:bookmarkStart w:id="294" w:name="_Toc149720826"/>
      <w:r/>
      <w:bookmarkStart w:id="295" w:name="_Toc195842898"/>
      <w:r/>
      <w:bookmarkStart w:id="296" w:name="_Toc265228371"/>
      <w:r/>
      <w:bookmarkStart w:id="297" w:name="_Toc151190160"/>
      <w:r/>
      <w:bookmarkStart w:id="298" w:name="_Toc127151734"/>
      <w:r/>
      <w:bookmarkStart w:id="299" w:name="_Toc164229374"/>
      <w:r/>
      <w:bookmarkStart w:id="300" w:name="_Toc164229228"/>
      <w:r/>
      <w:bookmarkStart w:id="301" w:name="_Toc305158875"/>
      <w:r/>
      <w:bookmarkStart w:id="302" w:name="_Toc520356158"/>
      <w:r/>
      <w:bookmarkStart w:id="303" w:name="_Toc226965723"/>
      <w:r/>
      <w:bookmarkStart w:id="304" w:name="_Toc150480771"/>
      <w:r/>
      <w:bookmarkStart w:id="305" w:name="_Toc226965806"/>
      <w:r/>
      <w:bookmarkStart w:id="306" w:name="_Toc226337229"/>
      <w:r/>
      <w:bookmarkStart w:id="307" w:name="_Toc264969223"/>
      <w:r/>
      <w:bookmarkStart w:id="308" w:name="_Toc164608802"/>
      <w:r/>
      <w:bookmarkStart w:id="309" w:name="_Toc150774738"/>
      <w:r/>
      <w:bookmarkStart w:id="310" w:name="_Toc142311035"/>
      <w:r/>
      <w:bookmarkStart w:id="311" w:name="_Toc151193921"/>
      <w:r/>
      <w:bookmarkStart w:id="312" w:name="_Toc226309777"/>
      <w:r/>
      <w:bookmarkStart w:id="313" w:name="_Toc305158801"/>
      <w:r/>
      <w:bookmarkStart w:id="314" w:name="_Toc151193631"/>
      <w:r/>
      <w:bookmarkStart w:id="315" w:name="_Toc150509284"/>
      <w:r/>
      <w:bookmarkStart w:id="316" w:name="_Toc151193703"/>
      <w:r/>
      <w:bookmarkStart w:id="317" w:name="_Toc127151533"/>
      <w:r/>
      <w:bookmarkStart w:id="318" w:name="_Toc164351627"/>
      <w:r/>
      <w:bookmarkStart w:id="319" w:name="_Toc151193847"/>
      <w:r>
        <w:rPr>
          <w:color w:val="000000"/>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color w:val="000000"/>
          <w:sz w:val="24"/>
        </w:rPr>
        <w:t xml:space="preserve">、盖章</w:t>
      </w:r>
      <w:r>
        <w:rPr>
          <w:color w:val="000000"/>
          <w:sz w:val="24"/>
        </w:rPr>
      </w:r>
      <w:r/>
    </w:p>
    <w:p>
      <w:pPr>
        <w:pStyle w:val="1147"/>
        <w:numPr>
          <w:ilvl w:val="1"/>
          <w:numId w:val="9"/>
        </w:numPr>
        <w:spacing w:line="360" w:lineRule="auto"/>
        <w:tabs>
          <w:tab w:val="left" w:pos="1080" w:leader="none"/>
          <w:tab w:val="left" w:pos="1589" w:leader="none"/>
        </w:tabs>
        <w:rPr>
          <w:color w:val="000000"/>
          <w:sz w:val="24"/>
        </w:rPr>
      </w:pPr>
      <w:r/>
      <w:bookmarkStart w:id="320" w:name="_Toc226965807"/>
      <w:r/>
      <w:bookmarkStart w:id="321" w:name="_Toc226965724"/>
      <w:r/>
      <w:bookmarkStart w:id="322" w:name="_Toc151193704"/>
      <w:r/>
      <w:bookmarkStart w:id="323" w:name="_Toc151190161"/>
      <w:r/>
      <w:bookmarkStart w:id="324" w:name="_Toc151193848"/>
      <w:r/>
      <w:bookmarkStart w:id="325" w:name="_Toc151193776"/>
      <w:r/>
      <w:bookmarkStart w:id="326" w:name="_Toc150509285"/>
      <w:r/>
      <w:bookmarkStart w:id="327" w:name="_Toc127151534"/>
      <w:r/>
      <w:bookmarkStart w:id="328" w:name="_Toc195842899"/>
      <w:r/>
      <w:bookmarkStart w:id="329" w:name="_Toc520356159"/>
      <w:r/>
      <w:bookmarkStart w:id="330" w:name="_Toc226309778"/>
      <w:r/>
      <w:bookmarkStart w:id="331" w:name="_Toc150774739"/>
      <w:r/>
      <w:bookmarkStart w:id="332" w:name="_Toc151193632"/>
      <w:r/>
      <w:bookmarkStart w:id="333" w:name="_Toc265228372"/>
      <w:r/>
      <w:bookmarkStart w:id="334" w:name="_Toc264969224"/>
      <w:r/>
      <w:bookmarkStart w:id="335" w:name="_Toc151193922"/>
      <w:r/>
      <w:bookmarkStart w:id="336" w:name="_Toc150774634"/>
      <w:r/>
      <w:bookmarkStart w:id="337" w:name="_Toc150480772"/>
      <w:r/>
      <w:bookmarkStart w:id="338" w:name="_Toc305158802"/>
      <w:r/>
      <w:bookmarkStart w:id="339" w:name="_Toc305158876"/>
      <w:r/>
      <w:bookmarkStart w:id="340" w:name="_Toc142311036"/>
      <w:r/>
      <w:bookmarkStart w:id="341" w:name="_Toc226337230"/>
      <w:r>
        <w:rPr>
          <w:color w:val="000000"/>
          <w:sz w:val="24"/>
        </w:rPr>
        <w:t xml:space="preserve">竞争性磋商文件要求签字的内容（如授权委托书等），</w:t>
      </w:r>
      <w:r>
        <w:rPr>
          <w:rFonts w:hint="eastAsia"/>
          <w:color w:val="000000"/>
          <w:sz w:val="24"/>
        </w:rPr>
        <w:t xml:space="preserve">可以使用电子签章或使用原件的电子件（电子件指扫描件、照片等形式电子文件）；要求</w:t>
      </w:r>
      <w:r>
        <w:rPr>
          <w:color w:val="000000"/>
          <w:sz w:val="24"/>
        </w:rPr>
        <w:t xml:space="preserve">第三方出具的盖章件原件（如联合协议、分包意向协议、制造商授权书原件等），响应文件中应使用原件的电子件。</w:t>
      </w:r>
      <w:r>
        <w:rPr>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竞争性磋商文件要求盖章的内容，</w:t>
      </w:r>
      <w:r>
        <w:rPr>
          <w:rFonts w:hint="eastAsia"/>
          <w:color w:val="000000"/>
          <w:sz w:val="24"/>
        </w:rPr>
        <w:t xml:space="preserve">一般</w:t>
      </w:r>
      <w:r>
        <w:rPr>
          <w:color w:val="000000"/>
          <w:sz w:val="24"/>
        </w:rPr>
        <w:t xml:space="preserve">通过投标文件编制工具加盖电子签章。</w:t>
      </w:r>
      <w:r>
        <w:rPr>
          <w:color w:val="000000"/>
          <w:sz w:val="24"/>
        </w:rPr>
      </w:r>
      <w:r/>
    </w:p>
    <w:p>
      <w:pPr>
        <w:pStyle w:val="1147"/>
        <w:ind w:left="357"/>
        <w:spacing w:line="360" w:lineRule="auto"/>
        <w:tabs>
          <w:tab w:val="left" w:pos="900" w:leader="none"/>
          <w:tab w:val="left" w:pos="1080" w:leader="none"/>
        </w:tabs>
        <w:rPr>
          <w:color w:val="000000"/>
        </w:rPr>
      </w:pPr>
      <w:r>
        <w:rPr>
          <w:color w:val="000000"/>
        </w:rPr>
      </w:r>
      <w:r/>
    </w:p>
    <w:p>
      <w:pPr>
        <w:pStyle w:val="1149"/>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ascii="Times New Roman" w:hAnsi="Times New Roman" w:eastAsia="宋体"/>
          <w:color w:val="000000"/>
          <w:sz w:val="28"/>
        </w:rPr>
      </w:r>
      <w:r/>
    </w:p>
    <w:p>
      <w:pPr>
        <w:pStyle w:val="1147"/>
        <w:numPr>
          <w:ilvl w:val="0"/>
          <w:numId w:val="9"/>
        </w:numPr>
        <w:ind w:left="357" w:hanging="357"/>
        <w:spacing w:line="360" w:lineRule="auto"/>
        <w:tabs>
          <w:tab w:val="left" w:pos="360" w:leader="none"/>
          <w:tab w:val="left" w:pos="900" w:leader="none"/>
        </w:tabs>
        <w:rPr>
          <w:color w:val="000000"/>
          <w:sz w:val="24"/>
        </w:rPr>
        <w:outlineLvl w:val="1"/>
      </w:pPr>
      <w:r/>
      <w:bookmarkStart w:id="342" w:name="_Toc520356160"/>
      <w:r/>
      <w:bookmarkStart w:id="343" w:name="_Toc151190162"/>
      <w:r/>
      <w:bookmarkStart w:id="344" w:name="_Toc142311037"/>
      <w:r/>
      <w:bookmarkStart w:id="345" w:name="_Toc150480773"/>
      <w:r/>
      <w:bookmarkStart w:id="346" w:name="_Toc226965808"/>
      <w:r/>
      <w:bookmarkStart w:id="347" w:name="_Toc149720828"/>
      <w:r/>
      <w:bookmarkStart w:id="348" w:name="_Toc264969225"/>
      <w:r/>
      <w:bookmarkStart w:id="349" w:name="_Toc226309779"/>
      <w:r/>
      <w:bookmarkStart w:id="350" w:name="_Toc151193777"/>
      <w:r/>
      <w:bookmarkStart w:id="351" w:name="_Toc305158877"/>
      <w:r/>
      <w:bookmarkStart w:id="352" w:name="_Toc127151535"/>
      <w:r/>
      <w:bookmarkStart w:id="353" w:name="_Toc150774635"/>
      <w:r/>
      <w:bookmarkStart w:id="354" w:name="_Toc226965725"/>
      <w:r/>
      <w:bookmarkStart w:id="355" w:name="_Toc164608804"/>
      <w:r/>
      <w:bookmarkStart w:id="356" w:name="_Toc164351629"/>
      <w:r/>
      <w:bookmarkStart w:id="357" w:name="_Toc164229376"/>
      <w:r/>
      <w:bookmarkStart w:id="358" w:name="_Toc265228373"/>
      <w:r/>
      <w:bookmarkStart w:id="359" w:name="_Toc305158803"/>
      <w:r/>
      <w:bookmarkStart w:id="360" w:name="_Toc127161449"/>
      <w:r/>
      <w:bookmarkStart w:id="361" w:name="_Toc151193923"/>
      <w:r/>
      <w:bookmarkStart w:id="362" w:name="_Toc164608649"/>
      <w:r/>
      <w:bookmarkStart w:id="363" w:name="_Toc150509286"/>
      <w:r/>
      <w:bookmarkStart w:id="364" w:name="_Toc195842900"/>
      <w:r/>
      <w:bookmarkStart w:id="365" w:name="_Toc151193849"/>
      <w:r/>
      <w:bookmarkStart w:id="366" w:name="_Toc226337231"/>
      <w:r/>
      <w:bookmarkStart w:id="367" w:name="_Toc150774740"/>
      <w:r/>
      <w:bookmarkStart w:id="368" w:name="_Toc151193633"/>
      <w:r/>
      <w:bookmarkStart w:id="369" w:name="_Toc164229230"/>
      <w:r/>
      <w:bookmarkStart w:id="370" w:name="_Toc151193705"/>
      <w:r/>
      <w:bookmarkStart w:id="371" w:name="_Toc127151736"/>
      <w:r>
        <w:rPr>
          <w:color w:val="000000"/>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color w:val="000000"/>
          <w:sz w:val="24"/>
        </w:rPr>
        <w:t xml:space="preserve">提交</w:t>
      </w:r>
      <w:r>
        <w:rPr>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本项目使用</w:t>
      </w:r>
      <w:r>
        <w:rPr>
          <w:rFonts w:hint="eastAsia"/>
          <w:color w:val="000000"/>
          <w:sz w:val="24"/>
        </w:rPr>
        <w:t xml:space="preserve">“苏采云”政府采购一体化平台</w:t>
      </w:r>
      <w:r>
        <w:rPr>
          <w:color w:val="000000"/>
          <w:sz w:val="24"/>
        </w:rPr>
        <w:t xml:space="preserve">。供应商根据竞争性磋商文件及</w:t>
      </w:r>
      <w:r>
        <w:rPr>
          <w:rFonts w:hint="eastAsia"/>
          <w:color w:val="000000"/>
          <w:sz w:val="24"/>
        </w:rPr>
        <w:t xml:space="preserve">“苏采云”政府采购一体化平台</w:t>
      </w:r>
      <w:r>
        <w:rPr>
          <w:color w:val="000000"/>
          <w:sz w:val="24"/>
        </w:rPr>
        <w:t xml:space="preserve">供应商操作手册要求编制、生成并提交电子响应文件。</w:t>
      </w:r>
      <w:r>
        <w:rPr>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采购人及采购代理机构拒绝接受通过电子交易平台以外任何形式提交的响应文件，磋商保证金除外。</w:t>
      </w:r>
      <w:r>
        <w:rPr>
          <w:color w:val="000000"/>
          <w:sz w:val="24"/>
        </w:rPr>
      </w:r>
      <w:r/>
    </w:p>
    <w:p>
      <w:pPr>
        <w:pStyle w:val="1147"/>
        <w:numPr>
          <w:ilvl w:val="0"/>
          <w:numId w:val="9"/>
        </w:numPr>
        <w:ind w:left="357" w:hanging="357"/>
        <w:spacing w:line="360" w:lineRule="auto"/>
        <w:tabs>
          <w:tab w:val="left" w:pos="360" w:leader="none"/>
          <w:tab w:val="left" w:pos="900" w:leader="none"/>
        </w:tabs>
        <w:rPr>
          <w:color w:val="000000"/>
          <w:sz w:val="24"/>
        </w:rPr>
        <w:outlineLvl w:val="1"/>
      </w:pPr>
      <w:r/>
      <w:bookmarkStart w:id="372" w:name="_Toc127151536"/>
      <w:r/>
      <w:bookmarkStart w:id="373" w:name="_Toc151193850"/>
      <w:r/>
      <w:bookmarkStart w:id="374" w:name="_Toc305158804"/>
      <w:r/>
      <w:bookmarkStart w:id="375" w:name="_Toc265228374"/>
      <w:r/>
      <w:bookmarkStart w:id="376" w:name="_Toc520356161"/>
      <w:r/>
      <w:bookmarkStart w:id="377" w:name="_Toc264969226"/>
      <w:r/>
      <w:bookmarkStart w:id="378" w:name="_Toc151193778"/>
      <w:r/>
      <w:bookmarkStart w:id="379" w:name="_Toc142311038"/>
      <w:r/>
      <w:bookmarkStart w:id="380" w:name="_Toc151193706"/>
      <w:r/>
      <w:bookmarkStart w:id="381" w:name="_Toc151190163"/>
      <w:r/>
      <w:bookmarkStart w:id="382" w:name="_Toc226965726"/>
      <w:r/>
      <w:bookmarkStart w:id="383" w:name="_Toc150509287"/>
      <w:r/>
      <w:bookmarkStart w:id="384" w:name="_Toc164351630"/>
      <w:r/>
      <w:bookmarkStart w:id="385" w:name="_Toc150480774"/>
      <w:r/>
      <w:bookmarkStart w:id="386" w:name="_Toc164229377"/>
      <w:r/>
      <w:bookmarkStart w:id="387" w:name="_Toc164608650"/>
      <w:r/>
      <w:bookmarkStart w:id="388" w:name="_Toc226965809"/>
      <w:r/>
      <w:bookmarkStart w:id="389" w:name="_Toc127161450"/>
      <w:r/>
      <w:bookmarkStart w:id="390" w:name="_Toc127151737"/>
      <w:r/>
      <w:bookmarkStart w:id="391" w:name="_Toc195842901"/>
      <w:r/>
      <w:bookmarkStart w:id="392" w:name="_Toc149720829"/>
      <w:r/>
      <w:bookmarkStart w:id="393" w:name="_Toc164608805"/>
      <w:r/>
      <w:bookmarkStart w:id="394" w:name="_Toc150774741"/>
      <w:r/>
      <w:bookmarkStart w:id="395" w:name="_Toc164229231"/>
      <w:r/>
      <w:bookmarkStart w:id="396" w:name="_Toc226337232"/>
      <w:r/>
      <w:bookmarkStart w:id="397" w:name="_Toc151193924"/>
      <w:r/>
      <w:bookmarkStart w:id="398" w:name="_Toc305158878"/>
      <w:r/>
      <w:bookmarkStart w:id="399" w:name="_Toc150774636"/>
      <w:r/>
      <w:bookmarkStart w:id="400" w:name="_Toc226309780"/>
      <w:r/>
      <w:bookmarkStart w:id="401" w:name="_Toc151193634"/>
      <w:r>
        <w:rPr>
          <w:color w:val="000000"/>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color w:val="000000"/>
          <w:sz w:val="24"/>
        </w:rPr>
        <w:t xml:space="preserve">时间</w:t>
      </w:r>
      <w:r>
        <w:rPr>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供应商应在竞争性磋商文件要求提交响应文件截止时间前，将电子响应文件提交至</w:t>
      </w:r>
      <w:r>
        <w:rPr>
          <w:rFonts w:hint="eastAsia"/>
          <w:color w:val="000000"/>
          <w:sz w:val="24"/>
        </w:rPr>
        <w:t xml:space="preserve">“苏采云”政府采购一体化平台</w:t>
      </w:r>
      <w:r>
        <w:rPr>
          <w:color w:val="000000"/>
          <w:sz w:val="24"/>
        </w:rPr>
        <w:t xml:space="preserve">。</w:t>
      </w:r>
      <w:r>
        <w:rPr>
          <w:color w:val="000000"/>
          <w:sz w:val="24"/>
        </w:rPr>
      </w:r>
      <w:r/>
    </w:p>
    <w:p>
      <w:pPr>
        <w:pStyle w:val="1147"/>
        <w:numPr>
          <w:ilvl w:val="0"/>
          <w:numId w:val="9"/>
        </w:numPr>
        <w:ind w:left="357" w:hanging="357"/>
        <w:spacing w:line="360" w:lineRule="auto"/>
        <w:tabs>
          <w:tab w:val="left" w:pos="360" w:leader="none"/>
          <w:tab w:val="left" w:pos="900" w:leader="none"/>
        </w:tabs>
        <w:rPr>
          <w:color w:val="000000"/>
          <w:sz w:val="24"/>
        </w:rPr>
        <w:outlineLvl w:val="1"/>
      </w:pPr>
      <w:r/>
      <w:bookmarkStart w:id="402" w:name="_Toc164229232"/>
      <w:r/>
      <w:bookmarkStart w:id="403" w:name="_Toc520356162"/>
      <w:r/>
      <w:bookmarkStart w:id="404" w:name="_Toc150509288"/>
      <w:r/>
      <w:bookmarkStart w:id="405" w:name="_Toc164608651"/>
      <w:r/>
      <w:bookmarkStart w:id="406" w:name="_Toc226965727"/>
      <w:r/>
      <w:bookmarkStart w:id="407" w:name="_Toc150774637"/>
      <w:r/>
      <w:bookmarkStart w:id="408" w:name="_Toc164229378"/>
      <w:r/>
      <w:bookmarkStart w:id="409" w:name="_Toc150480775"/>
      <w:r/>
      <w:bookmarkStart w:id="410" w:name="_Toc151193925"/>
      <w:r/>
      <w:bookmarkStart w:id="411" w:name="_Toc265228375"/>
      <w:r/>
      <w:bookmarkStart w:id="412" w:name="_Toc164351631"/>
      <w:r/>
      <w:bookmarkStart w:id="413" w:name="_Toc305158805"/>
      <w:r/>
      <w:bookmarkStart w:id="414" w:name="_Toc264969227"/>
      <w:r/>
      <w:bookmarkStart w:id="415" w:name="_Toc127151537"/>
      <w:r/>
      <w:bookmarkStart w:id="416" w:name="_Toc164608806"/>
      <w:r/>
      <w:bookmarkStart w:id="417" w:name="_Toc226337233"/>
      <w:r/>
      <w:bookmarkStart w:id="418" w:name="_Toc195842902"/>
      <w:r/>
      <w:bookmarkStart w:id="419" w:name="_Toc127151738"/>
      <w:r/>
      <w:bookmarkStart w:id="420" w:name="_Toc151190164"/>
      <w:r/>
      <w:bookmarkStart w:id="421" w:name="_Toc151193851"/>
      <w:r/>
      <w:bookmarkStart w:id="422" w:name="_Toc226309781"/>
      <w:r/>
      <w:bookmarkStart w:id="423" w:name="_Toc305158879"/>
      <w:r/>
      <w:bookmarkStart w:id="424" w:name="_Toc127161451"/>
      <w:r/>
      <w:bookmarkStart w:id="425" w:name="_Toc149720830"/>
      <w:r/>
      <w:bookmarkStart w:id="426" w:name="_Toc151193707"/>
      <w:r/>
      <w:bookmarkStart w:id="427" w:name="_Toc226965810"/>
      <w:r/>
      <w:bookmarkStart w:id="428" w:name="_Toc150774742"/>
      <w:r/>
      <w:bookmarkStart w:id="429" w:name="_Toc142311039"/>
      <w:r/>
      <w:bookmarkStart w:id="430" w:name="_Toc151193635"/>
      <w:r/>
      <w:bookmarkStart w:id="431" w:name="_Toc151193779"/>
      <w:r>
        <w:rPr>
          <w:color w:val="000000"/>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提交响应文件截止时间前，供应商可以通过电子交易平台对所提交的响应文件进行补充、修改或者撤回。磋商保证金</w:t>
      </w:r>
      <w:r>
        <w:rPr>
          <w:rFonts w:hint="eastAsia"/>
          <w:color w:val="000000"/>
          <w:sz w:val="24"/>
        </w:rPr>
        <w:t xml:space="preserve">的</w:t>
      </w:r>
      <w:r>
        <w:rPr>
          <w:color w:val="000000"/>
          <w:sz w:val="24"/>
        </w:rPr>
        <w:t xml:space="preserve">补充、修改或者撤回</w:t>
      </w:r>
      <w:r>
        <w:rPr>
          <w:rFonts w:hint="eastAsia"/>
          <w:color w:val="000000"/>
          <w:sz w:val="24"/>
        </w:rPr>
        <w:t xml:space="preserve">无需</w:t>
      </w:r>
      <w:r>
        <w:rPr>
          <w:color w:val="000000"/>
          <w:sz w:val="24"/>
        </w:rPr>
        <w:t xml:space="preserve">通过电子交易平台</w:t>
      </w:r>
      <w:r>
        <w:rPr>
          <w:rFonts w:hint="eastAsia"/>
          <w:color w:val="000000"/>
          <w:sz w:val="24"/>
        </w:rPr>
        <w:t xml:space="preserve">，</w:t>
      </w:r>
      <w:r>
        <w:rPr>
          <w:color w:val="000000"/>
          <w:sz w:val="24"/>
        </w:rPr>
        <w:t xml:space="preserve">但应</w:t>
      </w:r>
      <w:r>
        <w:rPr>
          <w:rFonts w:hint="eastAsia"/>
          <w:color w:val="000000"/>
          <w:sz w:val="24"/>
        </w:rPr>
        <w:t xml:space="preserve">就其</w:t>
      </w:r>
      <w:r>
        <w:rPr>
          <w:color w:val="000000"/>
          <w:sz w:val="24"/>
        </w:rPr>
        <w:t xml:space="preserve">补充、修改或者撤回</w:t>
      </w:r>
      <w:r>
        <w:rPr>
          <w:rFonts w:hint="eastAsia"/>
          <w:color w:val="000000"/>
          <w:sz w:val="24"/>
        </w:rPr>
        <w:t xml:space="preserve">通知</w:t>
      </w:r>
      <w:r>
        <w:rPr>
          <w:color w:val="000000"/>
          <w:sz w:val="24"/>
        </w:rPr>
        <w:t xml:space="preserve">采购人或采购代理机构。</w:t>
      </w:r>
      <w:r>
        <w:rPr>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供应商对响应文件的补充、修改的内容应当按照竞争性磋商文件要求签署、盖章，作为响应文件的组成部分。</w:t>
      </w:r>
      <w:r>
        <w:rPr>
          <w:color w:val="000000"/>
          <w:sz w:val="24"/>
        </w:rPr>
        <w:t xml:space="preserve">补充、修改的内容与响应文件不一致的，以补充、修改的内容为准。</w:t>
      </w:r>
      <w:r>
        <w:rPr>
          <w:color w:val="000000"/>
          <w:sz w:val="24"/>
        </w:rPr>
      </w:r>
      <w:r/>
    </w:p>
    <w:p>
      <w:pPr>
        <w:pStyle w:val="1147"/>
        <w:ind w:left="357"/>
        <w:spacing w:line="360" w:lineRule="auto"/>
        <w:tabs>
          <w:tab w:val="left" w:pos="900" w:leader="none"/>
          <w:tab w:val="left" w:pos="1080" w:leader="none"/>
          <w:tab w:val="left" w:pos="1589" w:leader="none"/>
        </w:tabs>
        <w:rPr>
          <w:color w:val="000000"/>
          <w:sz w:val="24"/>
        </w:rPr>
      </w:pPr>
      <w:r>
        <w:rPr>
          <w:color w:val="000000"/>
          <w:sz w:val="24"/>
        </w:rPr>
      </w:r>
      <w:r/>
    </w:p>
    <w:p>
      <w:pPr>
        <w:pStyle w:val="1149"/>
        <w:spacing w:before="0" w:line="360" w:lineRule="auto"/>
        <w:rPr>
          <w:rFonts w:ascii="Times New Roman" w:hAnsi="Times New Roman" w:eastAsia="宋体"/>
          <w:color w:val="000000"/>
          <w:sz w:val="28"/>
        </w:rPr>
      </w:pPr>
      <w:r/>
      <w:bookmarkStart w:id="432" w:name="_Toc151193926"/>
      <w:r/>
      <w:bookmarkStart w:id="433" w:name="_Toc150480776"/>
      <w:r/>
      <w:bookmarkStart w:id="434" w:name="_Toc142311040"/>
      <w:r/>
      <w:bookmarkStart w:id="435" w:name="_Toc305158806"/>
      <w:r/>
      <w:bookmarkStart w:id="436" w:name="_Toc151193708"/>
      <w:r/>
      <w:bookmarkStart w:id="437" w:name="_Toc127151538"/>
      <w:r/>
      <w:bookmarkStart w:id="438" w:name="_Toc520356163"/>
      <w:r/>
      <w:bookmarkStart w:id="439" w:name="_Toc226337234"/>
      <w:r/>
      <w:bookmarkStart w:id="440" w:name="_Toc151193780"/>
      <w:r/>
      <w:bookmarkStart w:id="441" w:name="_Toc226965811"/>
      <w:r/>
      <w:bookmarkStart w:id="442" w:name="_Toc264969228"/>
      <w:r/>
      <w:bookmarkStart w:id="443" w:name="_Toc151193636"/>
      <w:r/>
      <w:bookmarkStart w:id="444" w:name="_Toc226965728"/>
      <w:r/>
      <w:bookmarkStart w:id="445" w:name="_Toc150774743"/>
      <w:r/>
      <w:bookmarkStart w:id="446" w:name="_Toc151190165"/>
      <w:r/>
      <w:bookmarkStart w:id="447" w:name="_Toc305158880"/>
      <w:r/>
      <w:bookmarkStart w:id="448" w:name="_Toc151193852"/>
      <w:r/>
      <w:bookmarkStart w:id="449" w:name="_Toc150774638"/>
      <w:r/>
      <w:bookmarkStart w:id="450" w:name="_Toc150509289"/>
      <w:r/>
      <w:bookmarkStart w:id="451" w:name="_Toc265228376"/>
      <w:r/>
      <w:bookmarkStart w:id="452" w:name="_Toc226309782"/>
      <w:r/>
      <w:bookmarkStart w:id="453" w:name="_Toc195842903"/>
      <w:r>
        <w:rPr>
          <w:rFonts w:ascii="Times New Roman" w:hAnsi="Times New Roman" w:eastAsia="宋体"/>
          <w:color w:val="000000"/>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ascii="Times New Roman" w:hAnsi="Times New Roman" w:eastAsia="宋体"/>
          <w:color w:val="000000"/>
          <w:sz w:val="28"/>
        </w:rPr>
        <w:t xml:space="preserve">评审</w:t>
      </w:r>
      <w:r>
        <w:rPr>
          <w:rFonts w:ascii="Times New Roman" w:hAnsi="Times New Roman" w:eastAsia="宋体"/>
          <w:color w:val="000000"/>
          <w:sz w:val="28"/>
        </w:rPr>
      </w:r>
      <w:r/>
    </w:p>
    <w:p>
      <w:pPr>
        <w:pStyle w:val="1147"/>
        <w:numPr>
          <w:ilvl w:val="0"/>
          <w:numId w:val="9"/>
        </w:numPr>
        <w:ind w:left="357" w:hanging="357"/>
        <w:spacing w:line="360" w:lineRule="auto"/>
        <w:tabs>
          <w:tab w:val="left" w:pos="360" w:leader="none"/>
          <w:tab w:val="left" w:pos="900" w:leader="none"/>
        </w:tabs>
        <w:rPr>
          <w:color w:val="000000"/>
          <w:sz w:val="24"/>
        </w:rPr>
        <w:outlineLvl w:val="1"/>
      </w:pPr>
      <w:r>
        <w:rPr>
          <w:color w:val="000000"/>
          <w:sz w:val="24"/>
        </w:rPr>
        <w:t xml:space="preserve">响应文件的</w:t>
      </w:r>
      <w:r>
        <w:rPr>
          <w:rFonts w:hint="eastAsia"/>
          <w:color w:val="000000"/>
          <w:sz w:val="24"/>
        </w:rPr>
        <w:t xml:space="preserve">解密与</w:t>
      </w:r>
      <w:r>
        <w:rPr>
          <w:color w:val="000000"/>
          <w:sz w:val="24"/>
        </w:rPr>
        <w:t xml:space="preserve">开启</w:t>
      </w:r>
      <w:r>
        <w:rPr>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采购人或采购代理机构将按竞争性磋商文件的规定，在响应文件提交截止时间的同一时间和竞争性磋商文件预先确定的地点开启响应文件。</w:t>
      </w:r>
      <w:r>
        <w:rPr>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本项目</w:t>
      </w:r>
      <w:r>
        <w:rPr>
          <w:rFonts w:ascii="宋体" w:hAnsi="宋体"/>
          <w:color w:val="000000"/>
          <w:sz w:val="24"/>
        </w:rPr>
        <w:t xml:space="preserve">采用不见面招</w:t>
      </w:r>
      <w:r>
        <w:rPr>
          <w:rFonts w:hint="eastAsia" w:ascii="宋体" w:hAnsi="宋体"/>
          <w:color w:val="000000"/>
          <w:sz w:val="24"/>
        </w:rPr>
        <w:t xml:space="preserve">交易</w:t>
      </w:r>
      <w:r>
        <w:rPr>
          <w:rFonts w:ascii="宋体" w:hAnsi="宋体"/>
          <w:color w:val="000000"/>
          <w:sz w:val="24"/>
        </w:rPr>
        <w:t xml:space="preserve">模式</w:t>
      </w:r>
      <w:r>
        <w:rPr>
          <w:rFonts w:hint="eastAsia" w:ascii="宋体" w:hAnsi="宋体"/>
          <w:color w:val="000000"/>
          <w:sz w:val="24"/>
        </w:rPr>
        <w:t xml:space="preserve">，</w:t>
      </w:r>
      <w:r>
        <w:rPr>
          <w:color w:val="000000"/>
          <w:sz w:val="24"/>
        </w:rPr>
        <w:t xml:space="preserve">使用</w:t>
      </w:r>
      <w:r>
        <w:rPr>
          <w:rFonts w:hint="eastAsia"/>
          <w:color w:val="000000"/>
          <w:sz w:val="24"/>
        </w:rPr>
        <w:t xml:space="preserve">“苏采云”政府采购一体化平台在线进行</w:t>
      </w:r>
      <w:r>
        <w:rPr>
          <w:color w:val="000000"/>
          <w:sz w:val="24"/>
        </w:rPr>
        <w:t xml:space="preserve">解密。供应商应在规定的时间内对</w:t>
      </w:r>
      <w:r>
        <w:rPr>
          <w:rFonts w:hint="eastAsia"/>
          <w:color w:val="000000"/>
          <w:sz w:val="24"/>
        </w:rPr>
        <w:t xml:space="preserve">响应</w:t>
      </w:r>
      <w:r>
        <w:rPr>
          <w:color w:val="000000"/>
          <w:sz w:val="24"/>
        </w:rPr>
        <w:t xml:space="preserve">文件进行解密，因非系统原因导致的解密失败，视为</w:t>
      </w:r>
      <w:r>
        <w:rPr>
          <w:b/>
          <w:color w:val="000000"/>
          <w:sz w:val="24"/>
        </w:rPr>
        <w:t xml:space="preserve">响应无效</w:t>
      </w:r>
      <w:r>
        <w:rPr>
          <w:color w:val="000000"/>
          <w:sz w:val="24"/>
        </w:rPr>
        <w:t xml:space="preserve">。</w:t>
      </w:r>
      <w:r>
        <w:rPr>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供应商不足3家的，不予解密。</w:t>
      </w:r>
      <w:r>
        <w:rPr>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rFonts w:hint="eastAsia"/>
          <w:color w:val="000000"/>
          <w:sz w:val="24"/>
        </w:rPr>
      </w:pPr>
      <w:r/>
      <w:bookmarkStart w:id="454" w:name="_Toc520356165"/>
      <w:r>
        <w:rPr>
          <w:color w:val="000000"/>
          <w:sz w:val="24"/>
        </w:rPr>
        <w:t xml:space="preserve">本项目不公开报价。</w:t>
      </w:r>
      <w:r>
        <w:rPr>
          <w:rFonts w:hint="eastAsia"/>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供应商须在开标前使用“验证CA”功能验证本地计算机的控件环境是否正常，并且在</w:t>
      </w:r>
      <w:r>
        <w:rPr>
          <w:rFonts w:hint="eastAsia"/>
          <w:color w:val="000000"/>
          <w:sz w:val="24"/>
        </w:rPr>
        <w:t xml:space="preserve">解密、评审</w:t>
      </w:r>
      <w:r>
        <w:rPr>
          <w:color w:val="000000"/>
          <w:sz w:val="24"/>
        </w:rPr>
        <w:t xml:space="preserve">过程中不可随意更换</w:t>
      </w:r>
      <w:r>
        <w:rPr>
          <w:rFonts w:hint="eastAsia"/>
          <w:color w:val="000000"/>
          <w:sz w:val="24"/>
        </w:rPr>
        <w:t xml:space="preserve">计算机</w:t>
      </w:r>
      <w:r>
        <w:rPr>
          <w:color w:val="000000"/>
          <w:sz w:val="24"/>
        </w:rPr>
        <w:t xml:space="preserve">，必须使用验证成功的计算机进行操作，否则造成相应后果由供应商自行承担。本地计算机</w:t>
      </w:r>
      <w:r>
        <w:rPr>
          <w:rFonts w:hint="eastAsia"/>
          <w:color w:val="000000"/>
          <w:sz w:val="24"/>
        </w:rPr>
        <w:t xml:space="preserve">要求安装摄像头、麦克风和音箱，保持网络通畅。</w:t>
      </w:r>
      <w:r>
        <w:rPr>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因本项目</w:t>
      </w:r>
      <w:r>
        <w:rPr>
          <w:color w:val="000000"/>
          <w:sz w:val="24"/>
        </w:rPr>
        <w:t xml:space="preserve">采用不见面交易的</w:t>
      </w:r>
      <w:r>
        <w:rPr>
          <w:rFonts w:hint="eastAsia"/>
          <w:color w:val="000000"/>
          <w:sz w:val="24"/>
        </w:rPr>
        <w:t xml:space="preserve">方式</w:t>
      </w:r>
      <w:r>
        <w:rPr>
          <w:color w:val="000000"/>
          <w:sz w:val="24"/>
        </w:rPr>
        <w:t xml:space="preserve">，在</w:t>
      </w:r>
      <w:r>
        <w:rPr>
          <w:rFonts w:hint="eastAsia"/>
          <w:color w:val="000000"/>
          <w:sz w:val="24"/>
        </w:rPr>
        <w:t xml:space="preserve">解密、评审</w:t>
      </w:r>
      <w:r>
        <w:rPr>
          <w:color w:val="000000"/>
          <w:sz w:val="24"/>
        </w:rPr>
        <w:t xml:space="preserve">过程中，</w:t>
      </w:r>
      <w:r>
        <w:rPr>
          <w:rFonts w:hint="eastAsia"/>
          <w:color w:val="000000"/>
          <w:sz w:val="24"/>
        </w:rPr>
        <w:t xml:space="preserve">供应商</w:t>
      </w:r>
      <w:r>
        <w:rPr>
          <w:color w:val="000000"/>
          <w:sz w:val="24"/>
        </w:rPr>
        <w:t xml:space="preserve">需</w:t>
      </w:r>
      <w:r>
        <w:rPr>
          <w:rFonts w:hint="eastAsia"/>
          <w:color w:val="000000"/>
          <w:sz w:val="24"/>
        </w:rPr>
        <w:t xml:space="preserve">要</w:t>
      </w:r>
      <w:r>
        <w:rPr>
          <w:color w:val="000000"/>
          <w:sz w:val="24"/>
        </w:rPr>
        <w:t xml:space="preserve">保持操作计算机前有相关责任人</w:t>
      </w:r>
      <w:r>
        <w:rPr>
          <w:rFonts w:hint="eastAsia"/>
          <w:color w:val="000000"/>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sz w:val="24"/>
        </w:rPr>
        <w:t xml:space="preserve">。</w:t>
      </w:r>
      <w:r>
        <w:rPr>
          <w:rFonts w:hint="eastAsia"/>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color w:val="000000"/>
          <w:sz w:val="24"/>
        </w:rPr>
      </w:pPr>
      <w:r>
        <w:rPr>
          <w:rFonts w:hint="eastAsia"/>
          <w:color w:val="000000"/>
          <w:sz w:val="24"/>
        </w:rPr>
        <w:t xml:space="preserve">如果在</w:t>
      </w:r>
      <w:r>
        <w:rPr>
          <w:color w:val="000000"/>
          <w:sz w:val="24"/>
        </w:rPr>
        <w:t xml:space="preserve">采购</w:t>
      </w:r>
      <w:r>
        <w:rPr>
          <w:rFonts w:hint="eastAsia"/>
          <w:color w:val="000000"/>
          <w:sz w:val="24"/>
        </w:rPr>
        <w:t xml:space="preserve">活动</w:t>
      </w:r>
      <w:r>
        <w:rPr>
          <w:color w:val="000000"/>
          <w:sz w:val="24"/>
        </w:rPr>
        <w:t xml:space="preserve">过程中出现以下情形，导致</w:t>
      </w:r>
      <w:r>
        <w:rPr>
          <w:rFonts w:hint="eastAsia"/>
          <w:color w:val="000000"/>
          <w:sz w:val="24"/>
        </w:rPr>
        <w:t xml:space="preserve">“</w:t>
      </w:r>
      <w:r>
        <w:rPr>
          <w:rFonts w:hint="eastAsia"/>
          <w:color w:val="000000"/>
          <w:sz w:val="24"/>
          <w:lang w:bidi="ar"/>
        </w:rPr>
        <w:t xml:space="preserve">“苏采云”政府采购一体化平台</w:t>
      </w:r>
      <w:r>
        <w:rPr>
          <w:rFonts w:hint="eastAsia"/>
          <w:color w:val="000000"/>
          <w:sz w:val="24"/>
        </w:rPr>
        <w:t xml:space="preserve">”系统</w:t>
      </w:r>
      <w:r>
        <w:rPr>
          <w:color w:val="000000"/>
          <w:sz w:val="24"/>
        </w:rPr>
        <w:t xml:space="preserve">无法正常运行，或者无法保证</w:t>
      </w:r>
      <w:r>
        <w:rPr>
          <w:rFonts w:hint="eastAsia"/>
          <w:color w:val="000000"/>
          <w:sz w:val="24"/>
        </w:rPr>
        <w:t xml:space="preserve">本项目采购活动</w:t>
      </w:r>
      <w:r>
        <w:rPr>
          <w:color w:val="000000"/>
          <w:sz w:val="24"/>
        </w:rPr>
        <w:t xml:space="preserve">的公平、公正和安全时，</w:t>
      </w:r>
      <w:r>
        <w:rPr>
          <w:rFonts w:hint="eastAsia"/>
          <w:color w:val="000000"/>
          <w:sz w:val="24"/>
        </w:rPr>
        <w:t xml:space="preserve">代理机构</w:t>
      </w:r>
      <w:r>
        <w:rPr>
          <w:color w:val="000000"/>
          <w:sz w:val="24"/>
        </w:rPr>
        <w:t xml:space="preserve">可</w:t>
      </w:r>
      <w:r>
        <w:rPr>
          <w:rFonts w:hint="eastAsia"/>
          <w:color w:val="000000"/>
          <w:sz w:val="24"/>
        </w:rPr>
        <w:t xml:space="preserve">以延缓或者暂停采购活动，情况严重的可以终止采购</w:t>
      </w:r>
      <w:r>
        <w:rPr>
          <w:color w:val="000000"/>
          <w:sz w:val="24"/>
        </w:rPr>
        <w:t xml:space="preserve">活动：</w:t>
      </w:r>
      <w:r>
        <w:rPr>
          <w:color w:val="000000"/>
          <w:sz w:val="24"/>
        </w:rPr>
        <w:br w:type="textWrapping" w:clear="all"/>
      </w:r>
      <w:r>
        <w:rPr>
          <w:rFonts w:hint="eastAsia"/>
          <w:color w:val="000000"/>
          <w:sz w:val="24"/>
        </w:rPr>
        <w:t xml:space="preserve"> 1)</w:t>
      </w:r>
      <w:r>
        <w:rPr>
          <w:color w:val="000000"/>
          <w:sz w:val="24"/>
        </w:rPr>
        <w:t xml:space="preserve">平台</w:t>
      </w:r>
      <w:r>
        <w:rPr>
          <w:rFonts w:hint="eastAsia"/>
          <w:color w:val="000000"/>
          <w:sz w:val="24"/>
        </w:rPr>
        <w:t xml:space="preserve">系统</w:t>
      </w:r>
      <w:r>
        <w:rPr>
          <w:color w:val="000000"/>
          <w:sz w:val="24"/>
        </w:rPr>
        <w:t xml:space="preserve">发生故障而无法登录访问的；</w:t>
      </w:r>
      <w:r>
        <w:rPr>
          <w:color w:val="000000"/>
          <w:sz w:val="24"/>
        </w:rPr>
      </w:r>
      <w:r/>
    </w:p>
    <w:p>
      <w:pPr>
        <w:pStyle w:val="1147"/>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2)</w:t>
      </w:r>
      <w:r>
        <w:rPr>
          <w:color w:val="000000"/>
          <w:sz w:val="24"/>
        </w:rPr>
        <w:t xml:space="preserve">平台</w:t>
      </w:r>
      <w:r>
        <w:rPr>
          <w:rFonts w:hint="eastAsia"/>
          <w:color w:val="000000"/>
          <w:sz w:val="24"/>
        </w:rPr>
        <w:t xml:space="preserve">系统</w:t>
      </w:r>
      <w:r>
        <w:rPr>
          <w:color w:val="000000"/>
          <w:sz w:val="24"/>
        </w:rPr>
        <w:t xml:space="preserve">应用或数据库出现错误，不能进行正常操作的；</w:t>
      </w:r>
      <w:r>
        <w:rPr>
          <w:color w:val="000000"/>
          <w:sz w:val="24"/>
        </w:rPr>
      </w:r>
      <w:r/>
    </w:p>
    <w:p>
      <w:pPr>
        <w:pStyle w:val="1147"/>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3)</w:t>
      </w:r>
      <w:r>
        <w:rPr>
          <w:color w:val="000000"/>
          <w:sz w:val="24"/>
        </w:rPr>
        <w:t xml:space="preserve">平台</w:t>
      </w:r>
      <w:r>
        <w:rPr>
          <w:rFonts w:hint="eastAsia"/>
          <w:color w:val="000000"/>
          <w:sz w:val="24"/>
        </w:rPr>
        <w:t xml:space="preserve">系统</w:t>
      </w:r>
      <w:r>
        <w:rPr>
          <w:color w:val="000000"/>
          <w:sz w:val="24"/>
        </w:rPr>
        <w:t xml:space="preserve">发现严重安全漏洞，有潜在泄密危险的；</w:t>
      </w:r>
      <w:r>
        <w:rPr>
          <w:color w:val="000000"/>
          <w:sz w:val="24"/>
        </w:rPr>
      </w:r>
      <w:r/>
    </w:p>
    <w:p>
      <w:pPr>
        <w:pStyle w:val="1147"/>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4)</w:t>
      </w:r>
      <w:r>
        <w:rPr>
          <w:color w:val="000000"/>
          <w:sz w:val="24"/>
        </w:rPr>
        <w:t xml:space="preserve">病毒发作导致平台</w:t>
      </w:r>
      <w:r>
        <w:rPr>
          <w:rFonts w:hint="eastAsia"/>
          <w:color w:val="000000"/>
          <w:sz w:val="24"/>
        </w:rPr>
        <w:t xml:space="preserve">系统</w:t>
      </w:r>
      <w:r>
        <w:rPr>
          <w:color w:val="000000"/>
          <w:sz w:val="24"/>
        </w:rPr>
        <w:t xml:space="preserve">不能进行正常操作的；</w:t>
      </w:r>
      <w:r>
        <w:rPr>
          <w:color w:val="000000"/>
          <w:sz w:val="24"/>
        </w:rPr>
      </w:r>
      <w:r/>
    </w:p>
    <w:p>
      <w:pPr>
        <w:pStyle w:val="1147"/>
        <w:ind w:left="357" w:firstLine="840"/>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5)</w:t>
      </w:r>
      <w:r>
        <w:rPr>
          <w:color w:val="000000"/>
          <w:sz w:val="24"/>
        </w:rPr>
        <w:t xml:space="preserve">其他无法保证</w:t>
      </w:r>
      <w:r>
        <w:rPr>
          <w:rFonts w:hint="eastAsia"/>
          <w:color w:val="000000"/>
          <w:sz w:val="24"/>
        </w:rPr>
        <w:t xml:space="preserve">本次采购活动</w:t>
      </w:r>
      <w:r>
        <w:rPr>
          <w:color w:val="000000"/>
          <w:sz w:val="24"/>
        </w:rPr>
        <w:t xml:space="preserve">的公平、公正和安全的情况。</w:t>
      </w:r>
      <w:r>
        <w:rPr>
          <w:rFonts w:hint="eastAsia"/>
          <w:color w:val="000000"/>
          <w:sz w:val="24"/>
        </w:rPr>
      </w:r>
      <w:r/>
    </w:p>
    <w:p>
      <w:pPr>
        <w:pStyle w:val="1147"/>
        <w:ind w:firstLine="480"/>
        <w:spacing w:line="360" w:lineRule="auto"/>
        <w:tabs>
          <w:tab w:val="left" w:pos="993" w:leader="none"/>
          <w:tab w:val="left" w:pos="1589" w:leader="none"/>
          <w:tab w:val="left" w:pos="2014" w:leader="none"/>
        </w:tabs>
        <w:rPr>
          <w:color w:val="000000"/>
          <w:sz w:val="24"/>
        </w:rPr>
      </w:pPr>
      <w:r>
        <w:rPr>
          <w:color w:val="000000"/>
          <w:sz w:val="24"/>
        </w:rPr>
        <w:t xml:space="preserve">出现</w:t>
      </w:r>
      <w:r>
        <w:rPr>
          <w:rFonts w:hint="eastAsia"/>
          <w:color w:val="000000"/>
          <w:sz w:val="24"/>
        </w:rPr>
        <w:t xml:space="preserve">上述</w:t>
      </w:r>
      <w:r>
        <w:rPr>
          <w:color w:val="000000"/>
          <w:sz w:val="24"/>
        </w:rPr>
        <w:t xml:space="preserve">情形，不影响采购</w:t>
      </w:r>
      <w:r>
        <w:rPr>
          <w:rFonts w:hint="eastAsia"/>
          <w:color w:val="000000"/>
          <w:sz w:val="24"/>
        </w:rPr>
        <w:t xml:space="preserve">活动</w:t>
      </w:r>
      <w:r>
        <w:rPr>
          <w:color w:val="000000"/>
          <w:sz w:val="24"/>
        </w:rPr>
        <w:t xml:space="preserve">公平、公正性的，</w:t>
      </w:r>
      <w:r>
        <w:rPr>
          <w:rFonts w:hint="eastAsia"/>
          <w:color w:val="000000"/>
          <w:sz w:val="24"/>
        </w:rPr>
        <w:t xml:space="preserve">代理机构</w:t>
      </w:r>
      <w:r>
        <w:rPr>
          <w:color w:val="000000"/>
          <w:sz w:val="24"/>
        </w:rPr>
        <w:t xml:space="preserve">可以待上述情形消除后继续组织</w:t>
      </w:r>
      <w:r>
        <w:rPr>
          <w:rFonts w:hint="eastAsia"/>
          <w:color w:val="000000"/>
          <w:sz w:val="24"/>
        </w:rPr>
        <w:t xml:space="preserve">不见面</w:t>
      </w:r>
      <w:r>
        <w:rPr>
          <w:color w:val="000000"/>
          <w:sz w:val="24"/>
        </w:rPr>
        <w:t xml:space="preserve">交易</w:t>
      </w:r>
      <w:r>
        <w:rPr>
          <w:rFonts w:hint="eastAsia"/>
          <w:color w:val="000000"/>
          <w:sz w:val="24"/>
        </w:rPr>
        <w:t xml:space="preserve">采购</w:t>
      </w:r>
      <w:r>
        <w:rPr>
          <w:color w:val="000000"/>
          <w:sz w:val="24"/>
        </w:rPr>
        <w:t xml:space="preserve">活动，也可以决定某些环节以纸质形式进行；影响或可能影响采购</w:t>
      </w:r>
      <w:r>
        <w:rPr>
          <w:rFonts w:hint="eastAsia"/>
          <w:color w:val="000000"/>
          <w:sz w:val="24"/>
        </w:rPr>
        <w:t xml:space="preserve">活动</w:t>
      </w:r>
      <w:r>
        <w:rPr>
          <w:color w:val="000000"/>
          <w:sz w:val="24"/>
        </w:rPr>
        <w:t xml:space="preserve">公平、公正性的，应当</w:t>
      </w:r>
      <w:r>
        <w:rPr>
          <w:rFonts w:hint="eastAsia"/>
          <w:color w:val="000000"/>
          <w:sz w:val="24"/>
        </w:rPr>
        <w:t xml:space="preserve">终止本次项目，</w:t>
      </w:r>
      <w:r>
        <w:rPr>
          <w:color w:val="000000"/>
          <w:sz w:val="24"/>
        </w:rPr>
        <w:t xml:space="preserve">重新</w:t>
      </w:r>
      <w:r>
        <w:rPr>
          <w:rFonts w:hint="eastAsia"/>
          <w:color w:val="000000"/>
          <w:sz w:val="24"/>
        </w:rPr>
        <w:t xml:space="preserve">组织</w:t>
      </w:r>
      <w:r>
        <w:rPr>
          <w:color w:val="000000"/>
          <w:sz w:val="24"/>
        </w:rPr>
        <w:t xml:space="preserve">采购。</w:t>
      </w:r>
      <w:r>
        <w:rPr>
          <w:color w:val="000000"/>
          <w:sz w:val="24"/>
        </w:rPr>
      </w:r>
      <w:r/>
    </w:p>
    <w:p>
      <w:pPr>
        <w:pStyle w:val="1147"/>
        <w:numPr>
          <w:ilvl w:val="0"/>
          <w:numId w:val="9"/>
        </w:numPr>
        <w:ind w:left="357" w:hanging="357"/>
        <w:spacing w:line="360" w:lineRule="auto"/>
        <w:tabs>
          <w:tab w:val="left" w:pos="360" w:leader="none"/>
          <w:tab w:val="left" w:pos="900" w:leader="none"/>
        </w:tabs>
        <w:rPr>
          <w:color w:val="000000"/>
          <w:sz w:val="24"/>
        </w:rPr>
        <w:outlineLvl w:val="1"/>
      </w:pPr>
      <w:r/>
      <w:bookmarkEnd w:id="454"/>
      <w:r>
        <w:rPr>
          <w:color w:val="000000"/>
          <w:sz w:val="24"/>
        </w:rPr>
        <w:t xml:space="preserve">磋商小组</w:t>
      </w:r>
      <w:r>
        <w:rPr>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磋商小组根据政府采购有关规定和本次采购项目的特点进行组建，并负责具体评审事务，独立履行职责。</w:t>
      </w:r>
      <w:bookmarkStart w:id="455" w:name="_Toc520356166"/>
      <w:r>
        <w:rPr>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评审专家须符合</w:t>
      </w:r>
      <w:r>
        <w:rPr>
          <w:rFonts w:hint="eastAsia"/>
          <w:color w:val="000000"/>
          <w:sz w:val="24"/>
        </w:rPr>
        <w:t xml:space="preserve">相关</w:t>
      </w:r>
      <w:r>
        <w:rPr>
          <w:color w:val="000000"/>
          <w:sz w:val="24"/>
        </w:rPr>
        <w:t xml:space="preserve">规定。依法自行选定评审专家的，采购人和采购代理机构将查询有关信用记录，对具有行贿、受贿、欺诈等不良信用记录的人员，拒绝其参与政府采购活动。</w:t>
      </w:r>
      <w:bookmarkEnd w:id="455"/>
      <w:r/>
      <w:bookmarkStart w:id="456" w:name="_Toc520356169"/>
      <w:r>
        <w:rPr>
          <w:color w:val="000000"/>
          <w:sz w:val="24"/>
        </w:rPr>
      </w:r>
      <w:r/>
    </w:p>
    <w:p>
      <w:pPr>
        <w:pStyle w:val="1147"/>
        <w:numPr>
          <w:ilvl w:val="0"/>
          <w:numId w:val="9"/>
        </w:numPr>
        <w:spacing w:line="360" w:lineRule="auto"/>
        <w:tabs>
          <w:tab w:val="left" w:pos="360" w:leader="none"/>
          <w:tab w:val="left" w:pos="900" w:leader="none"/>
        </w:tabs>
        <w:rPr>
          <w:color w:val="000000"/>
          <w:sz w:val="24"/>
        </w:rPr>
        <w:outlineLvl w:val="1"/>
      </w:pPr>
      <w:r>
        <w:rPr>
          <w:color w:val="000000"/>
          <w:sz w:val="24"/>
        </w:rPr>
        <w:t xml:space="preserve">评审方法和评审标准</w:t>
      </w:r>
      <w:r>
        <w:rPr>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见第三章《评审方法和评审标准》。</w:t>
      </w:r>
      <w:r>
        <w:rPr>
          <w:color w:val="000000"/>
          <w:sz w:val="24"/>
        </w:rPr>
      </w:r>
      <w:r/>
    </w:p>
    <w:p>
      <w:pPr>
        <w:pStyle w:val="1147"/>
        <w:ind w:left="1080"/>
        <w:spacing w:line="360" w:lineRule="auto"/>
        <w:tabs>
          <w:tab w:val="left" w:pos="360" w:leader="none"/>
          <w:tab w:val="left" w:pos="1080" w:leader="none"/>
        </w:tabs>
        <w:rPr>
          <w:color w:val="000000"/>
          <w:sz w:val="24"/>
        </w:rPr>
      </w:pPr>
      <w:r>
        <w:rPr>
          <w:color w:val="000000"/>
          <w:sz w:val="24"/>
        </w:rPr>
      </w:r>
      <w:r/>
    </w:p>
    <w:p>
      <w:pPr>
        <w:pStyle w:val="1149"/>
        <w:spacing w:before="0" w:line="360" w:lineRule="auto"/>
        <w:rPr>
          <w:rFonts w:ascii="Times New Roman" w:hAnsi="Times New Roman" w:eastAsia="宋体"/>
          <w:color w:val="000000"/>
          <w:sz w:val="28"/>
        </w:rPr>
      </w:pPr>
      <w:r/>
      <w:bookmarkStart w:id="457" w:name="_Toc151193859"/>
      <w:r/>
      <w:bookmarkStart w:id="458" w:name="_Toc151193787"/>
      <w:r/>
      <w:bookmarkStart w:id="459" w:name="_Toc142311047"/>
      <w:r/>
      <w:bookmarkStart w:id="460" w:name="_Toc150480783"/>
      <w:r/>
      <w:bookmarkStart w:id="461" w:name="_Toc265228383"/>
      <w:r/>
      <w:bookmarkStart w:id="462" w:name="_Toc305158887"/>
      <w:r/>
      <w:bookmarkStart w:id="463" w:name="_Toc226965818"/>
      <w:r/>
      <w:bookmarkStart w:id="464" w:name="_Toc150509296"/>
      <w:r/>
      <w:bookmarkStart w:id="465" w:name="_Toc151193643"/>
      <w:r/>
      <w:bookmarkStart w:id="466" w:name="_Toc195842910"/>
      <w:r/>
      <w:bookmarkStart w:id="467" w:name="_Toc151193933"/>
      <w:r/>
      <w:bookmarkStart w:id="468" w:name="_Toc151193715"/>
      <w:r/>
      <w:bookmarkStart w:id="469" w:name="_Toc226965735"/>
      <w:r/>
      <w:bookmarkStart w:id="470" w:name="_Toc264969235"/>
      <w:r/>
      <w:bookmarkStart w:id="471" w:name="_Toc127151545"/>
      <w:r/>
      <w:bookmarkStart w:id="472" w:name="_Toc305158813"/>
      <w:r/>
      <w:bookmarkStart w:id="473" w:name="_Toc150774750"/>
      <w:r/>
      <w:bookmarkStart w:id="474" w:name="_Toc151190172"/>
      <w:r/>
      <w:bookmarkStart w:id="475" w:name="_Toc150774645"/>
      <w:r/>
      <w:bookmarkStart w:id="476" w:name="_Toc226337241"/>
      <w:r/>
      <w:bookmarkStart w:id="477" w:name="_Toc226309789"/>
      <w:r>
        <w:rPr>
          <w:rFonts w:ascii="Times New Roman" w:hAnsi="Times New Roman" w:eastAsia="宋体"/>
          <w:color w:val="000000"/>
          <w:sz w:val="28"/>
        </w:rPr>
        <w:t xml:space="preserve">六   </w:t>
      </w:r>
      <w:bookmarkEnd w:id="456"/>
      <w:r>
        <w:rPr>
          <w:rFonts w:ascii="Times New Roman" w:hAnsi="Times New Roman" w:eastAsia="宋体"/>
          <w:color w:val="000000"/>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ascii="Times New Roman" w:hAnsi="Times New Roman" w:eastAsia="宋体"/>
          <w:color w:val="000000"/>
          <w:sz w:val="28"/>
        </w:rPr>
        <w:t xml:space="preserve">成交</w:t>
      </w:r>
      <w:r>
        <w:rPr>
          <w:rFonts w:ascii="Times New Roman" w:hAnsi="Times New Roman" w:eastAsia="宋体"/>
          <w:color w:val="000000"/>
          <w:sz w:val="28"/>
        </w:rPr>
      </w:r>
      <w:r/>
    </w:p>
    <w:p>
      <w:pPr>
        <w:pStyle w:val="1147"/>
        <w:numPr>
          <w:ilvl w:val="0"/>
          <w:numId w:val="9"/>
        </w:numPr>
        <w:ind w:left="357" w:hanging="357"/>
        <w:spacing w:line="360" w:lineRule="auto"/>
        <w:tabs>
          <w:tab w:val="left" w:pos="360" w:leader="none"/>
          <w:tab w:val="left" w:pos="900" w:leader="none"/>
        </w:tabs>
        <w:rPr>
          <w:color w:val="000000"/>
          <w:sz w:val="24"/>
        </w:rPr>
        <w:outlineLvl w:val="1"/>
      </w:pPr>
      <w:r/>
      <w:bookmarkStart w:id="478" w:name="_Toc226965737"/>
      <w:r/>
      <w:bookmarkStart w:id="479" w:name="_Toc264969237"/>
      <w:r/>
      <w:bookmarkStart w:id="480" w:name="_Toc149720840"/>
      <w:r/>
      <w:bookmarkStart w:id="481" w:name="_Toc151190174"/>
      <w:r/>
      <w:bookmarkStart w:id="482" w:name="_Toc305158815"/>
      <w:r/>
      <w:bookmarkStart w:id="483" w:name="_Toc151193861"/>
      <w:r/>
      <w:bookmarkStart w:id="484" w:name="_Toc151193717"/>
      <w:r/>
      <w:bookmarkStart w:id="485" w:name="_Toc164608661"/>
      <w:r/>
      <w:bookmarkStart w:id="486" w:name="_Toc151193789"/>
      <w:r/>
      <w:bookmarkStart w:id="487" w:name="_Toc127151748"/>
      <w:r/>
      <w:bookmarkStart w:id="488" w:name="_Toc305158889"/>
      <w:r/>
      <w:bookmarkStart w:id="489" w:name="_Toc127151547"/>
      <w:r/>
      <w:bookmarkStart w:id="490" w:name="_Toc127161461"/>
      <w:r/>
      <w:bookmarkStart w:id="491" w:name="_Toc195842912"/>
      <w:r/>
      <w:bookmarkStart w:id="492" w:name="_Toc164608816"/>
      <w:r/>
      <w:bookmarkStart w:id="493" w:name="_Toc150480785"/>
      <w:r/>
      <w:bookmarkStart w:id="494" w:name="_Toc151193645"/>
      <w:r/>
      <w:bookmarkStart w:id="495" w:name="_Toc164229242"/>
      <w:r/>
      <w:bookmarkStart w:id="496" w:name="_Toc151193935"/>
      <w:r/>
      <w:bookmarkStart w:id="497" w:name="_Toc150774752"/>
      <w:r/>
      <w:bookmarkStart w:id="498" w:name="_Toc150774647"/>
      <w:r/>
      <w:bookmarkStart w:id="499" w:name="_Toc150509298"/>
      <w:r/>
      <w:bookmarkStart w:id="500" w:name="_Toc226309791"/>
      <w:r/>
      <w:bookmarkStart w:id="501" w:name="_Toc265228385"/>
      <w:r/>
      <w:bookmarkStart w:id="502" w:name="_Toc164229388"/>
      <w:r/>
      <w:bookmarkStart w:id="503" w:name="_Toc226965820"/>
      <w:r/>
      <w:bookmarkStart w:id="504" w:name="_Toc226337243"/>
      <w:r/>
      <w:bookmarkStart w:id="505" w:name="_Toc164351641"/>
      <w:r/>
      <w:bookmarkStart w:id="506" w:name="_Toc142311049"/>
      <w:r>
        <w:rPr>
          <w:color w:val="000000"/>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采购人将在收到评审报告后，从评审报告提出的成交候选供应商中，按照排序由高到低的原则确定成交供应商</w:t>
      </w:r>
      <w:r>
        <w:rPr>
          <w:rFonts w:hint="eastAsia"/>
          <w:color w:val="000000"/>
          <w:sz w:val="24"/>
        </w:rPr>
        <w:t xml:space="preserve">。</w:t>
      </w:r>
      <w:r>
        <w:rPr>
          <w:color w:val="000000"/>
          <w:sz w:val="24"/>
        </w:rPr>
        <w:t xml:space="preserve">成交候选人并列的，由采购人</w:t>
      </w:r>
      <w:r>
        <w:rPr>
          <w:rFonts w:hint="eastAsia"/>
          <w:color w:val="000000"/>
          <w:sz w:val="24"/>
        </w:rPr>
        <w:t xml:space="preserve">依法</w:t>
      </w:r>
      <w:r>
        <w:rPr>
          <w:color w:val="000000"/>
          <w:sz w:val="24"/>
        </w:rPr>
        <w:t xml:space="preserve">确定。</w:t>
      </w:r>
      <w:r>
        <w:rPr>
          <w:color w:val="000000"/>
          <w:sz w:val="24"/>
        </w:rPr>
      </w:r>
      <w:r/>
    </w:p>
    <w:p>
      <w:pPr>
        <w:pStyle w:val="1147"/>
        <w:numPr>
          <w:ilvl w:val="0"/>
          <w:numId w:val="9"/>
        </w:numPr>
        <w:ind w:left="357" w:hanging="357"/>
        <w:spacing w:line="360" w:lineRule="auto"/>
        <w:tabs>
          <w:tab w:val="left" w:pos="360" w:leader="none"/>
          <w:tab w:val="left" w:pos="900" w:leader="none"/>
        </w:tabs>
        <w:rPr>
          <w:color w:val="000000"/>
          <w:sz w:val="24"/>
        </w:rPr>
        <w:outlineLvl w:val="1"/>
      </w:pPr>
      <w:r/>
      <w:bookmarkStart w:id="507" w:name="_Toc305158891"/>
      <w:r/>
      <w:bookmarkStart w:id="508" w:name="_Toc305158817"/>
      <w:r/>
      <w:bookmarkStart w:id="509" w:name="_Toc151193719"/>
      <w:r/>
      <w:bookmarkStart w:id="510" w:name="_Toc264969239"/>
      <w:r/>
      <w:bookmarkStart w:id="511" w:name="_Toc150480787"/>
      <w:r/>
      <w:bookmarkStart w:id="512" w:name="_Toc226337245"/>
      <w:r/>
      <w:bookmarkStart w:id="513" w:name="_Toc150774754"/>
      <w:r/>
      <w:bookmarkStart w:id="514" w:name="_Toc265228387"/>
      <w:r/>
      <w:bookmarkStart w:id="515" w:name="_Toc520356176"/>
      <w:r/>
      <w:bookmarkStart w:id="516" w:name="_Ref467307090"/>
      <w:r/>
      <w:bookmarkStart w:id="517" w:name="_Ref467306425"/>
      <w:r/>
      <w:bookmarkStart w:id="518" w:name="_Toc151193791"/>
      <w:r/>
      <w:bookmarkStart w:id="519" w:name="_Toc142311051"/>
      <w:r/>
      <w:bookmarkStart w:id="520" w:name="_Toc151193937"/>
      <w:r/>
      <w:bookmarkStart w:id="521" w:name="_Toc164351643"/>
      <w:r/>
      <w:bookmarkStart w:id="522" w:name="_Toc195842914"/>
      <w:r/>
      <w:bookmarkStart w:id="523" w:name="_Toc127161463"/>
      <w:r/>
      <w:bookmarkStart w:id="524" w:name="_Toc226965739"/>
      <w:r/>
      <w:bookmarkStart w:id="525" w:name="_Toc127151549"/>
      <w:r/>
      <w:bookmarkStart w:id="526" w:name="_Toc127151750"/>
      <w:r/>
      <w:bookmarkStart w:id="527" w:name="_Toc151190176"/>
      <w:r/>
      <w:bookmarkStart w:id="528" w:name="_Toc226965822"/>
      <w:r/>
      <w:bookmarkStart w:id="529" w:name="_Toc226309793"/>
      <w:r/>
      <w:bookmarkStart w:id="530" w:name="_Toc164608663"/>
      <w:r/>
      <w:bookmarkStart w:id="531" w:name="_Toc150509300"/>
      <w:r/>
      <w:bookmarkStart w:id="532" w:name="_Toc164229390"/>
      <w:r/>
      <w:bookmarkStart w:id="533" w:name="_Toc150774649"/>
      <w:r/>
      <w:bookmarkStart w:id="534" w:name="_Toc151193863"/>
      <w:r/>
      <w:bookmarkStart w:id="535" w:name="_Toc164229244"/>
      <w:r/>
      <w:bookmarkStart w:id="536" w:name="_Toc164608818"/>
      <w:r/>
      <w:bookmarkStart w:id="537" w:name="_Toc151193647"/>
      <w:r/>
      <w:bookmarkStart w:id="538" w:name="_Toc149720842"/>
      <w:r>
        <w:rPr>
          <w:color w:val="000000"/>
          <w:sz w:val="24"/>
        </w:rPr>
        <w:t xml:space="preserve">成交公告与成交通知书</w:t>
      </w:r>
      <w:bookmarkEnd w:id="507"/>
      <w:r/>
      <w:bookmarkEnd w:id="508"/>
      <w:r>
        <w:rPr>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采购人或采购代理机构将</w:t>
      </w:r>
      <w:r>
        <w:rPr>
          <w:color w:val="000000"/>
          <w:sz w:val="24"/>
        </w:rPr>
        <w:t xml:space="preserve">在成交供应商确定后2个工作日内，在</w:t>
      </w:r>
      <w:r>
        <w:rPr>
          <w:rFonts w:hint="eastAsia"/>
          <w:color w:val="000000"/>
          <w:sz w:val="24"/>
        </w:rPr>
        <w:t xml:space="preserve">常州市政府采购网</w:t>
      </w:r>
      <w:r>
        <w:rPr>
          <w:color w:val="000000"/>
          <w:sz w:val="24"/>
        </w:rPr>
        <w:t xml:space="preserve">公告成交结果，同时向成交供应商发出成交通知书，</w:t>
      </w:r>
      <w:r>
        <w:rPr>
          <w:color w:val="000000"/>
          <w:sz w:val="24"/>
        </w:rPr>
        <w:t xml:space="preserve">成交公告期限为1个工作日。</w:t>
      </w:r>
      <w:r>
        <w:rPr>
          <w:color w:val="000000"/>
          <w:sz w:val="24"/>
        </w:rPr>
      </w:r>
      <w:r/>
    </w:p>
    <w:p>
      <w:pPr>
        <w:pStyle w:val="1147"/>
        <w:numPr>
          <w:ilvl w:val="1"/>
          <w:numId w:val="9"/>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sz w:val="24"/>
        </w:rPr>
        <w:t xml:space="preserve">。</w:t>
      </w:r>
      <w:r>
        <w:rPr>
          <w:color w:val="000000"/>
          <w:sz w:val="24"/>
        </w:rPr>
      </w:r>
      <w:r/>
    </w:p>
    <w:p>
      <w:pPr>
        <w:pStyle w:val="1147"/>
        <w:numPr>
          <w:ilvl w:val="0"/>
          <w:numId w:val="9"/>
        </w:numPr>
        <w:ind w:left="357" w:hanging="357"/>
        <w:spacing w:line="360" w:lineRule="auto"/>
        <w:tabs>
          <w:tab w:val="left" w:pos="360" w:leader="none"/>
          <w:tab w:val="left" w:pos="900" w:leader="none"/>
        </w:tabs>
        <w:rPr>
          <w:color w:val="000000"/>
          <w:sz w:val="24"/>
        </w:rPr>
        <w:outlineLvl w:val="1"/>
      </w:pPr>
      <w:r>
        <w:rPr>
          <w:color w:val="000000"/>
          <w:sz w:val="24"/>
        </w:rPr>
        <w:t xml:space="preserve">终止</w:t>
      </w:r>
      <w:r>
        <w:rPr>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在采购中，出现下列情形之一的，采购人或采购代理机构将终止竞争性磋商采购活动，发布项目终止公告并说明原因，重新开展采购活动：</w:t>
      </w:r>
      <w:r>
        <w:rPr>
          <w:color w:val="000000"/>
          <w:sz w:val="24"/>
        </w:rPr>
      </w:r>
      <w:r/>
    </w:p>
    <w:p>
      <w:pPr>
        <w:pStyle w:val="1147"/>
        <w:numPr>
          <w:ilvl w:val="2"/>
          <w:numId w:val="9"/>
        </w:numPr>
        <w:spacing w:line="360" w:lineRule="auto"/>
        <w:tabs>
          <w:tab w:val="left" w:pos="1980" w:leader="none"/>
        </w:tabs>
        <w:rPr>
          <w:color w:val="000000"/>
          <w:sz w:val="24"/>
        </w:rPr>
      </w:pPr>
      <w:r>
        <w:rPr>
          <w:color w:val="000000"/>
          <w:sz w:val="24"/>
        </w:rPr>
        <w:t xml:space="preserve">因情况变化，不再符合规定的竞争性磋商采购方式适用情形的；</w:t>
      </w:r>
      <w:r>
        <w:rPr>
          <w:color w:val="000000"/>
          <w:sz w:val="24"/>
        </w:rPr>
      </w:r>
      <w:r/>
    </w:p>
    <w:p>
      <w:pPr>
        <w:pStyle w:val="1147"/>
        <w:numPr>
          <w:ilvl w:val="2"/>
          <w:numId w:val="9"/>
        </w:numPr>
        <w:spacing w:line="360" w:lineRule="auto"/>
        <w:tabs>
          <w:tab w:val="left" w:pos="1980" w:leader="none"/>
        </w:tabs>
        <w:rPr>
          <w:color w:val="000000"/>
          <w:sz w:val="24"/>
        </w:rPr>
      </w:pPr>
      <w:r>
        <w:rPr>
          <w:color w:val="000000"/>
          <w:sz w:val="24"/>
        </w:rPr>
        <w:t xml:space="preserve">出现影响采购公正的违法、违规行为的；</w:t>
      </w:r>
      <w:r>
        <w:rPr>
          <w:color w:val="000000"/>
          <w:sz w:val="24"/>
        </w:rPr>
      </w:r>
      <w:r/>
    </w:p>
    <w:p>
      <w:pPr>
        <w:pStyle w:val="1147"/>
        <w:numPr>
          <w:ilvl w:val="2"/>
          <w:numId w:val="9"/>
        </w:numPr>
        <w:spacing w:line="360" w:lineRule="auto"/>
        <w:tabs>
          <w:tab w:val="left" w:pos="1980" w:leader="none"/>
        </w:tabs>
        <w:rPr>
          <w:rFonts w:hint="eastAsia"/>
          <w:color w:val="000000"/>
          <w:sz w:val="24"/>
        </w:rPr>
      </w:pPr>
      <w:r>
        <w:rPr>
          <w:color w:val="000000"/>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color w:val="000000"/>
          <w:sz w:val="24"/>
        </w:rPr>
      </w:r>
      <w:r/>
    </w:p>
    <w:p>
      <w:pPr>
        <w:pStyle w:val="1147"/>
        <w:numPr>
          <w:ilvl w:val="2"/>
          <w:numId w:val="9"/>
        </w:numPr>
        <w:spacing w:line="360" w:lineRule="auto"/>
        <w:tabs>
          <w:tab w:val="left" w:pos="1980" w:leader="none"/>
        </w:tabs>
        <w:rPr>
          <w:color w:val="000000"/>
          <w:sz w:val="24"/>
        </w:rPr>
      </w:pPr>
      <w:r>
        <w:rPr>
          <w:rFonts w:hint="eastAsia" w:ascii="宋体" w:hAnsi="宋体"/>
          <w:color w:val="000000"/>
          <w:spacing w:val="2"/>
          <w:sz w:val="24"/>
        </w:rPr>
        <w:t xml:space="preserve">平台系统</w:t>
      </w:r>
      <w:r>
        <w:rPr>
          <w:rFonts w:ascii="宋体" w:hAnsi="宋体"/>
          <w:color w:val="000000"/>
          <w:sz w:val="24"/>
        </w:rPr>
        <w:t xml:space="preserve">出现</w:t>
      </w:r>
      <w:r>
        <w:rPr>
          <w:rFonts w:hint="eastAsia" w:ascii="宋体" w:hAnsi="宋体"/>
          <w:color w:val="000000"/>
          <w:sz w:val="24"/>
        </w:rPr>
        <w:t xml:space="preserve">序号17.7的所述</w:t>
      </w:r>
      <w:r>
        <w:rPr>
          <w:rFonts w:ascii="宋体" w:hAnsi="宋体"/>
          <w:color w:val="000000"/>
          <w:sz w:val="24"/>
        </w:rPr>
        <w:t xml:space="preserve">情形，</w:t>
      </w:r>
      <w:r>
        <w:rPr>
          <w:rFonts w:hint="eastAsia" w:ascii="宋体" w:hAnsi="宋体"/>
          <w:color w:val="000000"/>
          <w:sz w:val="24"/>
        </w:rPr>
        <w:t xml:space="preserve">情况严重且</w:t>
      </w:r>
      <w:r>
        <w:rPr>
          <w:rFonts w:ascii="宋体" w:hAnsi="宋体"/>
          <w:color w:val="000000"/>
          <w:sz w:val="24"/>
        </w:rPr>
        <w:t xml:space="preserve">影响采购</w:t>
      </w:r>
      <w:r>
        <w:rPr>
          <w:rFonts w:hint="eastAsia" w:ascii="宋体" w:hAnsi="宋体"/>
          <w:color w:val="000000"/>
          <w:sz w:val="24"/>
        </w:rPr>
        <w:t xml:space="preserve">活动</w:t>
      </w:r>
      <w:r>
        <w:rPr>
          <w:rFonts w:ascii="宋体" w:hAnsi="宋体"/>
          <w:color w:val="000000"/>
          <w:sz w:val="24"/>
        </w:rPr>
        <w:t xml:space="preserve">公平、公正性的</w:t>
      </w:r>
      <w:r>
        <w:rPr>
          <w:rFonts w:hint="eastAsia" w:ascii="宋体" w:hAnsi="宋体"/>
          <w:color w:val="000000"/>
          <w:sz w:val="24"/>
        </w:rPr>
        <w:t xml:space="preserve">。</w:t>
      </w:r>
      <w:r>
        <w:rPr>
          <w:color w:val="000000"/>
          <w:sz w:val="24"/>
        </w:rPr>
      </w:r>
      <w:r/>
    </w:p>
    <w:p>
      <w:pPr>
        <w:pStyle w:val="1147"/>
        <w:numPr>
          <w:ilvl w:val="0"/>
          <w:numId w:val="9"/>
        </w:numPr>
        <w:ind w:left="357" w:hanging="357"/>
        <w:spacing w:line="360" w:lineRule="auto"/>
        <w:tabs>
          <w:tab w:val="left" w:pos="360" w:leader="none"/>
          <w:tab w:val="left" w:pos="900" w:leader="none"/>
        </w:tabs>
        <w:rPr>
          <w:color w:val="000000"/>
          <w:sz w:val="24"/>
        </w:rPr>
        <w:outlineLvl w:val="1"/>
      </w:pPr>
      <w:r/>
      <w:bookmarkEnd w:id="509"/>
      <w:r/>
      <w:bookmarkEnd w:id="510"/>
      <w:r/>
      <w:bookmarkEnd w:id="511"/>
      <w:r/>
      <w:bookmarkEnd w:id="512"/>
      <w:r/>
      <w:bookmarkEnd w:id="513"/>
      <w:r/>
      <w:bookmarkEnd w:id="514"/>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Start w:id="539" w:name="_Toc164229391"/>
      <w:r/>
      <w:bookmarkStart w:id="540" w:name="_Toc127161464"/>
      <w:r/>
      <w:bookmarkStart w:id="541" w:name="_Toc305158818"/>
      <w:r/>
      <w:bookmarkStart w:id="542" w:name="_Toc151193864"/>
      <w:r/>
      <w:bookmarkStart w:id="543" w:name="_Toc150774650"/>
      <w:r/>
      <w:bookmarkStart w:id="544" w:name="_Toc226965823"/>
      <w:r/>
      <w:bookmarkStart w:id="545" w:name="_Toc520356175"/>
      <w:r/>
      <w:bookmarkStart w:id="546" w:name="_Toc127151751"/>
      <w:r/>
      <w:bookmarkStart w:id="547" w:name="_Toc164608664"/>
      <w:r/>
      <w:bookmarkStart w:id="548" w:name="_Toc150509301"/>
      <w:r/>
      <w:bookmarkStart w:id="549" w:name="_Toc142311052"/>
      <w:r/>
      <w:bookmarkStart w:id="550" w:name="_Toc151193792"/>
      <w:r/>
      <w:bookmarkStart w:id="551" w:name="_Toc151190177"/>
      <w:r/>
      <w:bookmarkStart w:id="552" w:name="_Ref467306978"/>
      <w:r/>
      <w:bookmarkStart w:id="553" w:name="_Toc195842915"/>
      <w:r/>
      <w:bookmarkStart w:id="554" w:name="_Toc151193938"/>
      <w:r/>
      <w:bookmarkStart w:id="555" w:name="_Ref467307204"/>
      <w:r/>
      <w:bookmarkStart w:id="556" w:name="_Toc150774755"/>
      <w:r/>
      <w:bookmarkStart w:id="557" w:name="_Toc264969240"/>
      <w:r/>
      <w:bookmarkStart w:id="558" w:name="_Ref467307062"/>
      <w:r/>
      <w:bookmarkStart w:id="559" w:name="_Toc226309794"/>
      <w:r/>
      <w:bookmarkStart w:id="560" w:name="_Toc305158892"/>
      <w:r/>
      <w:bookmarkStart w:id="561" w:name="_Toc226965740"/>
      <w:r/>
      <w:bookmarkStart w:id="562" w:name="_Ref467306377"/>
      <w:r/>
      <w:bookmarkStart w:id="563" w:name="_Toc164229245"/>
      <w:r/>
      <w:bookmarkStart w:id="564" w:name="_Toc265228388"/>
      <w:r/>
      <w:bookmarkStart w:id="565" w:name="_Toc164608819"/>
      <w:r/>
      <w:bookmarkStart w:id="566" w:name="_Toc164351644"/>
      <w:r/>
      <w:bookmarkStart w:id="567" w:name="_Toc151193648"/>
      <w:r/>
      <w:bookmarkStart w:id="568" w:name="_Toc151193720"/>
      <w:r/>
      <w:bookmarkStart w:id="569" w:name="_Toc149720843"/>
      <w:r/>
      <w:bookmarkStart w:id="570" w:name="_Toc150480788"/>
      <w:r/>
      <w:bookmarkStart w:id="571" w:name="_Toc226337246"/>
      <w:r/>
      <w:bookmarkStart w:id="572" w:name="_Toc127151550"/>
      <w:r>
        <w:rPr>
          <w:color w:val="000000"/>
          <w:sz w:val="24"/>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采购人与成交供应商将在成交通知书发出之日起30日内，按照磋商文件确定的合同文本以及采购标的、规格型号、采购金额、采购数量、技术和服务要求等事项签订政府采购合同。</w:t>
      </w:r>
      <w:r>
        <w:rPr>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联合体获得成交资格的，联合体各方应当共同与采购人签订合同，就成交项目向采购人承担连带责任。</w:t>
      </w:r>
      <w:r>
        <w:rPr>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政府采购合同不能转包。</w:t>
      </w:r>
      <w:r>
        <w:rPr>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采购人允许采用分包方式履行合同的，成交供应商可以依法采取分包方式履行合同。本项目</w:t>
      </w:r>
      <w:r>
        <w:rPr>
          <w:rFonts w:hint="eastAsia"/>
          <w:color w:val="000000"/>
          <w:sz w:val="24"/>
        </w:rPr>
        <w:t xml:space="preserve">是</w:t>
      </w:r>
      <w:r>
        <w:rPr>
          <w:color w:val="000000"/>
          <w:sz w:val="24"/>
        </w:rPr>
        <w:t xml:space="preserve">否允许分包，见《供应商须知资料表》。政府采购合同分包履行的，应当在响应文件中载明分包承担主体，分包承担主体应当具备相应资质条件且不得再次分包，</w:t>
      </w:r>
      <w:r>
        <w:rPr>
          <w:b/>
          <w:color w:val="000000"/>
          <w:sz w:val="24"/>
        </w:rPr>
        <w:t xml:space="preserve">否则响应无效</w:t>
      </w:r>
      <w:r>
        <w:rPr>
          <w:color w:val="000000"/>
          <w:sz w:val="24"/>
        </w:rPr>
        <w:t xml:space="preserve">。成交供应商就采购项目和分包项目向采购人负责，分包供应商就分包项目承担责任。</w:t>
      </w:r>
      <w:r>
        <w:rPr>
          <w:color w:val="000000"/>
          <w:sz w:val="24"/>
        </w:rPr>
      </w:r>
      <w:r/>
    </w:p>
    <w:p>
      <w:pPr>
        <w:pStyle w:val="1147"/>
        <w:numPr>
          <w:ilvl w:val="0"/>
          <w:numId w:val="9"/>
        </w:numPr>
        <w:ind w:left="357" w:hanging="357"/>
        <w:spacing w:line="360" w:lineRule="auto"/>
        <w:tabs>
          <w:tab w:val="left" w:pos="360" w:leader="none"/>
          <w:tab w:val="left" w:pos="900" w:leader="none"/>
        </w:tabs>
        <w:rPr>
          <w:color w:val="000000"/>
          <w:sz w:val="24"/>
        </w:rPr>
        <w:outlineLvl w:val="1"/>
      </w:pPr>
      <w:r/>
      <w:bookmarkEnd w:id="515"/>
      <w:r/>
      <w:bookmarkEnd w:id="516"/>
      <w:r/>
      <w:bookmarkEnd w:id="517"/>
      <w:r>
        <w:rPr>
          <w:color w:val="000000"/>
          <w:sz w:val="24"/>
        </w:rPr>
        <w:t xml:space="preserve">询问与质疑</w:t>
      </w:r>
      <w:r>
        <w:rPr>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询问</w:t>
      </w:r>
      <w:r>
        <w:rPr>
          <w:color w:val="000000"/>
          <w:sz w:val="24"/>
        </w:rPr>
      </w:r>
      <w:r/>
    </w:p>
    <w:p>
      <w:pPr>
        <w:pStyle w:val="1147"/>
        <w:numPr>
          <w:ilvl w:val="2"/>
          <w:numId w:val="9"/>
        </w:numPr>
        <w:spacing w:line="360" w:lineRule="auto"/>
        <w:tabs>
          <w:tab w:val="left" w:pos="1980" w:leader="none"/>
        </w:tabs>
        <w:rPr>
          <w:color w:val="000000"/>
          <w:sz w:val="24"/>
        </w:rPr>
      </w:pPr>
      <w:r>
        <w:rPr>
          <w:color w:val="000000"/>
          <w:sz w:val="24"/>
        </w:rPr>
        <w:t xml:space="preserve">供应商对政府采购活动事项有疑问的，可依法提出询问，并按《供应商须知资料表》载明的形式送达采购人或采购代理机构。</w:t>
      </w:r>
      <w:r>
        <w:rPr>
          <w:color w:val="000000"/>
          <w:sz w:val="24"/>
        </w:rPr>
      </w:r>
      <w:r/>
    </w:p>
    <w:p>
      <w:pPr>
        <w:pStyle w:val="1147"/>
        <w:numPr>
          <w:ilvl w:val="2"/>
          <w:numId w:val="9"/>
        </w:numPr>
        <w:spacing w:line="360" w:lineRule="auto"/>
        <w:tabs>
          <w:tab w:val="left" w:pos="1980" w:leader="none"/>
        </w:tabs>
        <w:rPr>
          <w:color w:val="000000"/>
          <w:sz w:val="24"/>
        </w:rPr>
      </w:pPr>
      <w:r>
        <w:rPr>
          <w:color w:val="000000"/>
          <w:sz w:val="24"/>
        </w:rPr>
        <w:t xml:space="preserve">采购人或采购代理机构对供应商依法提出的询问，在3个工作日内作出答复，但答复的内容不得涉及商业秘密。</w:t>
      </w:r>
      <w:r>
        <w:rPr>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质疑</w:t>
      </w:r>
      <w:r>
        <w:rPr>
          <w:color w:val="000000"/>
          <w:sz w:val="24"/>
        </w:rPr>
      </w:r>
      <w:r/>
    </w:p>
    <w:p>
      <w:pPr>
        <w:pStyle w:val="1147"/>
        <w:numPr>
          <w:ilvl w:val="2"/>
          <w:numId w:val="9"/>
        </w:numPr>
        <w:spacing w:line="360" w:lineRule="auto"/>
        <w:tabs>
          <w:tab w:val="left" w:pos="1980" w:leader="none"/>
        </w:tabs>
        <w:rPr>
          <w:color w:val="000000"/>
          <w:sz w:val="24"/>
        </w:rPr>
      </w:pPr>
      <w:r>
        <w:rPr>
          <w:color w:val="000000"/>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000000"/>
          <w:sz w:val="24"/>
        </w:rPr>
      </w:r>
      <w:r/>
    </w:p>
    <w:p>
      <w:pPr>
        <w:pStyle w:val="1147"/>
        <w:numPr>
          <w:ilvl w:val="2"/>
          <w:numId w:val="9"/>
        </w:numPr>
        <w:spacing w:line="360" w:lineRule="auto"/>
        <w:tabs>
          <w:tab w:val="left" w:pos="1980" w:leader="none"/>
        </w:tabs>
        <w:rPr>
          <w:color w:val="000000"/>
          <w:sz w:val="24"/>
        </w:rPr>
      </w:pPr>
      <w:r>
        <w:rPr>
          <w:rFonts w:hint="eastAsia"/>
          <w:b/>
          <w:color w:val="000000"/>
          <w:sz w:val="24"/>
        </w:rPr>
        <w:t xml:space="preserve">磋商文件</w:t>
      </w:r>
      <w:r>
        <w:rPr>
          <w:rFonts w:hint="eastAsia" w:ascii="宋体" w:hAnsi="宋体"/>
          <w:b/>
          <w:color w:val="000000"/>
          <w:sz w:val="24"/>
        </w:rPr>
        <w:t xml:space="preserve">中采购需求以及相关部分（第四章、第五章以及供应商资格要求）由采购人负责制定和管理，对该部分内容有询问或者质疑的，供应商应当向采购人书面提出，由采购人负责接收和回复。</w:t>
      </w:r>
      <w:r>
        <w:rPr>
          <w:color w:val="000000"/>
          <w:sz w:val="24"/>
        </w:rPr>
      </w:r>
      <w:r/>
    </w:p>
    <w:p>
      <w:pPr>
        <w:pStyle w:val="1147"/>
        <w:numPr>
          <w:ilvl w:val="2"/>
          <w:numId w:val="9"/>
        </w:numPr>
        <w:spacing w:line="360" w:lineRule="auto"/>
        <w:tabs>
          <w:tab w:val="left" w:pos="1980" w:leader="none"/>
        </w:tabs>
        <w:rPr>
          <w:color w:val="000000"/>
          <w:sz w:val="24"/>
        </w:rPr>
      </w:pPr>
      <w:r>
        <w:rPr>
          <w:color w:val="000000"/>
          <w:sz w:val="24"/>
        </w:rPr>
        <w:t xml:space="preserve">质疑函须使用财政部制定的范本文件。</w:t>
      </w:r>
      <w:r>
        <w:rPr>
          <w:rFonts w:hint="eastAsia"/>
          <w:color w:val="000000"/>
          <w:sz w:val="24"/>
        </w:rPr>
        <w:t xml:space="preserve">（下载网址：</w:t>
      </w:r>
      <w:r>
        <w:rPr>
          <w:color w:val="000000"/>
        </w:rPr>
        <w:fldChar w:fldCharType="begin"/>
      </w:r>
      <w:r>
        <w:rPr>
          <w:color w:val="000000"/>
        </w:rPr>
        <w:instrText xml:space="preserve"> HYPERLINK "http://gks.mof.gov.cn/ztztz/zhengfucaigouguanli/201802/t20180201_2804589.htm" </w:instrText>
      </w:r>
      <w:r>
        <w:rPr>
          <w:color w:val="000000"/>
        </w:rPr>
        <w:fldChar w:fldCharType="separate"/>
      </w:r>
      <w:r>
        <w:rPr>
          <w:rStyle w:val="1222"/>
          <w:color w:val="000000"/>
        </w:rPr>
        <w:t xml:space="preserve">http://gk</w:t>
      </w:r>
      <w:bookmarkStart w:id="573" w:name="_Hlt100654014"/>
      <w:r>
        <w:rPr>
          <w:rStyle w:val="1222"/>
          <w:color w:val="000000"/>
        </w:rPr>
        <w:t xml:space="preserve">s</w:t>
      </w:r>
      <w:bookmarkEnd w:id="573"/>
      <w:r>
        <w:rPr>
          <w:rStyle w:val="1222"/>
          <w:color w:val="000000"/>
        </w:rPr>
        <w:t xml:space="preserve">.m</w:t>
      </w:r>
      <w:bookmarkStart w:id="574" w:name="_Hlt100653994"/>
      <w:r/>
      <w:bookmarkStart w:id="575" w:name="_Hlt100653993"/>
      <w:r>
        <w:rPr>
          <w:rStyle w:val="1222"/>
          <w:color w:val="000000"/>
        </w:rPr>
        <w:t xml:space="preserve">o</w:t>
      </w:r>
      <w:bookmarkEnd w:id="574"/>
      <w:r/>
      <w:bookmarkEnd w:id="575"/>
      <w:r/>
      <w:bookmarkStart w:id="576" w:name="_Hlt101169156"/>
      <w:r>
        <w:rPr>
          <w:rStyle w:val="1222"/>
          <w:color w:val="000000"/>
        </w:rPr>
        <w:t xml:space="preserve">f</w:t>
      </w:r>
      <w:bookmarkEnd w:id="576"/>
      <w:r>
        <w:rPr>
          <w:rStyle w:val="1222"/>
          <w:color w:val="000000"/>
        </w:rPr>
        <w:t xml:space="preserve">.gov.cn/ztztz/zhengfucaigouguanli/201802/t20180201_2804589.htm</w:t>
      </w:r>
      <w:r>
        <w:rPr>
          <w:color w:val="000000"/>
        </w:rPr>
        <w:fldChar w:fldCharType="end"/>
      </w:r>
      <w:r>
        <w:rPr>
          <w:rFonts w:hint="eastAsia"/>
          <w:color w:val="000000"/>
        </w:rPr>
        <w:t xml:space="preserve">）</w:t>
      </w:r>
      <w:r>
        <w:rPr>
          <w:color w:val="000000"/>
          <w:sz w:val="24"/>
        </w:rPr>
      </w:r>
      <w:r/>
    </w:p>
    <w:p>
      <w:pPr>
        <w:pStyle w:val="1147"/>
        <w:numPr>
          <w:ilvl w:val="2"/>
          <w:numId w:val="9"/>
        </w:numPr>
        <w:spacing w:line="360" w:lineRule="auto"/>
        <w:tabs>
          <w:tab w:val="left" w:pos="1980" w:leader="none"/>
        </w:tabs>
        <w:rPr>
          <w:color w:val="000000"/>
          <w:sz w:val="24"/>
        </w:rPr>
      </w:pPr>
      <w:r>
        <w:rPr>
          <w:color w:val="000000"/>
          <w:sz w:val="24"/>
        </w:rPr>
        <w:t xml:space="preserve">供应商为自然人的，应当由本人签字；供应商为法人或者其他组织的，应当由法定代表人、主要负责人，或者其授权代表签字或者盖章，并加盖公章。</w:t>
      </w:r>
      <w:r>
        <w:rPr>
          <w:color w:val="000000"/>
          <w:sz w:val="24"/>
        </w:rPr>
      </w:r>
      <w:r/>
    </w:p>
    <w:p>
      <w:pPr>
        <w:pStyle w:val="1147"/>
        <w:numPr>
          <w:ilvl w:val="2"/>
          <w:numId w:val="9"/>
        </w:numPr>
        <w:spacing w:line="360" w:lineRule="auto"/>
        <w:tabs>
          <w:tab w:val="left" w:pos="1980" w:leader="none"/>
        </w:tabs>
        <w:rPr>
          <w:color w:val="000000"/>
          <w:sz w:val="24"/>
        </w:rPr>
      </w:pPr>
      <w:r>
        <w:rPr>
          <w:color w:val="000000"/>
          <w:sz w:val="24"/>
        </w:rPr>
        <w:t xml:space="preserve">供应商应在法定质疑期内一次性提出针对同一采购程序环节的质疑，法定质疑期内针对同一采购程序环节再次提出的质疑，采购人、采购代理机构有权不予答复。</w:t>
      </w:r>
      <w:r>
        <w:rPr>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接收询问和质疑的联系部门、联系电话和通讯地址见《供应商须知资料表》</w:t>
      </w:r>
      <w:r>
        <w:rPr>
          <w:rFonts w:hint="eastAsia"/>
          <w:color w:val="000000"/>
          <w:sz w:val="24"/>
        </w:rPr>
        <w:t xml:space="preserve">。</w:t>
      </w:r>
      <w:r>
        <w:rPr>
          <w:color w:val="000000"/>
          <w:sz w:val="24"/>
        </w:rPr>
      </w:r>
      <w:r/>
    </w:p>
    <w:p>
      <w:pPr>
        <w:pStyle w:val="1147"/>
        <w:numPr>
          <w:ilvl w:val="0"/>
          <w:numId w:val="9"/>
        </w:numPr>
        <w:ind w:left="357" w:hanging="357"/>
        <w:spacing w:line="360" w:lineRule="auto"/>
        <w:tabs>
          <w:tab w:val="left" w:pos="360" w:leader="none"/>
          <w:tab w:val="left" w:pos="900" w:leader="none"/>
        </w:tabs>
        <w:rPr>
          <w:color w:val="000000"/>
          <w:sz w:val="24"/>
        </w:rPr>
        <w:outlineLvl w:val="1"/>
      </w:pPr>
      <w:r>
        <w:rPr>
          <w:color w:val="000000"/>
          <w:sz w:val="24"/>
        </w:rPr>
        <w:t xml:space="preserve">代理费</w:t>
      </w:r>
      <w:r>
        <w:rPr>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收费对象、收费标准及缴纳时间见《供应商须知资料表》。由成交供应商支付的，成交供应商须一次性向采购代理机构缴纳代理费，报价应包含代理费用。</w:t>
      </w:r>
      <w:r>
        <w:rPr>
          <w:color w:val="000000"/>
          <w:sz w:val="24"/>
        </w:rPr>
      </w:r>
      <w:r/>
    </w:p>
    <w:p>
      <w:pPr>
        <w:pStyle w:val="1147"/>
        <w:numPr>
          <w:ilvl w:val="1"/>
          <w:numId w:val="9"/>
        </w:numPr>
        <w:ind w:left="1077" w:hanging="720"/>
        <w:spacing w:line="360" w:lineRule="auto"/>
        <w:tabs>
          <w:tab w:val="left" w:pos="1080" w:leader="none"/>
          <w:tab w:val="left" w:pos="1589" w:leader="none"/>
          <w:tab w:val="left" w:pos="2014" w:leader="none"/>
        </w:tabs>
        <w:rPr>
          <w:color w:val="000000"/>
          <w:sz w:val="24"/>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bookmarkStart w:id="577" w:name="_Toc353873934"/>
      <w:r/>
      <w:bookmarkStart w:id="578" w:name="_Toc353873664"/>
      <w:r/>
      <w:bookmarkStart w:id="579" w:name="_Toc226965827"/>
      <w:r/>
      <w:bookmarkStart w:id="580" w:name="_Toc142311056"/>
      <w:r/>
      <w:bookmarkStart w:id="581" w:name="_Toc226337250"/>
      <w:r/>
      <w:bookmarkStart w:id="582" w:name="_Toc353825544"/>
      <w:r/>
      <w:bookmarkStart w:id="583" w:name="_Toc127151554"/>
      <w:r/>
      <w:bookmarkStart w:id="584" w:name="_Toc150480792"/>
      <w:r/>
      <w:bookmarkStart w:id="585" w:name="_Toc264969244"/>
      <w:r/>
      <w:bookmarkStart w:id="586" w:name="_Toc150774759"/>
      <w:r/>
      <w:bookmarkStart w:id="587" w:name="_Toc265228392"/>
      <w:r/>
      <w:bookmarkStart w:id="588" w:name="_Toc305158896"/>
      <w:r/>
      <w:bookmarkStart w:id="589" w:name="_Toc305158822"/>
      <w:r>
        <w:rPr>
          <w:color w:val="000000"/>
          <w:sz w:val="24"/>
        </w:rPr>
      </w:r>
      <w:r/>
    </w:p>
    <w:p>
      <w:pPr>
        <w:pStyle w:val="1147"/>
        <w:jc w:val="center"/>
        <w:spacing w:line="360" w:lineRule="auto"/>
        <w:rPr>
          <w:b/>
          <w:color w:val="000000"/>
          <w:sz w:val="36"/>
          <w:szCs w:val="36"/>
        </w:rPr>
        <w:outlineLvl w:val="0"/>
      </w:pPr>
      <w:r/>
      <w:bookmarkStart w:id="590" w:name="_Toc104818927"/>
      <w:r>
        <w:rPr>
          <w:b/>
          <w:color w:val="000000"/>
          <w:sz w:val="36"/>
          <w:szCs w:val="36"/>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b/>
          <w:color w:val="000000"/>
          <w:sz w:val="36"/>
          <w:szCs w:val="36"/>
        </w:rPr>
        <w:t xml:space="preserve">评审</w:t>
      </w:r>
      <w:r>
        <w:rPr>
          <w:rFonts w:hint="eastAsia"/>
          <w:b/>
          <w:color w:val="000000"/>
          <w:sz w:val="36"/>
          <w:szCs w:val="36"/>
        </w:rPr>
        <w:t xml:space="preserve">程序、评审</w:t>
      </w:r>
      <w:r>
        <w:rPr>
          <w:b/>
          <w:color w:val="000000"/>
          <w:sz w:val="36"/>
          <w:szCs w:val="36"/>
        </w:rPr>
        <w:t xml:space="preserve">方法和评审标准</w:t>
      </w:r>
      <w:bookmarkEnd w:id="590"/>
      <w:r/>
      <w:bookmarkStart w:id="591" w:name="_Toc487900382"/>
      <w:r>
        <w:rPr>
          <w:b/>
          <w:color w:val="000000"/>
          <w:sz w:val="36"/>
          <w:szCs w:val="36"/>
        </w:rPr>
      </w:r>
      <w:r/>
    </w:p>
    <w:p>
      <w:pPr>
        <w:pStyle w:val="1149"/>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一、</w:t>
      </w:r>
      <w:r>
        <w:rPr>
          <w:rFonts w:hint="eastAsia" w:ascii="Times New Roman" w:hAnsi="Times New Roman" w:eastAsia="宋体"/>
          <w:color w:val="000000"/>
          <w:sz w:val="24"/>
          <w:szCs w:val="24"/>
        </w:rPr>
        <w:t xml:space="preserve">评审</w:t>
      </w:r>
      <w:r>
        <w:rPr>
          <w:rFonts w:ascii="Times New Roman" w:hAnsi="Times New Roman" w:eastAsia="宋体"/>
          <w:color w:val="000000"/>
          <w:sz w:val="24"/>
          <w:szCs w:val="24"/>
        </w:rPr>
        <w:t xml:space="preserve">程序</w:t>
      </w:r>
      <w:r>
        <w:rPr>
          <w:rFonts w:ascii="Times New Roman" w:hAnsi="Times New Roman" w:eastAsia="宋体"/>
          <w:color w:val="000000"/>
          <w:sz w:val="24"/>
          <w:szCs w:val="24"/>
        </w:rPr>
      </w:r>
      <w:r/>
    </w:p>
    <w:p>
      <w:pPr>
        <w:pStyle w:val="1147"/>
        <w:jc w:val="left"/>
        <w:tabs>
          <w:tab w:val="left" w:pos="1080" w:leader="none"/>
        </w:tabs>
        <w:rPr>
          <w:b/>
          <w:color w:val="000000"/>
          <w:sz w:val="24"/>
        </w:rPr>
      </w:pPr>
      <w:r>
        <w:rPr>
          <w:b/>
          <w:color w:val="000000"/>
          <w:sz w:val="24"/>
        </w:rPr>
        <w:tab/>
      </w:r>
      <w:r>
        <w:rPr>
          <w:b/>
          <w:color w:val="000000"/>
          <w:sz w:val="24"/>
        </w:rPr>
      </w:r>
      <w:r/>
    </w:p>
    <w:p>
      <w:pPr>
        <w:pStyle w:val="1147"/>
        <w:numPr>
          <w:ilvl w:val="0"/>
          <w:numId w:val="12"/>
        </w:numPr>
        <w:spacing w:line="360" w:lineRule="auto"/>
        <w:tabs>
          <w:tab w:val="left" w:pos="360" w:leader="none"/>
          <w:tab w:val="left" w:pos="900" w:leader="none"/>
        </w:tabs>
        <w:rPr>
          <w:color w:val="000000"/>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bookmarkStart w:id="592" w:name="_Toc305158809"/>
      <w:r/>
      <w:bookmarkStart w:id="593" w:name="_Toc164608655"/>
      <w:r/>
      <w:bookmarkStart w:id="594" w:name="_Toc305158883"/>
      <w:r/>
      <w:bookmarkStart w:id="595" w:name="_Toc265228379"/>
      <w:r/>
      <w:bookmarkStart w:id="596" w:name="_Toc150480779"/>
      <w:r/>
      <w:bookmarkStart w:id="597" w:name="_Toc127161455"/>
      <w:r/>
      <w:bookmarkStart w:id="598" w:name="_Toc150774746"/>
      <w:r/>
      <w:bookmarkStart w:id="599" w:name="_Toc226965731"/>
      <w:r/>
      <w:bookmarkStart w:id="600" w:name="_Toc151193929"/>
      <w:r/>
      <w:bookmarkStart w:id="601" w:name="_Toc164351635"/>
      <w:r/>
      <w:bookmarkStart w:id="602" w:name="_Toc150774641"/>
      <w:r/>
      <w:bookmarkStart w:id="603" w:name="_Toc150509292"/>
      <w:r/>
      <w:bookmarkStart w:id="604" w:name="_Toc151193855"/>
      <w:r/>
      <w:bookmarkStart w:id="605" w:name="_Toc142311043"/>
      <w:r/>
      <w:bookmarkStart w:id="606" w:name="_Toc127151742"/>
      <w:r/>
      <w:bookmarkStart w:id="607" w:name="_Toc226309785"/>
      <w:r/>
      <w:bookmarkStart w:id="608" w:name="_Toc164608810"/>
      <w:r/>
      <w:bookmarkStart w:id="609" w:name="_Toc149720834"/>
      <w:r/>
      <w:bookmarkStart w:id="610" w:name="_Toc164229382"/>
      <w:r/>
      <w:bookmarkStart w:id="611" w:name="_Toc151193783"/>
      <w:r/>
      <w:bookmarkStart w:id="612" w:name="_Toc151190168"/>
      <w:r/>
      <w:bookmarkStart w:id="613" w:name="_Toc151193711"/>
      <w:r/>
      <w:bookmarkStart w:id="614" w:name="_Toc226337237"/>
      <w:r/>
      <w:bookmarkStart w:id="615" w:name="_Toc264969231"/>
      <w:r/>
      <w:bookmarkStart w:id="616" w:name="_Toc226965814"/>
      <w:r/>
      <w:bookmarkStart w:id="617" w:name="_Toc151193639"/>
      <w:r/>
      <w:bookmarkStart w:id="618" w:name="_Toc195842906"/>
      <w:r/>
      <w:bookmarkStart w:id="619" w:name="_Toc164229236"/>
      <w:r/>
      <w:bookmarkStart w:id="620" w:name="_Toc127151541"/>
      <w:r/>
      <w:bookmarkStart w:id="621" w:name="_Toc305158823"/>
      <w:r/>
      <w:bookmarkStart w:id="622" w:name="_Toc353873941"/>
      <w:r/>
      <w:bookmarkStart w:id="623" w:name="_Toc353825551"/>
      <w:r/>
      <w:bookmarkStart w:id="624" w:name="_Toc195842920"/>
      <w:r/>
      <w:bookmarkStart w:id="625" w:name="_Toc142311057"/>
      <w:r/>
      <w:bookmarkStart w:id="626" w:name="_Toc353825545"/>
      <w:r/>
      <w:bookmarkStart w:id="627" w:name="_Toc305158897"/>
      <w:r/>
      <w:bookmarkStart w:id="628" w:name="_Toc353873665"/>
      <w:r/>
      <w:bookmarkStart w:id="629" w:name="_Toc226965828"/>
      <w:r/>
      <w:bookmarkStart w:id="630" w:name="_Toc127151555"/>
      <w:r/>
      <w:bookmarkStart w:id="631" w:name="_Toc226337251"/>
      <w:r/>
      <w:bookmarkStart w:id="632" w:name="_Toc150774760"/>
      <w:r/>
      <w:bookmarkStart w:id="633" w:name="_Toc265228393"/>
      <w:r/>
      <w:bookmarkStart w:id="634" w:name="_Toc264969245"/>
      <w:r/>
      <w:bookmarkStart w:id="635" w:name="_Toc353873935"/>
      <w:r/>
      <w:bookmarkStart w:id="636" w:name="_Toc150480793"/>
      <w:r>
        <w:rPr>
          <w:color w:val="000000"/>
          <w:sz w:val="24"/>
        </w:rPr>
        <w:t xml:space="preserve">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color w:val="000000"/>
          <w:sz w:val="24"/>
        </w:rPr>
        <w:t xml:space="preserve">资格性检查和符合性审查</w:t>
      </w:r>
      <w:r>
        <w:rPr>
          <w:color w:val="000000"/>
          <w:sz w:val="24"/>
        </w:rPr>
      </w:r>
      <w:r/>
    </w:p>
    <w:p>
      <w:pPr>
        <w:pStyle w:val="1147"/>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sz w:val="24"/>
        </w:rPr>
        <w:t xml:space="preserve">无效响应</w:t>
      </w:r>
      <w:r>
        <w:rPr>
          <w:color w:val="000000"/>
          <w:sz w:val="24"/>
        </w:rPr>
        <w:t xml:space="preserve">处理，磋商小组应当告知提交响应文件的供应商。</w:t>
      </w:r>
      <w:r>
        <w:rPr>
          <w:color w:val="000000"/>
          <w:sz w:val="24"/>
        </w:rPr>
      </w:r>
      <w:r/>
    </w:p>
    <w:p>
      <w:pPr>
        <w:pStyle w:val="1147"/>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《资格性检查要求》中对格式有要求的，除竞争性磋商文件另有规定外，均为“实质性格式”文件。</w:t>
      </w:r>
      <w:r>
        <w:rPr>
          <w:color w:val="000000"/>
          <w:sz w:val="24"/>
        </w:rPr>
      </w:r>
      <w:r/>
    </w:p>
    <w:p>
      <w:pPr>
        <w:pStyle w:val="1147"/>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《资格性检查要求》见下表：</w:t>
      </w:r>
      <w:r>
        <w:rPr>
          <w:color w:val="000000"/>
          <w:sz w:val="24"/>
        </w:rPr>
      </w:r>
      <w:r/>
    </w:p>
    <w:p>
      <w:pPr>
        <w:pStyle w:val="1147"/>
        <w:ind w:left="1077" w:firstLine="2650"/>
        <w:spacing w:line="360" w:lineRule="auto"/>
        <w:tabs>
          <w:tab w:val="left" w:pos="900" w:leader="none"/>
          <w:tab w:val="left" w:pos="1080" w:leader="none"/>
        </w:tabs>
        <w:rPr>
          <w:b/>
          <w:color w:val="000000"/>
          <w:sz w:val="24"/>
        </w:rPr>
      </w:pPr>
      <w:r>
        <w:rPr>
          <w:b/>
          <w:color w:val="000000"/>
          <w:sz w:val="24"/>
        </w:rPr>
        <w:t xml:space="preserve">资格性检查要求</w:t>
      </w:r>
      <w:r>
        <w:rPr>
          <w:b/>
          <w:color w:val="000000"/>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885"/>
        <w:gridCol w:w="4898"/>
        <w:gridCol w:w="1807"/>
      </w:tblGrid>
      <w:tr>
        <w:trPr>
          <w:cantSplit/>
          <w:trHeight w:val="20"/>
          <w:tblHeader/>
        </w:trPr>
        <w:tc>
          <w:tcPr>
            <w:tcW w:w="375" w:type="dxa"/>
            <w:vAlign w:val="center"/>
            <w:textDirection w:val="lrTb"/>
            <w:noWrap w:val="false"/>
          </w:tcPr>
          <w:p>
            <w:pPr>
              <w:pStyle w:val="1147"/>
              <w:jc w:val="center"/>
              <w:tabs>
                <w:tab w:val="left" w:pos="1080" w:leader="none"/>
              </w:tabs>
              <w:rPr>
                <w:b/>
                <w:color w:val="000000"/>
                <w:sz w:val="24"/>
              </w:rPr>
            </w:pPr>
            <w:r/>
            <w:bookmarkStart w:id="637" w:name="_Hlt487972895"/>
            <w:r/>
            <w:bookmarkEnd w:id="637"/>
            <w:r>
              <w:rPr>
                <w:b/>
                <w:color w:val="000000"/>
                <w:sz w:val="24"/>
              </w:rPr>
              <w:t xml:space="preserve">序号</w:t>
            </w:r>
            <w:r>
              <w:rPr>
                <w:b/>
                <w:color w:val="000000"/>
                <w:sz w:val="24"/>
              </w:rPr>
            </w:r>
            <w:r/>
          </w:p>
        </w:tc>
        <w:tc>
          <w:tcPr>
            <w:tcW w:w="1014" w:type="dxa"/>
            <w:vAlign w:val="center"/>
            <w:textDirection w:val="lrTb"/>
            <w:noWrap w:val="false"/>
          </w:tcPr>
          <w:p>
            <w:pPr>
              <w:pStyle w:val="1147"/>
              <w:jc w:val="center"/>
              <w:tabs>
                <w:tab w:val="left" w:pos="1080" w:leader="none"/>
              </w:tabs>
              <w:rPr>
                <w:b/>
                <w:color w:val="000000"/>
                <w:sz w:val="24"/>
              </w:rPr>
            </w:pPr>
            <w:r>
              <w:rPr>
                <w:b/>
                <w:color w:val="000000"/>
                <w:sz w:val="24"/>
              </w:rPr>
              <w:t xml:space="preserve">审查因素</w:t>
            </w:r>
            <w:r>
              <w:rPr>
                <w:b/>
                <w:color w:val="000000"/>
                <w:sz w:val="24"/>
              </w:rPr>
            </w:r>
            <w:r/>
          </w:p>
        </w:tc>
        <w:tc>
          <w:tcPr>
            <w:tcW w:w="2636" w:type="dxa"/>
            <w:vAlign w:val="center"/>
            <w:textDirection w:val="lrTb"/>
            <w:noWrap w:val="false"/>
          </w:tcPr>
          <w:p>
            <w:pPr>
              <w:pStyle w:val="1147"/>
              <w:jc w:val="center"/>
              <w:tabs>
                <w:tab w:val="left" w:pos="1080" w:leader="none"/>
              </w:tabs>
              <w:rPr>
                <w:b/>
                <w:color w:val="000000"/>
                <w:sz w:val="24"/>
              </w:rPr>
            </w:pPr>
            <w:r>
              <w:rPr>
                <w:b/>
                <w:color w:val="000000"/>
                <w:sz w:val="24"/>
              </w:rPr>
              <w:t xml:space="preserve">审查内容</w:t>
            </w:r>
            <w:r>
              <w:rPr>
                <w:b/>
                <w:color w:val="000000"/>
                <w:sz w:val="24"/>
              </w:rPr>
            </w:r>
            <w:r/>
          </w:p>
        </w:tc>
        <w:tc>
          <w:tcPr>
            <w:tcW w:w="973" w:type="dxa"/>
            <w:vAlign w:val="center"/>
            <w:textDirection w:val="lrTb"/>
            <w:noWrap w:val="false"/>
          </w:tcPr>
          <w:p>
            <w:pPr>
              <w:pStyle w:val="1147"/>
              <w:jc w:val="center"/>
              <w:tabs>
                <w:tab w:val="left" w:pos="1080" w:leader="none"/>
              </w:tabs>
              <w:rPr>
                <w:b/>
                <w:color w:val="000000"/>
                <w:sz w:val="24"/>
              </w:rPr>
            </w:pPr>
            <w:r>
              <w:rPr>
                <w:b/>
                <w:color w:val="000000"/>
                <w:sz w:val="24"/>
              </w:rPr>
              <w:t xml:space="preserve">格式要求</w:t>
            </w:r>
            <w:r>
              <w:rPr>
                <w:b/>
                <w:color w:val="000000"/>
                <w:sz w:val="24"/>
              </w:rPr>
            </w:r>
            <w:r/>
          </w:p>
        </w:tc>
      </w:tr>
      <w:tr>
        <w:trPr>
          <w:cantSplit/>
          <w:trHeight w:val="20"/>
        </w:trPr>
        <w:tc>
          <w:tcPr>
            <w:tcW w:w="375" w:type="dxa"/>
            <w:vAlign w:val="center"/>
            <w:textDirection w:val="lrTb"/>
            <w:noWrap w:val="false"/>
          </w:tcPr>
          <w:p>
            <w:pPr>
              <w:pStyle w:val="1147"/>
              <w:jc w:val="center"/>
              <w:tabs>
                <w:tab w:val="left" w:pos="1080" w:leader="none"/>
              </w:tabs>
              <w:rPr>
                <w:color w:val="000000"/>
                <w:sz w:val="24"/>
              </w:rPr>
            </w:pPr>
            <w:r>
              <w:rPr>
                <w:color w:val="000000"/>
                <w:sz w:val="24"/>
              </w:rPr>
              <w:t xml:space="preserve">1</w:t>
            </w:r>
            <w:r>
              <w:rPr>
                <w:color w:val="000000"/>
                <w:sz w:val="24"/>
              </w:rPr>
            </w:r>
            <w:r/>
          </w:p>
        </w:tc>
        <w:tc>
          <w:tcPr>
            <w:tcW w:w="1014" w:type="dxa"/>
            <w:vAlign w:val="center"/>
            <w:textDirection w:val="lrTb"/>
            <w:noWrap w:val="false"/>
          </w:tcPr>
          <w:p>
            <w:pPr>
              <w:pStyle w:val="1147"/>
              <w:tabs>
                <w:tab w:val="left" w:pos="1080" w:leader="none"/>
              </w:tabs>
              <w:rPr>
                <w:color w:val="000000"/>
                <w:sz w:val="24"/>
              </w:rPr>
            </w:pPr>
            <w:r>
              <w:rPr>
                <w:color w:val="000000"/>
                <w:sz w:val="24"/>
              </w:rPr>
              <w:t xml:space="preserve">满足《中华人民共和国政府采购法》第二十二条规定及法律法规的其他规定</w:t>
            </w:r>
            <w:r>
              <w:rPr>
                <w:color w:val="000000"/>
                <w:sz w:val="24"/>
              </w:rPr>
            </w:r>
            <w:r/>
          </w:p>
        </w:tc>
        <w:tc>
          <w:tcPr>
            <w:tcW w:w="2636" w:type="dxa"/>
            <w:vAlign w:val="center"/>
            <w:textDirection w:val="lrTb"/>
            <w:noWrap w:val="false"/>
          </w:tcPr>
          <w:p>
            <w:pPr>
              <w:pStyle w:val="1147"/>
              <w:tabs>
                <w:tab w:val="left" w:pos="1080" w:leader="none"/>
              </w:tabs>
              <w:rPr>
                <w:color w:val="000000"/>
                <w:sz w:val="24"/>
              </w:rPr>
            </w:pPr>
            <w:r>
              <w:rPr>
                <w:color w:val="000000"/>
                <w:sz w:val="24"/>
              </w:rPr>
              <w:t xml:space="preserve">具体规定见第一章《采购邀请》</w:t>
            </w:r>
            <w:r>
              <w:rPr>
                <w:color w:val="000000"/>
                <w:sz w:val="24"/>
              </w:rPr>
            </w:r>
            <w:r/>
          </w:p>
        </w:tc>
        <w:tc>
          <w:tcPr>
            <w:tcW w:w="973" w:type="dxa"/>
            <w:vAlign w:val="center"/>
            <w:textDirection w:val="lrTb"/>
            <w:noWrap w:val="false"/>
          </w:tcPr>
          <w:p>
            <w:pPr>
              <w:pStyle w:val="1147"/>
              <w:tabs>
                <w:tab w:val="left" w:pos="1080" w:leader="none"/>
              </w:tabs>
              <w:rPr>
                <w:color w:val="000000"/>
                <w:sz w:val="24"/>
              </w:rPr>
            </w:pPr>
            <w:r>
              <w:rPr>
                <w:color w:val="000000"/>
                <w:sz w:val="24"/>
              </w:rPr>
            </w:r>
            <w:r/>
          </w:p>
        </w:tc>
      </w:tr>
      <w:tr>
        <w:trPr>
          <w:cantSplit/>
          <w:trHeight w:val="468"/>
        </w:trPr>
        <w:tc>
          <w:tcPr>
            <w:tcW w:w="375" w:type="dxa"/>
            <w:vAlign w:val="center"/>
            <w:textDirection w:val="lrTb"/>
            <w:noWrap w:val="false"/>
          </w:tcPr>
          <w:p>
            <w:pPr>
              <w:pStyle w:val="1147"/>
              <w:jc w:val="center"/>
              <w:tabs>
                <w:tab w:val="left" w:pos="1080" w:leader="none"/>
              </w:tabs>
              <w:rPr>
                <w:color w:val="000000"/>
                <w:sz w:val="24"/>
              </w:rPr>
            </w:pPr>
            <w:r>
              <w:rPr>
                <w:color w:val="000000"/>
                <w:sz w:val="24"/>
              </w:rPr>
              <w:t xml:space="preserve">1-1</w:t>
            </w:r>
            <w:r>
              <w:rPr>
                <w:color w:val="000000"/>
                <w:sz w:val="24"/>
              </w:rPr>
            </w:r>
            <w:r/>
          </w:p>
        </w:tc>
        <w:tc>
          <w:tcPr>
            <w:tcW w:w="1014" w:type="dxa"/>
            <w:vAlign w:val="center"/>
            <w:textDirection w:val="lrTb"/>
            <w:noWrap w:val="false"/>
          </w:tcPr>
          <w:p>
            <w:pPr>
              <w:pStyle w:val="1147"/>
              <w:tabs>
                <w:tab w:val="left" w:pos="1080" w:leader="none"/>
              </w:tabs>
              <w:rPr>
                <w:color w:val="000000"/>
                <w:sz w:val="24"/>
              </w:rPr>
            </w:pPr>
            <w:r>
              <w:rPr>
                <w:rFonts w:hint="eastAsia"/>
                <w:color w:val="000000"/>
                <w:sz w:val="24"/>
              </w:rPr>
              <w:t xml:space="preserve">供应商资格声明函</w:t>
            </w:r>
            <w:r>
              <w:rPr>
                <w:color w:val="000000"/>
                <w:sz w:val="24"/>
              </w:rPr>
            </w:r>
            <w:r/>
          </w:p>
        </w:tc>
        <w:tc>
          <w:tcPr>
            <w:tcW w:w="2636" w:type="dxa"/>
            <w:vAlign w:val="center"/>
            <w:textDirection w:val="lrTb"/>
            <w:noWrap w:val="false"/>
          </w:tcPr>
          <w:p>
            <w:pPr>
              <w:pStyle w:val="1147"/>
              <w:tabs>
                <w:tab w:val="left" w:pos="1080" w:leader="none"/>
              </w:tabs>
              <w:rPr>
                <w:color w:val="000000"/>
                <w:sz w:val="24"/>
              </w:rPr>
            </w:pPr>
            <w:r>
              <w:rPr>
                <w:color w:val="000000"/>
                <w:sz w:val="24"/>
              </w:rPr>
              <w:t xml:space="preserve">提供了符合</w:t>
            </w:r>
            <w:r>
              <w:rPr>
                <w:rFonts w:hint="eastAsia"/>
                <w:color w:val="000000"/>
                <w:sz w:val="24"/>
              </w:rPr>
              <w:t xml:space="preserve">采购</w:t>
            </w:r>
            <w:r>
              <w:rPr>
                <w:color w:val="000000"/>
                <w:sz w:val="24"/>
              </w:rPr>
              <w:t xml:space="preserve">文件要求的《</w:t>
            </w:r>
            <w:r>
              <w:rPr>
                <w:rFonts w:hint="eastAsia"/>
                <w:color w:val="000000"/>
                <w:sz w:val="24"/>
              </w:rPr>
              <w:t xml:space="preserve">供应商资格声明函</w:t>
            </w:r>
            <w:r>
              <w:rPr>
                <w:color w:val="000000"/>
                <w:sz w:val="24"/>
              </w:rPr>
              <w:t xml:space="preserve">》。</w:t>
            </w:r>
            <w:r>
              <w:rPr>
                <w:color w:val="000000"/>
                <w:sz w:val="24"/>
              </w:rPr>
            </w:r>
            <w:r/>
          </w:p>
        </w:tc>
        <w:tc>
          <w:tcPr>
            <w:tcW w:w="973" w:type="dxa"/>
            <w:vAlign w:val="center"/>
            <w:textDirection w:val="lrTb"/>
            <w:noWrap w:val="false"/>
          </w:tcPr>
          <w:p>
            <w:pPr>
              <w:pStyle w:val="1147"/>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rPr>
                <w:color w:val="000000"/>
                <w:sz w:val="24"/>
              </w:rPr>
            </w:r>
            <w:r/>
          </w:p>
        </w:tc>
      </w:tr>
      <w:tr>
        <w:trPr>
          <w:cantSplit/>
          <w:trHeight w:val="20"/>
        </w:trPr>
        <w:tc>
          <w:tcPr>
            <w:tcW w:w="375" w:type="dxa"/>
            <w:vAlign w:val="center"/>
            <w:textDirection w:val="lrTb"/>
            <w:noWrap w:val="false"/>
          </w:tcPr>
          <w:p>
            <w:pPr>
              <w:pStyle w:val="1147"/>
              <w:jc w:val="center"/>
              <w:tabs>
                <w:tab w:val="left" w:pos="1080" w:leader="none"/>
              </w:tabs>
              <w:rPr>
                <w:color w:val="000000"/>
                <w:sz w:val="24"/>
              </w:rPr>
            </w:pPr>
            <w:r>
              <w:rPr>
                <w:rFonts w:hint="eastAsia"/>
                <w:color w:val="000000"/>
                <w:sz w:val="24"/>
              </w:rPr>
              <w:t xml:space="preserve">1</w:t>
            </w:r>
            <w:r>
              <w:rPr>
                <w:color w:val="000000"/>
                <w:sz w:val="24"/>
              </w:rPr>
              <w:t xml:space="preserve">-</w:t>
            </w:r>
            <w:r>
              <w:rPr>
                <w:rFonts w:hint="eastAsia"/>
                <w:color w:val="000000"/>
                <w:sz w:val="24"/>
              </w:rPr>
              <w:t xml:space="preserve">2</w:t>
            </w:r>
            <w:r>
              <w:rPr>
                <w:color w:val="000000"/>
                <w:sz w:val="24"/>
              </w:rPr>
            </w:r>
            <w:r/>
          </w:p>
        </w:tc>
        <w:tc>
          <w:tcPr>
            <w:tcW w:w="1014" w:type="dxa"/>
            <w:vAlign w:val="center"/>
            <w:textDirection w:val="lrTb"/>
            <w:noWrap w:val="false"/>
          </w:tcPr>
          <w:p>
            <w:pPr>
              <w:pStyle w:val="1147"/>
              <w:tabs>
                <w:tab w:val="left" w:pos="1080" w:leader="none"/>
              </w:tabs>
              <w:rPr>
                <w:color w:val="000000"/>
                <w:sz w:val="24"/>
              </w:rPr>
            </w:pPr>
            <w:r>
              <w:rPr>
                <w:color w:val="000000"/>
                <w:sz w:val="24"/>
              </w:rPr>
              <w:t xml:space="preserve">供应商信用记录</w:t>
            </w:r>
            <w:r>
              <w:rPr>
                <w:color w:val="000000"/>
                <w:sz w:val="24"/>
              </w:rPr>
            </w:r>
            <w:r/>
          </w:p>
        </w:tc>
        <w:tc>
          <w:tcPr>
            <w:tcW w:w="2636" w:type="dxa"/>
            <w:vAlign w:val="center"/>
            <w:textDirection w:val="lrTb"/>
            <w:noWrap w:val="false"/>
          </w:tcPr>
          <w:p>
            <w:pPr>
              <w:pStyle w:val="1147"/>
              <w:tabs>
                <w:tab w:val="left" w:pos="900" w:leader="none"/>
                <w:tab w:val="left" w:pos="1980" w:leader="none"/>
              </w:tabs>
              <w:rPr>
                <w:color w:val="000000"/>
                <w:sz w:val="24"/>
              </w:rPr>
            </w:pPr>
            <w:r>
              <w:rPr>
                <w:color w:val="000000"/>
                <w:sz w:val="24"/>
              </w:rPr>
              <w:t xml:space="preserve">查询渠道：信用中国网站和中国政府采购网（www.creditchina.gov.cn、www.ccgp.gov.cn）；</w:t>
            </w:r>
            <w:r>
              <w:rPr>
                <w:color w:val="000000"/>
                <w:sz w:val="24"/>
              </w:rPr>
            </w:r>
            <w:r/>
          </w:p>
          <w:p>
            <w:pPr>
              <w:pStyle w:val="1147"/>
              <w:tabs>
                <w:tab w:val="left" w:pos="900" w:leader="none"/>
                <w:tab w:val="left" w:pos="1980" w:leader="none"/>
              </w:tabs>
              <w:rPr>
                <w:color w:val="000000"/>
                <w:sz w:val="24"/>
              </w:rPr>
            </w:pPr>
            <w:r>
              <w:rPr>
                <w:color w:val="000000"/>
                <w:sz w:val="24"/>
              </w:rPr>
              <w:t xml:space="preserve">截止时点：提交响应文件截止时间以后、</w:t>
            </w:r>
            <w:r>
              <w:rPr>
                <w:rFonts w:hint="eastAsia"/>
                <w:color w:val="000000"/>
                <w:sz w:val="24"/>
              </w:rPr>
              <w:t xml:space="preserve">资格审查阶段采购人或采购代理机构</w:t>
            </w:r>
            <w:r>
              <w:rPr>
                <w:color w:val="000000"/>
                <w:sz w:val="24"/>
              </w:rPr>
              <w:t xml:space="preserve">的实际查询时间；</w:t>
            </w:r>
            <w:r>
              <w:rPr>
                <w:color w:val="000000"/>
                <w:sz w:val="24"/>
              </w:rPr>
            </w:r>
            <w:r/>
          </w:p>
          <w:p>
            <w:pPr>
              <w:pStyle w:val="1147"/>
              <w:tabs>
                <w:tab w:val="left" w:pos="900" w:leader="none"/>
                <w:tab w:val="left" w:pos="1980" w:leader="none"/>
              </w:tabs>
              <w:rPr>
                <w:color w:val="000000"/>
                <w:sz w:val="24"/>
              </w:rPr>
            </w:pPr>
            <w:r>
              <w:rPr>
                <w:color w:val="000000"/>
                <w:sz w:val="24"/>
              </w:rPr>
              <w:t xml:space="preserve">信用信息查询记录和证据留存具体方式：查询结果网页打印页作为查询记录和证据，与其他采购文件一并保存；</w:t>
            </w:r>
            <w:r>
              <w:rPr>
                <w:color w:val="000000"/>
                <w:sz w:val="24"/>
              </w:rPr>
            </w:r>
            <w:r/>
          </w:p>
          <w:p>
            <w:pPr>
              <w:pStyle w:val="1147"/>
              <w:tabs>
                <w:tab w:val="left" w:pos="1080" w:leader="none"/>
              </w:tabs>
              <w:rPr>
                <w:color w:val="000000"/>
                <w:sz w:val="24"/>
              </w:rPr>
            </w:pPr>
            <w:r>
              <w:rPr>
                <w:color w:val="000000"/>
                <w:sz w:val="24"/>
              </w:rPr>
              <w:t xml:space="preserve">信用信息的使用原则：经认定的被列入失信被执行人、重大税收违法案件当事人名单、政府采购严重违法失信行为记录名单的供应商，其</w:t>
            </w:r>
            <w:r>
              <w:rPr>
                <w:b/>
                <w:color w:val="000000"/>
                <w:sz w:val="24"/>
              </w:rPr>
              <w:t xml:space="preserve">响应无效</w:t>
            </w:r>
            <w:r>
              <w:rPr>
                <w:color w:val="000000"/>
                <w:sz w:val="24"/>
              </w:rPr>
              <w:t xml:space="preserve">。联合体形式响应的，联合体成员存在不良信用记录，视同联合体存在不良信用记录。</w:t>
            </w:r>
            <w:r>
              <w:rPr>
                <w:color w:val="000000"/>
                <w:sz w:val="24"/>
              </w:rPr>
            </w:r>
            <w:r/>
          </w:p>
        </w:tc>
        <w:tc>
          <w:tcPr>
            <w:tcW w:w="973" w:type="dxa"/>
            <w:vAlign w:val="center"/>
            <w:textDirection w:val="lrTb"/>
            <w:noWrap w:val="false"/>
          </w:tcPr>
          <w:p>
            <w:pPr>
              <w:pStyle w:val="1147"/>
              <w:tabs>
                <w:tab w:val="left" w:pos="1080" w:leader="none"/>
              </w:tabs>
              <w:rPr>
                <w:color w:val="000000"/>
                <w:sz w:val="24"/>
              </w:rPr>
            </w:pPr>
            <w:r>
              <w:rPr>
                <w:color w:val="000000"/>
                <w:sz w:val="24"/>
              </w:rPr>
              <w:t xml:space="preserve">无须供应商提供，由采购人查询。</w:t>
            </w:r>
            <w:r>
              <w:rPr>
                <w:color w:val="000000"/>
                <w:sz w:val="24"/>
              </w:rPr>
            </w:r>
            <w:r/>
          </w:p>
        </w:tc>
      </w:tr>
      <w:tr>
        <w:trPr>
          <w:cantSplit/>
          <w:trHeight w:val="20"/>
        </w:trPr>
        <w:tc>
          <w:tcPr>
            <w:tcW w:w="375" w:type="dxa"/>
            <w:vAlign w:val="center"/>
            <w:textDirection w:val="lrTb"/>
            <w:noWrap w:val="false"/>
          </w:tcPr>
          <w:p>
            <w:pPr>
              <w:pStyle w:val="1147"/>
              <w:jc w:val="center"/>
              <w:tabs>
                <w:tab w:val="left" w:pos="1080" w:leader="none"/>
              </w:tabs>
              <w:rPr>
                <w:color w:val="000000"/>
                <w:sz w:val="24"/>
              </w:rPr>
            </w:pPr>
            <w:r>
              <w:rPr>
                <w:color w:val="000000"/>
                <w:sz w:val="24"/>
              </w:rPr>
              <w:t xml:space="preserve">2</w:t>
            </w:r>
            <w:r>
              <w:rPr>
                <w:color w:val="000000"/>
                <w:sz w:val="24"/>
              </w:rPr>
            </w:r>
            <w:r/>
          </w:p>
        </w:tc>
        <w:tc>
          <w:tcPr>
            <w:tcW w:w="1014" w:type="dxa"/>
            <w:vAlign w:val="center"/>
            <w:textDirection w:val="lrTb"/>
            <w:noWrap w:val="false"/>
          </w:tcPr>
          <w:p>
            <w:pPr>
              <w:pStyle w:val="1147"/>
              <w:tabs>
                <w:tab w:val="left" w:pos="1080" w:leader="none"/>
              </w:tabs>
              <w:rPr>
                <w:color w:val="000000"/>
                <w:sz w:val="24"/>
              </w:rPr>
            </w:pPr>
            <w:r>
              <w:rPr>
                <w:color w:val="000000"/>
                <w:sz w:val="24"/>
              </w:rPr>
              <w:t xml:space="preserve">落实政府采购政策需满足的资格要求</w:t>
            </w:r>
            <w:r>
              <w:rPr>
                <w:color w:val="000000"/>
                <w:sz w:val="24"/>
              </w:rPr>
            </w:r>
            <w:r/>
          </w:p>
        </w:tc>
        <w:tc>
          <w:tcPr>
            <w:tcW w:w="2636" w:type="dxa"/>
            <w:vAlign w:val="center"/>
            <w:textDirection w:val="lrTb"/>
            <w:noWrap w:val="false"/>
          </w:tcPr>
          <w:p>
            <w:pPr>
              <w:pStyle w:val="1147"/>
              <w:tabs>
                <w:tab w:val="left" w:pos="1080" w:leader="none"/>
              </w:tabs>
              <w:rPr>
                <w:color w:val="000000"/>
                <w:sz w:val="24"/>
              </w:rPr>
            </w:pPr>
            <w:r>
              <w:rPr>
                <w:color w:val="000000"/>
                <w:sz w:val="24"/>
              </w:rPr>
              <w:t xml:space="preserve">具体要求见第一章《采购邀请》</w:t>
            </w:r>
            <w:r>
              <w:rPr>
                <w:color w:val="000000"/>
                <w:sz w:val="24"/>
              </w:rPr>
            </w:r>
            <w:r/>
          </w:p>
        </w:tc>
        <w:tc>
          <w:tcPr>
            <w:tcW w:w="973" w:type="dxa"/>
            <w:vAlign w:val="center"/>
            <w:textDirection w:val="lrTb"/>
            <w:noWrap w:val="false"/>
          </w:tcPr>
          <w:p>
            <w:pPr>
              <w:pStyle w:val="1147"/>
              <w:tabs>
                <w:tab w:val="left" w:pos="1080" w:leader="none"/>
              </w:tabs>
              <w:rPr>
                <w:color w:val="000000"/>
                <w:sz w:val="24"/>
              </w:rPr>
            </w:pPr>
            <w:r>
              <w:rPr>
                <w:color w:val="000000"/>
                <w:sz w:val="24"/>
              </w:rPr>
            </w:r>
            <w:r/>
          </w:p>
        </w:tc>
      </w:tr>
      <w:tr>
        <w:trPr>
          <w:cantSplit/>
          <w:trHeight w:val="20"/>
        </w:trPr>
        <w:tc>
          <w:tcPr>
            <w:tcW w:w="375" w:type="dxa"/>
            <w:vAlign w:val="center"/>
            <w:textDirection w:val="lrTb"/>
            <w:noWrap w:val="false"/>
          </w:tcPr>
          <w:p>
            <w:pPr>
              <w:pStyle w:val="1147"/>
              <w:jc w:val="center"/>
              <w:tabs>
                <w:tab w:val="left" w:pos="1080" w:leader="none"/>
              </w:tabs>
              <w:rPr>
                <w:color w:val="000000"/>
                <w:sz w:val="24"/>
              </w:rPr>
            </w:pPr>
            <w:r>
              <w:rPr>
                <w:color w:val="000000"/>
                <w:sz w:val="24"/>
              </w:rPr>
              <w:t xml:space="preserve">2-1</w:t>
            </w:r>
            <w:r>
              <w:rPr>
                <w:color w:val="000000"/>
                <w:sz w:val="24"/>
              </w:rPr>
            </w:r>
            <w:r/>
          </w:p>
        </w:tc>
        <w:tc>
          <w:tcPr>
            <w:tcW w:w="1014" w:type="dxa"/>
            <w:vAlign w:val="center"/>
            <w:textDirection w:val="lrTb"/>
            <w:noWrap w:val="false"/>
          </w:tcPr>
          <w:p>
            <w:pPr>
              <w:pStyle w:val="1147"/>
              <w:tabs>
                <w:tab w:val="left" w:pos="1080" w:leader="none"/>
              </w:tabs>
              <w:rPr>
                <w:color w:val="000000"/>
                <w:sz w:val="24"/>
              </w:rPr>
            </w:pPr>
            <w:r>
              <w:rPr>
                <w:color w:val="000000"/>
                <w:sz w:val="24"/>
              </w:rPr>
              <w:t xml:space="preserve">中小企业声明函</w:t>
            </w:r>
            <w:r>
              <w:rPr>
                <w:color w:val="000000"/>
                <w:sz w:val="24"/>
              </w:rPr>
            </w:r>
            <w:r/>
          </w:p>
        </w:tc>
        <w:tc>
          <w:tcPr>
            <w:tcW w:w="2636" w:type="dxa"/>
            <w:vAlign w:val="center"/>
            <w:textDirection w:val="lrTb"/>
            <w:noWrap w:val="false"/>
          </w:tcPr>
          <w:p>
            <w:pPr>
              <w:pStyle w:val="1147"/>
              <w:tabs>
                <w:tab w:val="left" w:pos="1080" w:leader="none"/>
              </w:tabs>
              <w:rPr>
                <w:color w:val="000000"/>
                <w:sz w:val="24"/>
              </w:rPr>
            </w:pPr>
            <w:r>
              <w:rPr>
                <w:rFonts w:hint="eastAsia"/>
                <w:color w:val="000000"/>
                <w:sz w:val="24"/>
              </w:rPr>
              <w:t xml:space="preserve">1、供应商单独参与磋商的，应提供中小企业声明函；如为监狱企业或残疾人福利性单位，不必提供中小企业声明函，但须按注1或注2要求提供证明材料。</w:t>
            </w:r>
            <w:r>
              <w:rPr>
                <w:color w:val="000000"/>
                <w:sz w:val="24"/>
              </w:rPr>
            </w:r>
            <w:r/>
          </w:p>
          <w:p>
            <w:pPr>
              <w:pStyle w:val="1147"/>
              <w:tabs>
                <w:tab w:val="left" w:pos="1080" w:leader="none"/>
              </w:tabs>
              <w:rPr>
                <w:color w:val="000000"/>
                <w:sz w:val="24"/>
              </w:rPr>
            </w:pPr>
            <w:r>
              <w:rPr>
                <w:rFonts w:hint="eastAsia"/>
                <w:color w:val="000000"/>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color w:val="000000"/>
                <w:sz w:val="24"/>
              </w:rPr>
            </w:r>
            <w:r/>
          </w:p>
          <w:p>
            <w:pPr>
              <w:pStyle w:val="1147"/>
              <w:tabs>
                <w:tab w:val="left" w:pos="1080" w:leader="none"/>
              </w:tabs>
              <w:rPr>
                <w:color w:val="000000"/>
                <w:sz w:val="24"/>
              </w:rPr>
            </w:pPr>
            <w:r>
              <w:rPr>
                <w:rFonts w:hint="eastAsia"/>
                <w:color w:val="000000"/>
                <w:sz w:val="24"/>
              </w:rPr>
              <w:t xml:space="preserve">注1：监狱企业须提供由省级以上监狱管理局（常州市含教育矫治局）、戒毒管理局（含新疆生产建设兵团）出具的属于监狱企业的证明文件。</w:t>
            </w:r>
            <w:r>
              <w:rPr>
                <w:color w:val="000000"/>
                <w:sz w:val="24"/>
              </w:rPr>
            </w:r>
            <w:r/>
          </w:p>
          <w:p>
            <w:pPr>
              <w:pStyle w:val="1147"/>
              <w:tabs>
                <w:tab w:val="left" w:pos="1080" w:leader="none"/>
              </w:tabs>
              <w:rPr>
                <w:b/>
                <w:color w:val="000000"/>
                <w:sz w:val="24"/>
              </w:rPr>
            </w:pPr>
            <w:r>
              <w:rPr>
                <w:rFonts w:hint="eastAsia"/>
                <w:color w:val="000000"/>
                <w:sz w:val="24"/>
              </w:rPr>
              <w:t xml:space="preserve">注2：残疾人福利性单位须按磋商文件要求提供《残疾人福利性单位声明函》。</w:t>
            </w:r>
            <w:r>
              <w:rPr>
                <w:b/>
                <w:color w:val="000000"/>
                <w:sz w:val="24"/>
              </w:rPr>
            </w:r>
            <w:r/>
          </w:p>
        </w:tc>
        <w:tc>
          <w:tcPr>
            <w:tcW w:w="973" w:type="dxa"/>
            <w:vAlign w:val="center"/>
            <w:textDirection w:val="lrTb"/>
            <w:noWrap w:val="false"/>
          </w:tcPr>
          <w:p>
            <w:pPr>
              <w:pStyle w:val="1147"/>
              <w:tabs>
                <w:tab w:val="left" w:pos="1080" w:leader="none"/>
              </w:tabs>
              <w:rPr>
                <w:color w:val="000000"/>
                <w:sz w:val="24"/>
              </w:rPr>
            </w:pPr>
            <w:r>
              <w:rPr>
                <w:color w:val="000000"/>
                <w:sz w:val="24"/>
              </w:rPr>
              <w:t xml:space="preserve">格式见《响应文件格式》</w:t>
            </w:r>
            <w:r>
              <w:rPr>
                <w:color w:val="000000"/>
                <w:sz w:val="24"/>
              </w:rPr>
            </w:r>
            <w:r/>
          </w:p>
        </w:tc>
      </w:tr>
      <w:tr>
        <w:trPr>
          <w:cantSplit/>
          <w:trHeight w:val="20"/>
        </w:trPr>
        <w:tc>
          <w:tcPr>
            <w:tcW w:w="375" w:type="dxa"/>
            <w:vAlign w:val="center"/>
            <w:textDirection w:val="lrTb"/>
            <w:noWrap w:val="false"/>
          </w:tcPr>
          <w:p>
            <w:pPr>
              <w:pStyle w:val="1147"/>
              <w:jc w:val="center"/>
              <w:tabs>
                <w:tab w:val="left" w:pos="1080" w:leader="none"/>
              </w:tabs>
              <w:rPr>
                <w:color w:val="000000"/>
                <w:sz w:val="24"/>
              </w:rPr>
            </w:pPr>
            <w:r>
              <w:rPr>
                <w:color w:val="000000"/>
                <w:sz w:val="24"/>
              </w:rPr>
              <w:t xml:space="preserve">2-3</w:t>
            </w:r>
            <w:r>
              <w:rPr>
                <w:color w:val="000000"/>
                <w:sz w:val="24"/>
              </w:rPr>
            </w:r>
            <w:r/>
          </w:p>
        </w:tc>
        <w:tc>
          <w:tcPr>
            <w:tcW w:w="1014" w:type="dxa"/>
            <w:vAlign w:val="center"/>
            <w:textDirection w:val="lrTb"/>
            <w:noWrap w:val="false"/>
          </w:tcPr>
          <w:p>
            <w:pPr>
              <w:pStyle w:val="1147"/>
              <w:tabs>
                <w:tab w:val="left" w:pos="1080" w:leader="none"/>
              </w:tabs>
              <w:rPr>
                <w:color w:val="000000"/>
                <w:sz w:val="24"/>
              </w:rPr>
            </w:pPr>
            <w:r>
              <w:rPr>
                <w:color w:val="000000"/>
                <w:sz w:val="24"/>
              </w:rPr>
              <w:t xml:space="preserve">其它落实政府采购政策的资格要求</w:t>
            </w:r>
            <w:r>
              <w:rPr>
                <w:color w:val="000000"/>
                <w:sz w:val="24"/>
              </w:rPr>
            </w:r>
            <w:r/>
          </w:p>
        </w:tc>
        <w:tc>
          <w:tcPr>
            <w:tcW w:w="2636" w:type="dxa"/>
            <w:vAlign w:val="center"/>
            <w:textDirection w:val="lrTb"/>
            <w:noWrap w:val="false"/>
          </w:tcPr>
          <w:p>
            <w:pPr>
              <w:pStyle w:val="1147"/>
              <w:tabs>
                <w:tab w:val="left" w:pos="1080" w:leader="none"/>
              </w:tabs>
              <w:rPr>
                <w:color w:val="000000"/>
                <w:sz w:val="24"/>
              </w:rPr>
            </w:pPr>
            <w:r>
              <w:rPr>
                <w:color w:val="000000"/>
                <w:sz w:val="24"/>
              </w:rPr>
              <w:t xml:space="preserve">如有，见第一章《采购邀请》</w:t>
            </w:r>
            <w:r>
              <w:rPr>
                <w:color w:val="000000"/>
                <w:sz w:val="24"/>
              </w:rPr>
            </w:r>
            <w:r/>
          </w:p>
        </w:tc>
        <w:tc>
          <w:tcPr>
            <w:tcW w:w="973" w:type="dxa"/>
            <w:vAlign w:val="center"/>
            <w:textDirection w:val="lrTb"/>
            <w:noWrap w:val="false"/>
          </w:tcPr>
          <w:p>
            <w:pPr>
              <w:pStyle w:val="1147"/>
              <w:tabs>
                <w:tab w:val="left" w:pos="1080" w:leader="none"/>
              </w:tabs>
              <w:rPr>
                <w:color w:val="000000"/>
                <w:sz w:val="24"/>
              </w:rPr>
            </w:pPr>
            <w:r>
              <w:rPr>
                <w:color w:val="000000"/>
                <w:sz w:val="24"/>
              </w:rPr>
              <w:t xml:space="preserve">提供证明文件的电子件或电子证照</w:t>
            </w:r>
            <w:r>
              <w:rPr>
                <w:color w:val="000000"/>
                <w:sz w:val="24"/>
              </w:rPr>
            </w:r>
            <w:r/>
          </w:p>
        </w:tc>
      </w:tr>
      <w:tr>
        <w:trPr>
          <w:cantSplit/>
          <w:trHeight w:val="20"/>
        </w:trPr>
        <w:tc>
          <w:tcPr>
            <w:tcW w:w="375" w:type="dxa"/>
            <w:vAlign w:val="center"/>
            <w:textDirection w:val="lrTb"/>
            <w:noWrap w:val="false"/>
          </w:tcPr>
          <w:p>
            <w:pPr>
              <w:pStyle w:val="1147"/>
              <w:jc w:val="center"/>
              <w:tabs>
                <w:tab w:val="left" w:pos="1080" w:leader="none"/>
              </w:tabs>
              <w:rPr>
                <w:color w:val="000000"/>
                <w:sz w:val="24"/>
              </w:rPr>
            </w:pPr>
            <w:r>
              <w:rPr>
                <w:color w:val="000000"/>
                <w:sz w:val="24"/>
              </w:rPr>
              <w:t xml:space="preserve">3</w:t>
            </w:r>
            <w:r>
              <w:rPr>
                <w:color w:val="000000"/>
                <w:sz w:val="24"/>
              </w:rPr>
            </w:r>
            <w:r/>
          </w:p>
        </w:tc>
        <w:tc>
          <w:tcPr>
            <w:tcW w:w="1014" w:type="dxa"/>
            <w:vAlign w:val="center"/>
            <w:textDirection w:val="lrTb"/>
            <w:noWrap w:val="false"/>
          </w:tcPr>
          <w:p>
            <w:pPr>
              <w:pStyle w:val="1147"/>
              <w:tabs>
                <w:tab w:val="left" w:pos="1080" w:leader="none"/>
              </w:tabs>
              <w:rPr>
                <w:color w:val="000000"/>
                <w:sz w:val="24"/>
              </w:rPr>
            </w:pPr>
            <w:r>
              <w:rPr>
                <w:color w:val="000000"/>
                <w:sz w:val="24"/>
              </w:rPr>
              <w:t xml:space="preserve">本项目的特定资格要求</w:t>
            </w:r>
            <w:r>
              <w:rPr>
                <w:color w:val="000000"/>
                <w:sz w:val="24"/>
              </w:rPr>
            </w:r>
            <w:r/>
          </w:p>
        </w:tc>
        <w:tc>
          <w:tcPr>
            <w:tcW w:w="2636" w:type="dxa"/>
            <w:vAlign w:val="center"/>
            <w:textDirection w:val="lrTb"/>
            <w:noWrap w:val="false"/>
          </w:tcPr>
          <w:p>
            <w:pPr>
              <w:pStyle w:val="1147"/>
              <w:tabs>
                <w:tab w:val="left" w:pos="1080" w:leader="none"/>
              </w:tabs>
              <w:rPr>
                <w:color w:val="000000"/>
                <w:sz w:val="24"/>
              </w:rPr>
            </w:pPr>
            <w:r>
              <w:rPr>
                <w:color w:val="000000"/>
                <w:sz w:val="24"/>
              </w:rPr>
              <w:t xml:space="preserve">如有，见第一章《采购邀请》</w:t>
            </w:r>
            <w:r>
              <w:rPr>
                <w:color w:val="000000"/>
                <w:sz w:val="24"/>
              </w:rPr>
            </w:r>
            <w:r/>
          </w:p>
        </w:tc>
        <w:tc>
          <w:tcPr>
            <w:tcW w:w="973" w:type="dxa"/>
            <w:vAlign w:val="center"/>
            <w:textDirection w:val="lrTb"/>
            <w:noWrap w:val="false"/>
          </w:tcPr>
          <w:p>
            <w:pPr>
              <w:pStyle w:val="1147"/>
              <w:tabs>
                <w:tab w:val="left" w:pos="1080" w:leader="none"/>
              </w:tabs>
              <w:rPr>
                <w:color w:val="000000"/>
                <w:sz w:val="24"/>
              </w:rPr>
            </w:pPr>
            <w:r>
              <w:rPr>
                <w:color w:val="000000"/>
                <w:sz w:val="24"/>
              </w:rPr>
            </w:r>
            <w:r/>
          </w:p>
        </w:tc>
      </w:tr>
      <w:tr>
        <w:trPr>
          <w:cantSplit/>
          <w:trHeight w:val="20"/>
        </w:trPr>
        <w:tc>
          <w:tcPr>
            <w:tcW w:w="375" w:type="dxa"/>
            <w:vAlign w:val="center"/>
            <w:textDirection w:val="lrTb"/>
            <w:noWrap w:val="false"/>
          </w:tcPr>
          <w:p>
            <w:pPr>
              <w:pStyle w:val="1147"/>
              <w:jc w:val="center"/>
              <w:tabs>
                <w:tab w:val="left" w:pos="1080" w:leader="none"/>
              </w:tabs>
              <w:rPr>
                <w:color w:val="000000"/>
                <w:sz w:val="24"/>
              </w:rPr>
            </w:pPr>
            <w:r>
              <w:rPr>
                <w:color w:val="000000"/>
                <w:sz w:val="24"/>
              </w:rPr>
              <w:t xml:space="preserve">3-1</w:t>
            </w:r>
            <w:r>
              <w:rPr>
                <w:color w:val="000000"/>
                <w:sz w:val="24"/>
              </w:rPr>
            </w:r>
            <w:r/>
          </w:p>
        </w:tc>
        <w:tc>
          <w:tcPr>
            <w:tcW w:w="1014" w:type="dxa"/>
            <w:vAlign w:val="center"/>
            <w:textDirection w:val="lrTb"/>
            <w:noWrap w:val="false"/>
          </w:tcPr>
          <w:p>
            <w:pPr>
              <w:pStyle w:val="1147"/>
              <w:tabs>
                <w:tab w:val="left" w:pos="1080" w:leader="none"/>
              </w:tabs>
              <w:rPr>
                <w:color w:val="000000"/>
                <w:sz w:val="24"/>
              </w:rPr>
            </w:pPr>
            <w:r>
              <w:rPr>
                <w:color w:val="000000"/>
                <w:sz w:val="24"/>
              </w:rPr>
              <w:t xml:space="preserve">是否接受联合体响应</w:t>
            </w:r>
            <w:r>
              <w:rPr>
                <w:color w:val="000000"/>
                <w:sz w:val="24"/>
              </w:rPr>
            </w:r>
            <w:r/>
          </w:p>
        </w:tc>
        <w:tc>
          <w:tcPr>
            <w:tcW w:w="2636" w:type="dxa"/>
            <w:vAlign w:val="center"/>
            <w:textDirection w:val="lrTb"/>
            <w:noWrap w:val="false"/>
          </w:tcPr>
          <w:p>
            <w:pPr>
              <w:pStyle w:val="1147"/>
              <w:tabs>
                <w:tab w:val="left" w:pos="1080" w:leader="none"/>
              </w:tabs>
              <w:rPr>
                <w:color w:val="000000"/>
                <w:sz w:val="24"/>
              </w:rPr>
            </w:pPr>
            <w:r>
              <w:rPr>
                <w:color w:val="000000"/>
                <w:sz w:val="24"/>
              </w:rPr>
              <w:t xml:space="preserve">1、如本项目接受联合体响应，且供应商为联合体时必须提供《联合协议》，明确各方拟承担的工作和责任，并指定联合体</w:t>
            </w:r>
            <w:r>
              <w:rPr>
                <w:rFonts w:hint="eastAsia"/>
                <w:color w:val="000000"/>
                <w:sz w:val="24"/>
              </w:rPr>
              <w:t xml:space="preserve">牵头人</w:t>
            </w:r>
            <w:r>
              <w:rPr>
                <w:color w:val="000000"/>
                <w:sz w:val="24"/>
              </w:rPr>
              <w:t xml:space="preserve">，授权其代表所有联合体成员负责本项目响应和合同实施阶段的</w:t>
            </w:r>
            <w:r>
              <w:rPr>
                <w:rFonts w:hint="eastAsia"/>
                <w:color w:val="000000"/>
                <w:sz w:val="24"/>
              </w:rPr>
              <w:t xml:space="preserve">牵头</w:t>
            </w:r>
            <w:r>
              <w:rPr>
                <w:color w:val="000000"/>
                <w:sz w:val="24"/>
              </w:rPr>
              <w:t xml:space="preserve">、协调工作。该联合协议应当作为响应文件的组成部分，与响应文件其他内容同时递交。</w:t>
            </w:r>
            <w:r>
              <w:rPr>
                <w:color w:val="000000"/>
                <w:sz w:val="24"/>
              </w:rPr>
            </w:r>
            <w:r/>
          </w:p>
          <w:p>
            <w:pPr>
              <w:pStyle w:val="1147"/>
              <w:tabs>
                <w:tab w:val="left" w:pos="1080" w:leader="none"/>
              </w:tabs>
              <w:rPr>
                <w:color w:val="000000"/>
                <w:sz w:val="24"/>
              </w:rPr>
            </w:pPr>
            <w:r>
              <w:rPr>
                <w:color w:val="000000"/>
                <w:sz w:val="24"/>
              </w:rPr>
              <w:t xml:space="preserve">2、</w:t>
            </w:r>
            <w:r>
              <w:rPr>
                <w:rFonts w:hint="eastAsia"/>
                <w:color w:val="000000"/>
                <w:sz w:val="24"/>
              </w:rPr>
              <w:t xml:space="preserve">联合体各成员单位均须提供本表中序号1-1、1-2的证明文件。</w:t>
            </w:r>
            <w:r>
              <w:rPr>
                <w:color w:val="000000"/>
                <w:sz w:val="24"/>
              </w:rPr>
            </w:r>
            <w:r/>
          </w:p>
          <w:p>
            <w:pPr>
              <w:pStyle w:val="1147"/>
              <w:tabs>
                <w:tab w:val="left" w:pos="1080" w:leader="none"/>
              </w:tabs>
              <w:rPr>
                <w:color w:val="000000"/>
                <w:sz w:val="24"/>
              </w:rPr>
            </w:pPr>
            <w:r>
              <w:rPr>
                <w:rFonts w:hint="eastAsia"/>
                <w:color w:val="000000"/>
                <w:sz w:val="24"/>
              </w:rPr>
              <w:t xml:space="preserve">3、本表序号3-2项规定的其他特定资格要求中的每一小项要求，联合体各方中至少应当有一方符合本表中其他资格要求并提供证明文件。</w:t>
            </w:r>
            <w:r>
              <w:rPr>
                <w:color w:val="000000"/>
                <w:sz w:val="24"/>
              </w:rPr>
            </w:r>
            <w:r/>
          </w:p>
          <w:p>
            <w:pPr>
              <w:pStyle w:val="1147"/>
              <w:tabs>
                <w:tab w:val="left" w:pos="1080" w:leader="none"/>
              </w:tabs>
              <w:rPr>
                <w:color w:val="000000"/>
                <w:sz w:val="24"/>
              </w:rPr>
            </w:pPr>
            <w:r>
              <w:rPr>
                <w:color w:val="000000"/>
                <w:sz w:val="24"/>
              </w:rPr>
              <w:t xml:space="preserve">4、联合体中有同类资质的供应商按照联合体分工承担相同工作的，应当按照资质等级较低的供应商确定资质等级。</w:t>
            </w:r>
            <w:r>
              <w:rPr>
                <w:color w:val="000000"/>
                <w:sz w:val="24"/>
              </w:rPr>
            </w:r>
            <w:r/>
          </w:p>
          <w:p>
            <w:pPr>
              <w:pStyle w:val="1147"/>
              <w:tabs>
                <w:tab w:val="left" w:pos="1080" w:leader="none"/>
              </w:tabs>
              <w:rPr>
                <w:color w:val="000000"/>
                <w:sz w:val="24"/>
              </w:rPr>
            </w:pPr>
            <w:r>
              <w:rPr>
                <w:color w:val="000000"/>
                <w:sz w:val="24"/>
              </w:rPr>
              <w:t xml:space="preserve">5、以联合体形式参加政府采购活动的，联合体各方不得再单独参加或者与其他供应商另外组成联合体参加同一合同项下的政府采购活动。</w:t>
            </w:r>
            <w:r>
              <w:rPr>
                <w:color w:val="000000"/>
                <w:sz w:val="24"/>
              </w:rPr>
            </w:r>
            <w:r/>
          </w:p>
          <w:p>
            <w:pPr>
              <w:pStyle w:val="1147"/>
              <w:tabs>
                <w:tab w:val="left" w:pos="1080" w:leader="none"/>
              </w:tabs>
              <w:rPr>
                <w:color w:val="000000"/>
                <w:sz w:val="24"/>
              </w:rPr>
            </w:pPr>
            <w:r>
              <w:rPr>
                <w:color w:val="000000"/>
                <w:sz w:val="24"/>
              </w:rPr>
              <w:t xml:space="preserve">6、若联合体中任一成员单位中途退出，则该联合体的</w:t>
            </w:r>
            <w:r>
              <w:rPr>
                <w:b/>
                <w:color w:val="000000"/>
                <w:sz w:val="24"/>
              </w:rPr>
              <w:t xml:space="preserve">响应无效</w:t>
            </w:r>
            <w:r>
              <w:rPr>
                <w:color w:val="000000"/>
                <w:sz w:val="24"/>
              </w:rPr>
              <w:t xml:space="preserve">。</w:t>
            </w:r>
            <w:r>
              <w:rPr>
                <w:color w:val="000000"/>
                <w:sz w:val="24"/>
              </w:rPr>
            </w:r>
            <w:r/>
          </w:p>
          <w:p>
            <w:pPr>
              <w:pStyle w:val="1147"/>
              <w:tabs>
                <w:tab w:val="left" w:pos="1080" w:leader="none"/>
              </w:tabs>
              <w:rPr>
                <w:color w:val="000000"/>
                <w:sz w:val="24"/>
              </w:rPr>
            </w:pPr>
            <w:r>
              <w:rPr>
                <w:color w:val="000000"/>
                <w:sz w:val="24"/>
              </w:rPr>
              <w:t xml:space="preserve">7、本项目不接受联合体响应，</w:t>
            </w:r>
            <w:r>
              <w:rPr>
                <w:rFonts w:hint="eastAsia"/>
                <w:color w:val="000000"/>
                <w:sz w:val="24"/>
              </w:rPr>
              <w:t xml:space="preserve">供应商不得为联合体</w:t>
            </w:r>
            <w:r>
              <w:rPr>
                <w:color w:val="000000"/>
                <w:sz w:val="24"/>
              </w:rPr>
              <w:t xml:space="preserve">。</w:t>
            </w:r>
            <w:r>
              <w:rPr>
                <w:color w:val="000000"/>
                <w:sz w:val="24"/>
              </w:rPr>
            </w:r>
            <w:r/>
          </w:p>
        </w:tc>
        <w:tc>
          <w:tcPr>
            <w:tcW w:w="973" w:type="dxa"/>
            <w:vAlign w:val="center"/>
            <w:textDirection w:val="lrTb"/>
            <w:noWrap w:val="false"/>
          </w:tcPr>
          <w:p>
            <w:pPr>
              <w:pStyle w:val="1147"/>
              <w:tabs>
                <w:tab w:val="left" w:pos="1080" w:leader="none"/>
              </w:tabs>
              <w:rPr>
                <w:color w:val="000000"/>
                <w:sz w:val="24"/>
              </w:rPr>
            </w:pPr>
            <w:r>
              <w:rPr>
                <w:color w:val="000000"/>
                <w:sz w:val="24"/>
              </w:rPr>
              <w:t xml:space="preserve">提供《联合协议》</w:t>
            </w:r>
            <w:r>
              <w:rPr>
                <w:rFonts w:hint="eastAsia"/>
                <w:color w:val="000000"/>
                <w:sz w:val="24"/>
              </w:rPr>
              <w:t xml:space="preserve">原</w:t>
            </w:r>
            <w:r>
              <w:rPr>
                <w:color w:val="000000"/>
                <w:sz w:val="24"/>
              </w:rPr>
              <w:t xml:space="preserve">件的电子件</w:t>
            </w:r>
            <w:r>
              <w:rPr>
                <w:color w:val="000000"/>
                <w:sz w:val="24"/>
              </w:rPr>
            </w:r>
            <w:r/>
          </w:p>
          <w:p>
            <w:pPr>
              <w:pStyle w:val="1147"/>
              <w:tabs>
                <w:tab w:val="left" w:pos="1080" w:leader="none"/>
              </w:tabs>
              <w:rPr>
                <w:color w:val="000000"/>
                <w:sz w:val="24"/>
              </w:rPr>
            </w:pPr>
            <w:r>
              <w:rPr>
                <w:color w:val="000000"/>
                <w:sz w:val="24"/>
              </w:rPr>
              <w:t xml:space="preserve">格式见《响应文件格式》</w:t>
            </w:r>
            <w:r>
              <w:rPr>
                <w:color w:val="000000"/>
                <w:sz w:val="24"/>
              </w:rPr>
            </w:r>
            <w:r/>
          </w:p>
        </w:tc>
      </w:tr>
      <w:tr>
        <w:trPr>
          <w:cantSplit/>
          <w:trHeight w:val="20"/>
        </w:trPr>
        <w:tc>
          <w:tcPr>
            <w:tcW w:w="375" w:type="dxa"/>
            <w:vAlign w:val="center"/>
            <w:textDirection w:val="lrTb"/>
            <w:noWrap w:val="false"/>
          </w:tcPr>
          <w:p>
            <w:pPr>
              <w:pStyle w:val="1147"/>
              <w:jc w:val="center"/>
              <w:tabs>
                <w:tab w:val="left" w:pos="1080" w:leader="none"/>
              </w:tabs>
              <w:rPr>
                <w:color w:val="000000"/>
                <w:sz w:val="24"/>
                <w:highlight w:val="none"/>
              </w:rPr>
            </w:pPr>
            <w:r>
              <w:rPr>
                <w:color w:val="000000"/>
                <w:sz w:val="24"/>
                <w:highlight w:val="none"/>
              </w:rPr>
              <w:t xml:space="preserve">3-2</w:t>
            </w:r>
            <w:r>
              <w:rPr>
                <w:color w:val="000000"/>
                <w:sz w:val="24"/>
                <w:highlight w:val="none"/>
              </w:rPr>
            </w:r>
            <w:r/>
          </w:p>
        </w:tc>
        <w:tc>
          <w:tcPr>
            <w:tcW w:w="1014" w:type="dxa"/>
            <w:vAlign w:val="center"/>
            <w:textDirection w:val="lrTb"/>
            <w:noWrap w:val="false"/>
          </w:tcPr>
          <w:p>
            <w:pPr>
              <w:pStyle w:val="1147"/>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2636" w:type="dxa"/>
            <w:vAlign w:val="center"/>
            <w:textDirection w:val="lrTb"/>
            <w:noWrap w:val="false"/>
          </w:tcPr>
          <w:p>
            <w:pPr>
              <w:pStyle w:val="1147"/>
              <w:tabs>
                <w:tab w:val="left" w:pos="1080" w:leader="none"/>
              </w:tabs>
              <w:rPr>
                <w:color w:val="000000"/>
                <w:sz w:val="24"/>
                <w:highlight w:val="none"/>
              </w:rPr>
            </w:pPr>
            <w:r>
              <w:rPr>
                <w:color w:val="000000"/>
                <w:sz w:val="24"/>
                <w:highlight w:val="none"/>
              </w:rPr>
              <w:t xml:space="preserve">见第一章《采购邀请》</w:t>
            </w:r>
            <w:r>
              <w:rPr>
                <w:color w:val="000000"/>
                <w:sz w:val="24"/>
                <w:highlight w:val="none"/>
              </w:rPr>
            </w:r>
            <w:r/>
          </w:p>
        </w:tc>
        <w:tc>
          <w:tcPr>
            <w:tcW w:w="973" w:type="dxa"/>
            <w:vAlign w:val="center"/>
            <w:textDirection w:val="lrTb"/>
            <w:noWrap w:val="false"/>
          </w:tcPr>
          <w:p>
            <w:pPr>
              <w:pStyle w:val="1147"/>
              <w:tabs>
                <w:tab w:val="left" w:pos="1080" w:leader="none"/>
              </w:tabs>
              <w:rPr>
                <w:color w:val="000000"/>
                <w:sz w:val="24"/>
                <w:highlight w:val="none"/>
              </w:rPr>
            </w:pPr>
            <w:r>
              <w:rPr>
                <w:color w:val="000000"/>
                <w:sz w:val="24"/>
                <w:highlight w:val="none"/>
              </w:rPr>
              <w:t xml:space="preserve">提供证明文件的电子件或电子证照</w:t>
            </w:r>
            <w:r>
              <w:rPr>
                <w:color w:val="000000"/>
                <w:sz w:val="24"/>
                <w:highlight w:val="none"/>
              </w:rPr>
            </w:r>
            <w:r/>
          </w:p>
        </w:tc>
      </w:tr>
    </w:tbl>
    <w:p>
      <w:pPr>
        <w:pStyle w:val="1147"/>
        <w:jc w:val="left"/>
        <w:widowControl/>
        <w:rPr>
          <w:color w:val="000000"/>
          <w:sz w:val="24"/>
        </w:rPr>
      </w:pPr>
      <w:r>
        <w:rPr>
          <w:color w:val="000000"/>
          <w:sz w:val="24"/>
        </w:rPr>
      </w:r>
      <w:r/>
    </w:p>
    <w:p>
      <w:pPr>
        <w:pStyle w:val="1225"/>
        <w:rPr>
          <w:color w:val="000000"/>
          <w:sz w:val="24"/>
        </w:rPr>
      </w:pPr>
      <w:r>
        <w:rPr>
          <w:color w:val="000000"/>
          <w:sz w:val="24"/>
        </w:rPr>
      </w:r>
      <w:r/>
    </w:p>
    <w:p>
      <w:pPr>
        <w:pStyle w:val="1147"/>
        <w:rPr>
          <w:color w:val="000000"/>
          <w:sz w:val="24"/>
        </w:rPr>
      </w:pPr>
      <w:r>
        <w:rPr>
          <w:color w:val="000000"/>
          <w:sz w:val="24"/>
        </w:rPr>
      </w:r>
      <w:r/>
    </w:p>
    <w:p>
      <w:pPr>
        <w:pStyle w:val="1225"/>
        <w:rPr>
          <w:color w:val="000000"/>
          <w:sz w:val="24"/>
        </w:rPr>
      </w:pPr>
      <w:r>
        <w:rPr>
          <w:color w:val="000000"/>
          <w:sz w:val="24"/>
        </w:rPr>
      </w:r>
      <w:r/>
    </w:p>
    <w:p>
      <w:pPr>
        <w:pStyle w:val="1147"/>
        <w:rPr>
          <w:color w:val="000000"/>
          <w:sz w:val="24"/>
        </w:rPr>
      </w:pPr>
      <w:r>
        <w:rPr>
          <w:color w:val="000000"/>
          <w:sz w:val="24"/>
        </w:rPr>
      </w:r>
      <w:r/>
    </w:p>
    <w:p>
      <w:pPr>
        <w:pStyle w:val="1225"/>
        <w:rPr>
          <w:color w:val="000000"/>
          <w:sz w:val="24"/>
        </w:rPr>
      </w:pPr>
      <w:r>
        <w:rPr>
          <w:color w:val="000000"/>
          <w:sz w:val="24"/>
        </w:rPr>
      </w:r>
      <w:r/>
    </w:p>
    <w:p>
      <w:pPr>
        <w:pStyle w:val="1147"/>
      </w:pPr>
      <w:r/>
      <w:r/>
    </w:p>
    <w:p>
      <w:pPr>
        <w:pStyle w:val="1147"/>
        <w:rPr>
          <w:color w:val="000000"/>
          <w:sz w:val="24"/>
        </w:rPr>
      </w:pPr>
      <w:r>
        <w:rPr>
          <w:color w:val="000000"/>
          <w:sz w:val="24"/>
        </w:rPr>
      </w:r>
      <w:r/>
    </w:p>
    <w:p>
      <w:pPr>
        <w:pStyle w:val="1225"/>
        <w:rPr>
          <w:color w:val="000000"/>
          <w:sz w:val="24"/>
        </w:rPr>
      </w:pPr>
      <w:r>
        <w:rPr>
          <w:color w:val="000000"/>
          <w:sz w:val="24"/>
        </w:rPr>
      </w:r>
      <w:r/>
    </w:p>
    <w:p>
      <w:pPr>
        <w:pStyle w:val="1147"/>
        <w:rPr>
          <w:color w:val="000000"/>
          <w:sz w:val="24"/>
        </w:rPr>
      </w:pPr>
      <w:r>
        <w:rPr>
          <w:color w:val="000000"/>
          <w:sz w:val="24"/>
        </w:rPr>
      </w:r>
      <w:r/>
    </w:p>
    <w:p>
      <w:pPr>
        <w:pStyle w:val="1147"/>
        <w:rPr>
          <w:rFonts w:hint="eastAsia" w:eastAsia="宋体"/>
          <w:lang w:eastAsia="zh-CN"/>
        </w:rPr>
      </w:pPr>
      <w:r>
        <w:rPr>
          <w:rFonts w:hint="eastAsia" w:eastAsia="宋体"/>
          <w:lang w:eastAsia="zh-CN"/>
        </w:rPr>
      </w:r>
      <w:r/>
    </w:p>
    <w:p>
      <w:pPr>
        <w:pStyle w:val="1147"/>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《符合性审查要求》见下表：</w:t>
      </w:r>
      <w:r>
        <w:rPr>
          <w:color w:val="000000"/>
          <w:sz w:val="24"/>
        </w:rPr>
      </w:r>
      <w:r/>
    </w:p>
    <w:p>
      <w:pPr>
        <w:pStyle w:val="1147"/>
        <w:jc w:val="center"/>
        <w:spacing w:line="360" w:lineRule="auto"/>
        <w:widowControl/>
        <w:rPr>
          <w:b/>
          <w:color w:val="000000"/>
          <w:sz w:val="24"/>
        </w:rPr>
      </w:pPr>
      <w:r>
        <w:rPr>
          <w:b/>
          <w:color w:val="000000"/>
          <w:sz w:val="24"/>
        </w:rPr>
        <w:t xml:space="preserve">符合性审查要求</w:t>
      </w:r>
      <w:r>
        <w:rPr>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2053"/>
        <w:gridCol w:w="6486"/>
      </w:tblGrid>
      <w:tr>
        <w:trPr>
          <w:trHeight w:val="300"/>
        </w:trPr>
        <w:tc>
          <w:tcPr>
            <w:tcW w:w="403" w:type="dxa"/>
            <w:vAlign w:val="center"/>
            <w:textDirection w:val="lrTb"/>
            <w:noWrap w:val="false"/>
          </w:tcPr>
          <w:p>
            <w:pPr>
              <w:pStyle w:val="1147"/>
              <w:jc w:val="center"/>
              <w:widowControl/>
              <w:rPr>
                <w:rFonts w:ascii="宋体" w:hAnsi="宋体"/>
                <w:b/>
                <w:color w:val="000000"/>
                <w:sz w:val="24"/>
              </w:rPr>
            </w:pPr>
            <w:r>
              <w:rPr>
                <w:rFonts w:ascii="宋体" w:hAnsi="宋体"/>
                <w:b/>
                <w:color w:val="000000"/>
                <w:sz w:val="24"/>
              </w:rPr>
              <w:t xml:space="preserve">序号</w:t>
            </w:r>
            <w:r>
              <w:rPr>
                <w:rFonts w:ascii="宋体" w:hAnsi="宋体"/>
                <w:b/>
                <w:color w:val="000000"/>
                <w:sz w:val="24"/>
              </w:rPr>
            </w:r>
            <w:r/>
          </w:p>
        </w:tc>
        <w:tc>
          <w:tcPr>
            <w:tcW w:w="1105" w:type="dxa"/>
            <w:vAlign w:val="center"/>
            <w:textDirection w:val="lrTb"/>
            <w:noWrap w:val="false"/>
          </w:tcPr>
          <w:p>
            <w:pPr>
              <w:pStyle w:val="1147"/>
              <w:jc w:val="center"/>
              <w:widowControl/>
              <w:rPr>
                <w:rFonts w:ascii="宋体" w:hAnsi="宋体"/>
                <w:b/>
                <w:color w:val="000000"/>
                <w:sz w:val="24"/>
              </w:rPr>
            </w:pPr>
            <w:r>
              <w:rPr>
                <w:rFonts w:ascii="宋体" w:hAnsi="宋体"/>
                <w:b/>
                <w:color w:val="000000"/>
                <w:sz w:val="24"/>
              </w:rPr>
              <w:t xml:space="preserve">审查因素</w:t>
            </w:r>
            <w:r>
              <w:rPr>
                <w:rFonts w:ascii="宋体" w:hAnsi="宋体"/>
                <w:b/>
                <w:color w:val="000000"/>
                <w:sz w:val="24"/>
              </w:rPr>
            </w:r>
            <w:r/>
          </w:p>
        </w:tc>
        <w:tc>
          <w:tcPr>
            <w:tcW w:w="3491" w:type="dxa"/>
            <w:vAlign w:val="center"/>
            <w:textDirection w:val="lrTb"/>
            <w:noWrap w:val="false"/>
          </w:tcPr>
          <w:p>
            <w:pPr>
              <w:pStyle w:val="1147"/>
              <w:jc w:val="center"/>
              <w:widowControl/>
              <w:rPr>
                <w:rFonts w:ascii="宋体" w:hAnsi="宋体"/>
                <w:b/>
                <w:color w:val="000000"/>
                <w:sz w:val="24"/>
              </w:rPr>
            </w:pPr>
            <w:r>
              <w:rPr>
                <w:rFonts w:ascii="宋体" w:hAnsi="宋体"/>
                <w:b/>
                <w:color w:val="000000"/>
                <w:sz w:val="24"/>
              </w:rPr>
              <w:t xml:space="preserve">审查内容</w:t>
            </w:r>
            <w:r>
              <w:rPr>
                <w:rFonts w:ascii="宋体" w:hAnsi="宋体"/>
                <w:b/>
                <w:color w:val="000000"/>
                <w:sz w:val="24"/>
              </w:rPr>
            </w:r>
            <w:r/>
          </w:p>
        </w:tc>
      </w:tr>
      <w:tr>
        <w:trPr>
          <w:trHeight w:val="685"/>
        </w:trPr>
        <w:tc>
          <w:tcPr>
            <w:tcW w:w="403" w:type="dxa"/>
            <w:vAlign w:val="center"/>
            <w:textDirection w:val="lrTb"/>
            <w:noWrap w:val="false"/>
          </w:tcPr>
          <w:p>
            <w:pPr>
              <w:pStyle w:val="1147"/>
              <w:jc w:val="center"/>
              <w:widowControl/>
              <w:rPr>
                <w:rFonts w:ascii="宋体" w:hAnsi="宋体"/>
                <w:color w:val="000000"/>
                <w:sz w:val="24"/>
              </w:rPr>
            </w:pPr>
            <w:r>
              <w:rPr>
                <w:rFonts w:ascii="宋体" w:hAnsi="宋体"/>
                <w:color w:val="000000"/>
                <w:sz w:val="24"/>
              </w:rPr>
              <w:t xml:space="preserve">1</w:t>
            </w:r>
            <w:r>
              <w:rPr>
                <w:rFonts w:ascii="宋体" w:hAnsi="宋体"/>
                <w:color w:val="000000"/>
                <w:sz w:val="24"/>
              </w:rPr>
            </w:r>
            <w:r/>
          </w:p>
        </w:tc>
        <w:tc>
          <w:tcPr>
            <w:tcW w:w="1105" w:type="dxa"/>
            <w:vAlign w:val="center"/>
            <w:textDirection w:val="lrTb"/>
            <w:noWrap w:val="false"/>
          </w:tcPr>
          <w:p>
            <w:pPr>
              <w:pStyle w:val="1147"/>
              <w:jc w:val="left"/>
              <w:widowControl/>
              <w:rPr>
                <w:rFonts w:ascii="宋体" w:hAnsi="宋体"/>
                <w:color w:val="000000"/>
                <w:sz w:val="24"/>
              </w:rPr>
            </w:pPr>
            <w:r>
              <w:rPr>
                <w:rFonts w:hint="eastAsia" w:ascii="宋体" w:hAnsi="宋体"/>
                <w:color w:val="000000"/>
                <w:sz w:val="24"/>
              </w:rPr>
              <w:t xml:space="preserve">响应函、法定代表人资格证明书和政府采购供应商信用承诺书</w:t>
            </w:r>
            <w:r>
              <w:rPr>
                <w:rFonts w:ascii="宋体" w:hAnsi="宋体"/>
                <w:color w:val="000000"/>
                <w:sz w:val="24"/>
              </w:rPr>
            </w:r>
            <w:r/>
          </w:p>
        </w:tc>
        <w:tc>
          <w:tcPr>
            <w:tcW w:w="3491" w:type="dxa"/>
            <w:vAlign w:val="center"/>
            <w:textDirection w:val="lrTb"/>
            <w:noWrap w:val="false"/>
          </w:tcPr>
          <w:p>
            <w:pPr>
              <w:pStyle w:val="1147"/>
              <w:jc w:val="left"/>
              <w:widowControl/>
              <w:rPr>
                <w:rFonts w:ascii="宋体" w:hAnsi="宋体"/>
                <w:color w:val="000000"/>
                <w:sz w:val="24"/>
              </w:rPr>
            </w:pPr>
            <w:r>
              <w:rPr>
                <w:rFonts w:ascii="宋体" w:hAnsi="宋体"/>
                <w:color w:val="000000"/>
                <w:sz w:val="24"/>
              </w:rPr>
              <w:t xml:space="preserve">按磋商文件要求提供</w:t>
            </w:r>
            <w:r>
              <w:rPr>
                <w:rFonts w:hint="eastAsia" w:ascii="宋体" w:hAnsi="宋体"/>
                <w:color w:val="000000"/>
                <w:sz w:val="24"/>
              </w:rPr>
              <w:t xml:space="preserve">响应函、法定代表人资格证明书和政府采购供应商信用承诺书</w:t>
            </w:r>
            <w:r>
              <w:rPr>
                <w:rFonts w:ascii="宋体" w:hAnsi="宋体"/>
                <w:color w:val="000000"/>
                <w:sz w:val="24"/>
              </w:rPr>
              <w:t xml:space="preserve">；</w:t>
            </w:r>
            <w:r>
              <w:rPr>
                <w:rFonts w:hint="eastAsia" w:ascii="宋体" w:hAnsi="宋体"/>
                <w:color w:val="000000"/>
                <w:sz w:val="24"/>
              </w:rPr>
              <w:t xml:space="preserve">格式见《响应文件格式》</w:t>
            </w:r>
            <w:r>
              <w:rPr>
                <w:rFonts w:ascii="宋体" w:hAnsi="宋体"/>
                <w:color w:val="000000"/>
                <w:sz w:val="24"/>
              </w:rPr>
            </w:r>
            <w:r/>
          </w:p>
        </w:tc>
      </w:tr>
      <w:tr>
        <w:trPr>
          <w:trHeight w:val="497"/>
        </w:trPr>
        <w:tc>
          <w:tcPr>
            <w:tcW w:w="403" w:type="dxa"/>
            <w:vAlign w:val="center"/>
            <w:textDirection w:val="lrTb"/>
            <w:noWrap w:val="false"/>
          </w:tcPr>
          <w:p>
            <w:pPr>
              <w:pStyle w:val="1147"/>
              <w:jc w:val="center"/>
              <w:widowControl/>
              <w:rPr>
                <w:rFonts w:ascii="宋体" w:hAnsi="宋体"/>
                <w:color w:val="000000"/>
                <w:sz w:val="24"/>
              </w:rPr>
            </w:pPr>
            <w:r>
              <w:rPr>
                <w:rFonts w:ascii="宋体" w:hAnsi="宋体"/>
                <w:color w:val="000000"/>
                <w:sz w:val="24"/>
              </w:rPr>
              <w:t xml:space="preserve">2</w:t>
            </w:r>
            <w:r>
              <w:rPr>
                <w:rFonts w:ascii="宋体" w:hAnsi="宋体"/>
                <w:color w:val="000000"/>
                <w:sz w:val="24"/>
              </w:rPr>
            </w:r>
            <w:r/>
          </w:p>
        </w:tc>
        <w:tc>
          <w:tcPr>
            <w:tcW w:w="1105" w:type="dxa"/>
            <w:vAlign w:val="center"/>
            <w:textDirection w:val="lrTb"/>
            <w:noWrap w:val="false"/>
          </w:tcPr>
          <w:p>
            <w:pPr>
              <w:pStyle w:val="1147"/>
              <w:jc w:val="left"/>
              <w:widowControl/>
              <w:rPr>
                <w:rFonts w:ascii="宋体" w:hAnsi="宋体"/>
                <w:color w:val="000000"/>
                <w:sz w:val="24"/>
              </w:rPr>
            </w:pPr>
            <w:r>
              <w:rPr>
                <w:rFonts w:ascii="宋体" w:hAnsi="宋体"/>
                <w:color w:val="000000"/>
                <w:sz w:val="24"/>
              </w:rPr>
              <w:t xml:space="preserve">响应完整性</w:t>
            </w:r>
            <w:r>
              <w:rPr>
                <w:rFonts w:ascii="宋体" w:hAnsi="宋体"/>
                <w:color w:val="000000"/>
                <w:sz w:val="24"/>
              </w:rPr>
            </w:r>
            <w:r/>
          </w:p>
        </w:tc>
        <w:tc>
          <w:tcPr>
            <w:tcW w:w="3491" w:type="dxa"/>
            <w:vAlign w:val="center"/>
            <w:textDirection w:val="lrTb"/>
            <w:noWrap w:val="false"/>
          </w:tcPr>
          <w:p>
            <w:pPr>
              <w:pStyle w:val="1147"/>
              <w:jc w:val="left"/>
              <w:widowControl/>
              <w:rPr>
                <w:rFonts w:ascii="宋体" w:hAnsi="宋体"/>
                <w:color w:val="000000"/>
                <w:sz w:val="24"/>
              </w:rPr>
            </w:pPr>
            <w:r>
              <w:rPr>
                <w:rFonts w:hint="eastAsia" w:ascii="宋体" w:hAnsi="宋体"/>
                <w:color w:val="000000"/>
                <w:sz w:val="24"/>
              </w:rPr>
              <w:t xml:space="preserve">未</w:t>
            </w:r>
            <w:r>
              <w:rPr>
                <w:rFonts w:ascii="宋体" w:hAnsi="宋体"/>
                <w:color w:val="000000"/>
                <w:sz w:val="24"/>
              </w:rPr>
              <w:t xml:space="preserve">将一个采购包中的内容拆开响应；</w:t>
            </w:r>
            <w:r>
              <w:rPr>
                <w:rFonts w:hint="eastAsia" w:ascii="宋体" w:hAnsi="宋体"/>
                <w:color w:val="000000"/>
                <w:sz w:val="24"/>
              </w:rPr>
              <w:t xml:space="preserve">（由磋商小组审查，无需供应商提供材料）</w:t>
            </w:r>
            <w:r>
              <w:rPr>
                <w:rFonts w:ascii="宋体" w:hAnsi="宋体"/>
                <w:color w:val="000000"/>
                <w:sz w:val="24"/>
              </w:rPr>
            </w:r>
            <w:r/>
          </w:p>
        </w:tc>
      </w:tr>
      <w:tr>
        <w:trPr>
          <w:trHeight w:val="685"/>
        </w:trPr>
        <w:tc>
          <w:tcPr>
            <w:tcW w:w="403" w:type="dxa"/>
            <w:vAlign w:val="center"/>
            <w:textDirection w:val="lrTb"/>
            <w:noWrap w:val="false"/>
          </w:tcPr>
          <w:p>
            <w:pPr>
              <w:pStyle w:val="1147"/>
              <w:jc w:val="center"/>
              <w:widowControl/>
              <w:rPr>
                <w:rFonts w:ascii="宋体" w:hAnsi="宋体"/>
                <w:color w:val="000000"/>
                <w:sz w:val="24"/>
              </w:rPr>
            </w:pPr>
            <w:r>
              <w:rPr>
                <w:rFonts w:ascii="宋体" w:hAnsi="宋体"/>
                <w:color w:val="000000"/>
                <w:sz w:val="24"/>
              </w:rPr>
              <w:t xml:space="preserve">3</w:t>
            </w:r>
            <w:r>
              <w:rPr>
                <w:rFonts w:ascii="宋体" w:hAnsi="宋体"/>
                <w:color w:val="000000"/>
                <w:sz w:val="24"/>
              </w:rPr>
            </w:r>
            <w:r/>
          </w:p>
        </w:tc>
        <w:tc>
          <w:tcPr>
            <w:tcW w:w="1105" w:type="dxa"/>
            <w:vAlign w:val="center"/>
            <w:textDirection w:val="lrTb"/>
            <w:noWrap w:val="false"/>
          </w:tcPr>
          <w:p>
            <w:pPr>
              <w:pStyle w:val="1147"/>
              <w:jc w:val="left"/>
              <w:widowControl/>
              <w:rPr>
                <w:rFonts w:ascii="宋体" w:hAnsi="宋体"/>
                <w:color w:val="000000"/>
                <w:sz w:val="24"/>
              </w:rPr>
            </w:pPr>
            <w:r>
              <w:rPr>
                <w:rFonts w:ascii="宋体" w:hAnsi="宋体"/>
                <w:color w:val="000000"/>
                <w:sz w:val="24"/>
              </w:rPr>
              <w:t xml:space="preserve">响应报价</w:t>
            </w:r>
            <w:r>
              <w:rPr>
                <w:rFonts w:ascii="宋体" w:hAnsi="宋体"/>
                <w:color w:val="000000"/>
                <w:sz w:val="24"/>
              </w:rPr>
            </w:r>
            <w:r/>
          </w:p>
        </w:tc>
        <w:tc>
          <w:tcPr>
            <w:tcW w:w="3491" w:type="dxa"/>
            <w:vAlign w:val="center"/>
            <w:textDirection w:val="lrTb"/>
            <w:noWrap w:val="false"/>
          </w:tcPr>
          <w:p>
            <w:pPr>
              <w:pStyle w:val="1147"/>
              <w:jc w:val="left"/>
              <w:widowControl/>
              <w:rPr>
                <w:rFonts w:ascii="宋体" w:hAnsi="宋体"/>
                <w:color w:val="000000"/>
                <w:sz w:val="24"/>
              </w:rPr>
            </w:pPr>
            <w:r>
              <w:rPr>
                <w:rFonts w:ascii="宋体" w:hAnsi="宋体"/>
                <w:color w:val="000000"/>
                <w:sz w:val="24"/>
              </w:rPr>
              <w:t xml:space="preserve">响应报价</w:t>
            </w:r>
            <w:r>
              <w:rPr>
                <w:rFonts w:hint="eastAsia" w:ascii="宋体" w:hAnsi="宋体"/>
                <w:color w:val="000000"/>
                <w:sz w:val="24"/>
              </w:rPr>
              <w:t xml:space="preserve">未</w:t>
            </w:r>
            <w:r>
              <w:rPr>
                <w:rFonts w:ascii="宋体" w:hAnsi="宋体"/>
                <w:color w:val="000000"/>
                <w:sz w:val="24"/>
              </w:rPr>
              <w:t xml:space="preserve">超过磋商文件中规定的项目/采购包预算金额或者项目/采购包最高限价；</w:t>
            </w:r>
            <w:r>
              <w:rPr>
                <w:rFonts w:hint="eastAsia" w:ascii="宋体" w:hAnsi="宋体"/>
                <w:color w:val="000000"/>
                <w:sz w:val="24"/>
              </w:rPr>
              <w:t xml:space="preserve">（由磋商小组审查，无需供应商提供材料）</w:t>
            </w:r>
            <w:r>
              <w:rPr>
                <w:rFonts w:ascii="宋体" w:hAnsi="宋体"/>
                <w:color w:val="000000"/>
                <w:sz w:val="24"/>
              </w:rPr>
            </w:r>
            <w:r/>
          </w:p>
        </w:tc>
      </w:tr>
      <w:tr>
        <w:trPr>
          <w:trHeight w:val="685"/>
        </w:trPr>
        <w:tc>
          <w:tcPr>
            <w:tcW w:w="403" w:type="dxa"/>
            <w:vAlign w:val="center"/>
            <w:textDirection w:val="lrTb"/>
            <w:noWrap w:val="false"/>
          </w:tcPr>
          <w:p>
            <w:pPr>
              <w:pStyle w:val="1147"/>
              <w:jc w:val="center"/>
              <w:widowControl/>
              <w:rPr>
                <w:rFonts w:ascii="宋体" w:hAnsi="宋体"/>
                <w:color w:val="000000"/>
                <w:sz w:val="24"/>
              </w:rPr>
            </w:pPr>
            <w:r>
              <w:rPr>
                <w:rFonts w:ascii="宋体" w:hAnsi="宋体"/>
                <w:color w:val="000000"/>
                <w:sz w:val="24"/>
              </w:rPr>
              <w:t xml:space="preserve">4</w:t>
            </w:r>
            <w:r>
              <w:rPr>
                <w:rFonts w:ascii="宋体" w:hAnsi="宋体"/>
                <w:color w:val="000000"/>
                <w:sz w:val="24"/>
              </w:rPr>
            </w:r>
            <w:r/>
          </w:p>
        </w:tc>
        <w:tc>
          <w:tcPr>
            <w:tcW w:w="1105" w:type="dxa"/>
            <w:vAlign w:val="center"/>
            <w:textDirection w:val="lrTb"/>
            <w:noWrap w:val="false"/>
          </w:tcPr>
          <w:p>
            <w:pPr>
              <w:pStyle w:val="1147"/>
              <w:jc w:val="left"/>
              <w:widowControl/>
              <w:rPr>
                <w:rFonts w:ascii="宋体" w:hAnsi="宋体"/>
                <w:color w:val="000000"/>
                <w:sz w:val="24"/>
              </w:rPr>
            </w:pPr>
            <w:r>
              <w:rPr>
                <w:rFonts w:ascii="宋体" w:hAnsi="宋体"/>
                <w:color w:val="000000"/>
                <w:sz w:val="24"/>
              </w:rPr>
              <w:t xml:space="preserve">报价唯一性</w:t>
            </w:r>
            <w:r>
              <w:rPr>
                <w:rFonts w:ascii="宋体" w:hAnsi="宋体"/>
                <w:color w:val="000000"/>
                <w:sz w:val="24"/>
              </w:rPr>
            </w:r>
            <w:r/>
          </w:p>
        </w:tc>
        <w:tc>
          <w:tcPr>
            <w:tcW w:w="3491" w:type="dxa"/>
            <w:vAlign w:val="center"/>
            <w:textDirection w:val="lrTb"/>
            <w:noWrap w:val="false"/>
          </w:tcPr>
          <w:p>
            <w:pPr>
              <w:pStyle w:val="1147"/>
              <w:jc w:val="left"/>
              <w:widowControl/>
              <w:rPr>
                <w:rFonts w:ascii="宋体" w:hAnsi="宋体"/>
                <w:color w:val="000000"/>
                <w:sz w:val="24"/>
              </w:rPr>
            </w:pPr>
            <w:r>
              <w:rPr>
                <w:rFonts w:ascii="宋体" w:hAnsi="宋体"/>
                <w:color w:val="000000"/>
                <w:sz w:val="24"/>
              </w:rPr>
              <w:t xml:space="preserve">响应文件</w:t>
            </w:r>
            <w:r>
              <w:rPr>
                <w:rFonts w:hint="eastAsia" w:ascii="宋体" w:hAnsi="宋体"/>
                <w:color w:val="000000"/>
                <w:sz w:val="24"/>
              </w:rPr>
              <w:t xml:space="preserve">未出现可选择性或可调整的报价（磋商文件另有规定的除外）</w:t>
            </w:r>
            <w:r>
              <w:rPr>
                <w:rFonts w:ascii="宋体" w:hAnsi="宋体"/>
                <w:color w:val="000000"/>
                <w:sz w:val="24"/>
              </w:rPr>
              <w:t xml:space="preserve">；</w:t>
            </w:r>
            <w:r>
              <w:rPr>
                <w:rFonts w:hint="eastAsia" w:ascii="宋体" w:hAnsi="宋体"/>
                <w:color w:val="000000"/>
                <w:sz w:val="24"/>
              </w:rPr>
              <w:t xml:space="preserve">提供《分项报价表》，格式见《响应文件格式》（如有）</w:t>
            </w:r>
            <w:r>
              <w:rPr>
                <w:rFonts w:ascii="宋体" w:hAnsi="宋体"/>
                <w:color w:val="000000"/>
                <w:sz w:val="24"/>
              </w:rPr>
            </w:r>
            <w:r/>
          </w:p>
        </w:tc>
      </w:tr>
      <w:tr>
        <w:trPr>
          <w:trHeight w:val="439"/>
        </w:trPr>
        <w:tc>
          <w:tcPr>
            <w:tcW w:w="403" w:type="dxa"/>
            <w:vAlign w:val="center"/>
            <w:textDirection w:val="lrTb"/>
            <w:noWrap w:val="false"/>
          </w:tcPr>
          <w:p>
            <w:pPr>
              <w:pStyle w:val="1147"/>
              <w:jc w:val="center"/>
              <w:widowControl/>
              <w:rPr>
                <w:rFonts w:ascii="宋体" w:hAnsi="宋体"/>
                <w:color w:val="000000"/>
                <w:sz w:val="24"/>
              </w:rPr>
            </w:pPr>
            <w:r>
              <w:rPr>
                <w:rFonts w:ascii="宋体" w:hAnsi="宋体"/>
                <w:color w:val="000000"/>
                <w:sz w:val="24"/>
              </w:rPr>
              <w:t xml:space="preserve">5</w:t>
            </w:r>
            <w:r>
              <w:rPr>
                <w:rFonts w:ascii="宋体" w:hAnsi="宋体"/>
                <w:color w:val="000000"/>
                <w:sz w:val="24"/>
              </w:rPr>
            </w:r>
            <w:r/>
          </w:p>
        </w:tc>
        <w:tc>
          <w:tcPr>
            <w:tcW w:w="1105" w:type="dxa"/>
            <w:vAlign w:val="center"/>
            <w:textDirection w:val="lrTb"/>
            <w:noWrap w:val="false"/>
          </w:tcPr>
          <w:p>
            <w:pPr>
              <w:pStyle w:val="1147"/>
              <w:jc w:val="left"/>
              <w:widowControl/>
              <w:rPr>
                <w:rFonts w:ascii="宋体" w:hAnsi="宋体"/>
                <w:color w:val="000000"/>
                <w:sz w:val="24"/>
              </w:rPr>
            </w:pPr>
            <w:r>
              <w:rPr>
                <w:rFonts w:ascii="宋体" w:hAnsi="宋体"/>
                <w:color w:val="000000"/>
                <w:sz w:val="24"/>
              </w:rPr>
              <w:t xml:space="preserve">响应有效期</w:t>
            </w:r>
            <w:r>
              <w:rPr>
                <w:rFonts w:ascii="宋体" w:hAnsi="宋体"/>
                <w:color w:val="000000"/>
                <w:sz w:val="24"/>
              </w:rPr>
            </w:r>
            <w:r/>
          </w:p>
        </w:tc>
        <w:tc>
          <w:tcPr>
            <w:tcW w:w="3491" w:type="dxa"/>
            <w:vAlign w:val="center"/>
            <w:textDirection w:val="lrTb"/>
            <w:noWrap w:val="false"/>
          </w:tcPr>
          <w:p>
            <w:pPr>
              <w:pStyle w:val="1147"/>
              <w:jc w:val="left"/>
              <w:widowControl/>
              <w:rPr>
                <w:rFonts w:ascii="宋体" w:hAnsi="宋体"/>
                <w:color w:val="000000"/>
                <w:sz w:val="24"/>
              </w:rPr>
            </w:pPr>
            <w:r>
              <w:rPr>
                <w:rFonts w:ascii="宋体" w:hAnsi="宋体"/>
                <w:color w:val="000000"/>
                <w:sz w:val="24"/>
              </w:rPr>
              <w:t xml:space="preserve">响应文件中承诺的响应有效期</w:t>
            </w:r>
            <w:r>
              <w:rPr>
                <w:rFonts w:hint="eastAsia" w:ascii="宋体" w:hAnsi="宋体"/>
                <w:color w:val="000000"/>
                <w:sz w:val="24"/>
              </w:rPr>
              <w:t xml:space="preserve">满足</w:t>
            </w:r>
            <w:r>
              <w:rPr>
                <w:rFonts w:ascii="宋体" w:hAnsi="宋体"/>
                <w:color w:val="000000"/>
                <w:sz w:val="24"/>
              </w:rPr>
              <w:t xml:space="preserve">磋商文件中载明的响应有效期的；</w:t>
            </w:r>
            <w:r>
              <w:rPr>
                <w:rFonts w:hint="eastAsia" w:ascii="宋体" w:hAnsi="宋体"/>
                <w:color w:val="000000"/>
                <w:sz w:val="24"/>
              </w:rPr>
              <w:t xml:space="preserve">提供承诺书</w:t>
            </w:r>
            <w:r>
              <w:rPr>
                <w:rFonts w:ascii="宋体" w:hAnsi="宋体"/>
                <w:color w:val="000000"/>
                <w:sz w:val="24"/>
              </w:rPr>
            </w:r>
            <w:r/>
          </w:p>
        </w:tc>
      </w:tr>
      <w:tr>
        <w:trPr>
          <w:trHeight w:val="417"/>
        </w:trPr>
        <w:tc>
          <w:tcPr>
            <w:tcW w:w="403" w:type="dxa"/>
            <w:vAlign w:val="center"/>
            <w:textDirection w:val="lrTb"/>
            <w:noWrap w:val="false"/>
          </w:tcPr>
          <w:p>
            <w:pPr>
              <w:pStyle w:val="1147"/>
              <w:jc w:val="center"/>
              <w:widowControl/>
              <w:rPr>
                <w:rFonts w:ascii="宋体" w:hAnsi="宋体"/>
                <w:color w:val="000000"/>
                <w:sz w:val="24"/>
              </w:rPr>
            </w:pPr>
            <w:r>
              <w:rPr>
                <w:rFonts w:ascii="宋体" w:hAnsi="宋体"/>
                <w:color w:val="000000"/>
                <w:sz w:val="24"/>
              </w:rPr>
              <w:t xml:space="preserve">6</w:t>
            </w:r>
            <w:r>
              <w:rPr>
                <w:rFonts w:ascii="宋体" w:hAnsi="宋体"/>
                <w:color w:val="000000"/>
                <w:sz w:val="24"/>
              </w:rPr>
            </w:r>
            <w:r/>
          </w:p>
        </w:tc>
        <w:tc>
          <w:tcPr>
            <w:tcW w:w="1105" w:type="dxa"/>
            <w:vAlign w:val="center"/>
            <w:textDirection w:val="lrTb"/>
            <w:noWrap w:val="false"/>
          </w:tcPr>
          <w:p>
            <w:pPr>
              <w:pStyle w:val="1147"/>
              <w:jc w:val="left"/>
              <w:widowControl/>
              <w:rPr>
                <w:rFonts w:ascii="宋体" w:hAnsi="宋体"/>
                <w:color w:val="000000"/>
                <w:sz w:val="24"/>
              </w:rPr>
            </w:pPr>
            <w:r>
              <w:rPr>
                <w:rFonts w:ascii="宋体" w:hAnsi="宋体"/>
                <w:color w:val="000000"/>
                <w:sz w:val="24"/>
              </w:rPr>
              <w:t xml:space="preserve">签署、加盖公章</w:t>
            </w:r>
            <w:r>
              <w:rPr>
                <w:rFonts w:ascii="宋体" w:hAnsi="宋体"/>
                <w:color w:val="000000"/>
                <w:sz w:val="24"/>
              </w:rPr>
            </w:r>
            <w:r/>
          </w:p>
        </w:tc>
        <w:tc>
          <w:tcPr>
            <w:tcW w:w="3491" w:type="dxa"/>
            <w:vAlign w:val="center"/>
            <w:textDirection w:val="lrTb"/>
            <w:noWrap w:val="false"/>
          </w:tcPr>
          <w:p>
            <w:pPr>
              <w:pStyle w:val="1147"/>
              <w:jc w:val="left"/>
              <w:widowControl/>
              <w:rPr>
                <w:rFonts w:ascii="宋体" w:hAnsi="宋体"/>
                <w:color w:val="000000"/>
                <w:sz w:val="24"/>
              </w:rPr>
            </w:pPr>
            <w:r>
              <w:rPr>
                <w:rFonts w:ascii="宋体" w:hAnsi="宋体"/>
                <w:color w:val="000000"/>
                <w:sz w:val="24"/>
              </w:rPr>
              <w:t xml:space="preserve">按照磋商文件要求签署、加盖公章的；</w:t>
            </w:r>
            <w:r>
              <w:rPr>
                <w:rFonts w:hint="eastAsia" w:ascii="宋体" w:hAnsi="宋体"/>
                <w:color w:val="000000"/>
                <w:sz w:val="24"/>
              </w:rPr>
              <w:t xml:space="preserve">（由磋商小组审查，无需供应商提供材料）</w:t>
            </w:r>
            <w:r>
              <w:rPr>
                <w:rFonts w:ascii="宋体" w:hAnsi="宋体"/>
                <w:color w:val="000000"/>
                <w:sz w:val="24"/>
              </w:rPr>
            </w:r>
            <w:r/>
          </w:p>
        </w:tc>
      </w:tr>
      <w:tr>
        <w:trPr>
          <w:trHeight w:val="409"/>
        </w:trPr>
        <w:tc>
          <w:tcPr>
            <w:tcW w:w="403" w:type="dxa"/>
            <w:vAlign w:val="center"/>
            <w:textDirection w:val="lrTb"/>
            <w:noWrap w:val="false"/>
          </w:tcPr>
          <w:p>
            <w:pPr>
              <w:pStyle w:val="1147"/>
              <w:jc w:val="center"/>
              <w:widowControl/>
              <w:rPr>
                <w:rFonts w:ascii="宋体" w:hAnsi="宋体"/>
                <w:color w:val="000000"/>
                <w:sz w:val="24"/>
              </w:rPr>
            </w:pPr>
            <w:r>
              <w:rPr>
                <w:rFonts w:hint="eastAsia" w:ascii="宋体" w:hAnsi="宋体"/>
                <w:color w:val="000000"/>
                <w:sz w:val="24"/>
              </w:rPr>
              <w:t xml:space="preserve">7</w:t>
            </w:r>
            <w:r>
              <w:rPr>
                <w:rFonts w:ascii="宋体" w:hAnsi="宋体"/>
                <w:color w:val="000000"/>
                <w:sz w:val="24"/>
              </w:rPr>
            </w:r>
            <w:r/>
          </w:p>
        </w:tc>
        <w:tc>
          <w:tcPr>
            <w:tcW w:w="1105" w:type="dxa"/>
            <w:vAlign w:val="center"/>
            <w:textDirection w:val="lrTb"/>
            <w:noWrap w:val="false"/>
          </w:tcPr>
          <w:p>
            <w:pPr>
              <w:pStyle w:val="1147"/>
              <w:jc w:val="left"/>
              <w:widowControl/>
              <w:rPr>
                <w:rFonts w:ascii="宋体" w:hAnsi="宋体"/>
                <w:color w:val="000000"/>
                <w:sz w:val="24"/>
              </w:rPr>
            </w:pPr>
            <w:r>
              <w:rPr>
                <w:rFonts w:hint="eastAsia" w:ascii="宋体" w:hAnsi="宋体"/>
                <w:color w:val="000000"/>
                <w:sz w:val="24"/>
              </w:rPr>
              <w:t xml:space="preserve">实质性格式</w:t>
            </w:r>
            <w:r>
              <w:rPr>
                <w:rFonts w:ascii="宋体" w:hAnsi="宋体"/>
                <w:color w:val="000000"/>
                <w:sz w:val="24"/>
              </w:rPr>
            </w:r>
            <w:r/>
          </w:p>
        </w:tc>
        <w:tc>
          <w:tcPr>
            <w:tcW w:w="3491" w:type="dxa"/>
            <w:vAlign w:val="center"/>
            <w:textDirection w:val="lrTb"/>
            <w:noWrap w:val="false"/>
          </w:tcPr>
          <w:p>
            <w:pPr>
              <w:pStyle w:val="1147"/>
              <w:jc w:val="left"/>
              <w:widowControl/>
              <w:rPr>
                <w:rFonts w:ascii="宋体" w:hAnsi="宋体"/>
                <w:color w:val="000000"/>
                <w:sz w:val="24"/>
              </w:rPr>
            </w:pPr>
            <w:r>
              <w:rPr>
                <w:rFonts w:hint="eastAsia" w:ascii="宋体" w:hAnsi="宋体"/>
                <w:color w:val="000000"/>
                <w:sz w:val="24"/>
              </w:rPr>
              <w:t xml:space="preserve">标记为</w:t>
            </w:r>
            <w:r>
              <w:rPr>
                <w:rFonts w:ascii="宋体" w:hAnsi="宋体"/>
                <w:color w:val="000000"/>
                <w:sz w:val="24"/>
              </w:rPr>
              <w:t xml:space="preserve">“实质性格式”的</w:t>
            </w:r>
            <w:r>
              <w:rPr>
                <w:rFonts w:hint="eastAsia" w:ascii="宋体" w:hAnsi="宋体"/>
                <w:color w:val="000000"/>
                <w:sz w:val="24"/>
              </w:rPr>
              <w:t xml:space="preserve">文件均按</w:t>
            </w:r>
            <w:r>
              <w:rPr>
                <w:rFonts w:ascii="宋体" w:hAnsi="宋体"/>
                <w:color w:val="000000"/>
                <w:sz w:val="24"/>
              </w:rPr>
              <w:t xml:space="preserve">磋商文件</w:t>
            </w:r>
            <w:r>
              <w:rPr>
                <w:rFonts w:hint="eastAsia" w:ascii="宋体" w:hAnsi="宋体"/>
                <w:color w:val="000000"/>
                <w:sz w:val="24"/>
              </w:rPr>
              <w:t xml:space="preserve">要求提供；除前面已提供的实质性格式文件以外，还需提供：合同条款偏离表，采购需求偏离表，格式见《响应文件格式》</w:t>
            </w:r>
            <w:r>
              <w:rPr>
                <w:rFonts w:ascii="宋体" w:hAnsi="宋体"/>
                <w:color w:val="000000"/>
                <w:sz w:val="24"/>
              </w:rPr>
            </w:r>
            <w:r/>
          </w:p>
        </w:tc>
      </w:tr>
      <w:tr>
        <w:trPr>
          <w:trHeight w:val="414"/>
        </w:trPr>
        <w:tc>
          <w:tcPr>
            <w:tcW w:w="403" w:type="dxa"/>
            <w:vAlign w:val="center"/>
            <w:textDirection w:val="lrTb"/>
            <w:noWrap w:val="false"/>
          </w:tcPr>
          <w:p>
            <w:pPr>
              <w:pStyle w:val="1147"/>
              <w:jc w:val="center"/>
              <w:widowControl/>
              <w:rPr>
                <w:rFonts w:ascii="宋体" w:hAnsi="宋体"/>
                <w:color w:val="000000"/>
                <w:sz w:val="24"/>
              </w:rPr>
            </w:pPr>
            <w:r>
              <w:rPr>
                <w:rFonts w:ascii="宋体" w:hAnsi="宋体"/>
                <w:color w:val="000000"/>
                <w:sz w:val="24"/>
              </w:rPr>
              <w:t xml:space="preserve">8</w:t>
            </w:r>
            <w:r>
              <w:rPr>
                <w:rFonts w:ascii="宋体" w:hAnsi="宋体"/>
                <w:color w:val="000000"/>
                <w:sz w:val="24"/>
              </w:rPr>
            </w:r>
            <w:r/>
          </w:p>
        </w:tc>
        <w:tc>
          <w:tcPr>
            <w:tcW w:w="1105" w:type="dxa"/>
            <w:vAlign w:val="center"/>
            <w:textDirection w:val="lrTb"/>
            <w:noWrap w:val="false"/>
          </w:tcPr>
          <w:p>
            <w:pPr>
              <w:pStyle w:val="1147"/>
              <w:jc w:val="left"/>
              <w:widowControl/>
              <w:rPr>
                <w:rFonts w:ascii="宋体" w:hAnsi="宋体"/>
                <w:color w:val="000000"/>
                <w:sz w:val="24"/>
              </w:rPr>
            </w:pPr>
            <w:r>
              <w:rPr>
                <w:rFonts w:ascii="宋体" w:hAnsi="宋体" w:cs="Segoe UI Symbol"/>
                <w:color w:val="000000"/>
                <w:sz w:val="24"/>
              </w:rPr>
              <w:t xml:space="preserve">★</w:t>
            </w:r>
            <w:r>
              <w:rPr>
                <w:rFonts w:ascii="宋体" w:hAnsi="宋体"/>
                <w:color w:val="000000"/>
                <w:sz w:val="24"/>
              </w:rPr>
              <w:t xml:space="preserve">号条款响应</w:t>
            </w:r>
            <w:r>
              <w:rPr>
                <w:rFonts w:ascii="宋体" w:hAnsi="宋体"/>
                <w:color w:val="000000"/>
                <w:sz w:val="24"/>
              </w:rPr>
            </w:r>
            <w:r/>
          </w:p>
        </w:tc>
        <w:tc>
          <w:tcPr>
            <w:tcW w:w="3491" w:type="dxa"/>
            <w:vAlign w:val="center"/>
            <w:textDirection w:val="lrTb"/>
            <w:noWrap w:val="false"/>
          </w:tcPr>
          <w:p>
            <w:pPr>
              <w:pStyle w:val="1147"/>
              <w:jc w:val="left"/>
              <w:widowControl/>
              <w:rPr>
                <w:rFonts w:ascii="宋体" w:hAnsi="宋体"/>
                <w:color w:val="000000"/>
                <w:sz w:val="24"/>
              </w:rPr>
            </w:pPr>
            <w:r>
              <w:rPr>
                <w:rFonts w:ascii="宋体" w:hAnsi="宋体"/>
                <w:color w:val="000000"/>
                <w:sz w:val="24"/>
              </w:rPr>
              <w:t xml:space="preserve">响应文件满足磋商文件第五章《采购需求》中</w:t>
            </w:r>
            <w:r>
              <w:rPr>
                <w:rFonts w:ascii="宋体" w:hAnsi="宋体" w:cs="Segoe UI Symbol"/>
                <w:color w:val="000000"/>
                <w:sz w:val="24"/>
              </w:rPr>
              <w:t xml:space="preserve">★</w:t>
            </w:r>
            <w:r>
              <w:rPr>
                <w:rFonts w:ascii="宋体" w:hAnsi="宋体"/>
                <w:color w:val="000000"/>
                <w:sz w:val="24"/>
              </w:rPr>
              <w:t xml:space="preserve">号条款要求的；</w:t>
            </w:r>
            <w:r>
              <w:rPr>
                <w:rFonts w:hint="eastAsia" w:ascii="宋体" w:hAnsi="宋体"/>
                <w:color w:val="000000"/>
                <w:sz w:val="24"/>
              </w:rPr>
              <w:t xml:space="preserve">逐项提供相关证明材料</w:t>
            </w:r>
            <w:r>
              <w:rPr>
                <w:rFonts w:ascii="宋体" w:hAnsi="宋体"/>
                <w:color w:val="000000"/>
                <w:sz w:val="24"/>
              </w:rPr>
            </w:r>
            <w:r/>
          </w:p>
        </w:tc>
      </w:tr>
      <w:tr>
        <w:trPr>
          <w:trHeight w:val="685"/>
        </w:trPr>
        <w:tc>
          <w:tcPr>
            <w:tcW w:w="403" w:type="dxa"/>
            <w:vAlign w:val="center"/>
            <w:textDirection w:val="lrTb"/>
            <w:noWrap w:val="false"/>
          </w:tcPr>
          <w:p>
            <w:pPr>
              <w:pStyle w:val="1147"/>
              <w:jc w:val="center"/>
              <w:widowControl/>
              <w:rPr>
                <w:rFonts w:ascii="宋体" w:hAnsi="宋体"/>
                <w:color w:val="000000"/>
                <w:sz w:val="24"/>
              </w:rPr>
            </w:pPr>
            <w:r>
              <w:rPr>
                <w:rFonts w:ascii="宋体" w:hAnsi="宋体"/>
                <w:color w:val="000000"/>
                <w:sz w:val="24"/>
              </w:rPr>
              <w:t xml:space="preserve">9</w:t>
            </w:r>
            <w:r>
              <w:rPr>
                <w:rFonts w:ascii="宋体" w:hAnsi="宋体"/>
                <w:color w:val="000000"/>
                <w:sz w:val="24"/>
              </w:rPr>
            </w:r>
            <w:r/>
          </w:p>
        </w:tc>
        <w:tc>
          <w:tcPr>
            <w:tcW w:w="1105" w:type="dxa"/>
            <w:vAlign w:val="center"/>
            <w:textDirection w:val="lrTb"/>
            <w:noWrap w:val="false"/>
          </w:tcPr>
          <w:p>
            <w:pPr>
              <w:pStyle w:val="1147"/>
              <w:jc w:val="left"/>
              <w:widowControl/>
              <w:rPr>
                <w:rFonts w:ascii="宋体" w:hAnsi="宋体"/>
                <w:color w:val="000000"/>
                <w:sz w:val="24"/>
              </w:rPr>
            </w:pPr>
            <w:r>
              <w:rPr>
                <w:rFonts w:ascii="宋体" w:hAnsi="宋体"/>
                <w:color w:val="000000"/>
                <w:sz w:val="24"/>
              </w:rPr>
              <w:t xml:space="preserve">分包承担主体资质（如有）</w:t>
            </w:r>
            <w:r>
              <w:rPr>
                <w:rFonts w:ascii="宋体" w:hAnsi="宋体"/>
                <w:color w:val="000000"/>
                <w:sz w:val="24"/>
              </w:rPr>
            </w:r>
            <w:r/>
          </w:p>
        </w:tc>
        <w:tc>
          <w:tcPr>
            <w:tcW w:w="3491" w:type="dxa"/>
            <w:vAlign w:val="center"/>
            <w:textDirection w:val="lrTb"/>
            <w:noWrap w:val="false"/>
          </w:tcPr>
          <w:p>
            <w:pPr>
              <w:pStyle w:val="1147"/>
              <w:jc w:val="left"/>
              <w:widowControl/>
              <w:rPr>
                <w:rFonts w:ascii="宋体" w:hAnsi="宋体"/>
                <w:color w:val="000000"/>
                <w:sz w:val="24"/>
              </w:rPr>
            </w:pPr>
            <w:r>
              <w:rPr>
                <w:rFonts w:hint="eastAsia" w:ascii="宋体" w:hAnsi="宋体"/>
                <w:color w:val="000000"/>
                <w:sz w:val="24"/>
              </w:rPr>
              <w:t xml:space="preserve">分包承担主体具备《供应商须知资料表》载明的资质条件且提供了资质证书电子件（如有）；</w:t>
            </w:r>
            <w:r>
              <w:rPr>
                <w:rFonts w:ascii="宋体" w:hAnsi="宋体"/>
                <w:color w:val="000000"/>
                <w:sz w:val="24"/>
              </w:rPr>
            </w:r>
            <w:r/>
          </w:p>
        </w:tc>
      </w:tr>
      <w:tr>
        <w:trPr>
          <w:trHeight w:val="685"/>
        </w:trPr>
        <w:tc>
          <w:tcPr>
            <w:tcW w:w="403" w:type="dxa"/>
            <w:vAlign w:val="center"/>
            <w:textDirection w:val="lrTb"/>
            <w:noWrap w:val="false"/>
          </w:tcPr>
          <w:p>
            <w:pPr>
              <w:pStyle w:val="1147"/>
              <w:jc w:val="center"/>
              <w:widowControl/>
              <w:rPr>
                <w:rFonts w:ascii="宋体" w:hAnsi="宋体"/>
                <w:color w:val="000000"/>
                <w:sz w:val="24"/>
              </w:rPr>
            </w:pPr>
            <w:r>
              <w:rPr>
                <w:rFonts w:ascii="宋体" w:hAnsi="宋体"/>
                <w:color w:val="000000"/>
                <w:sz w:val="24"/>
              </w:rPr>
              <w:t xml:space="preserve">10</w:t>
            </w:r>
            <w:r>
              <w:rPr>
                <w:rFonts w:ascii="宋体" w:hAnsi="宋体"/>
                <w:color w:val="000000"/>
                <w:sz w:val="24"/>
              </w:rPr>
            </w:r>
            <w:r/>
          </w:p>
        </w:tc>
        <w:tc>
          <w:tcPr>
            <w:tcW w:w="1105" w:type="dxa"/>
            <w:vAlign w:val="center"/>
            <w:textDirection w:val="lrTb"/>
            <w:noWrap w:val="false"/>
          </w:tcPr>
          <w:p>
            <w:pPr>
              <w:pStyle w:val="1147"/>
              <w:jc w:val="left"/>
              <w:widowControl/>
              <w:rPr>
                <w:rFonts w:ascii="宋体" w:hAnsi="宋体"/>
                <w:color w:val="000000"/>
                <w:sz w:val="24"/>
              </w:rPr>
            </w:pPr>
            <w:r>
              <w:rPr>
                <w:rFonts w:ascii="宋体" w:hAnsi="宋体"/>
                <w:color w:val="000000"/>
                <w:sz w:val="24"/>
              </w:rPr>
              <w:t xml:space="preserve">分包意向协议</w:t>
            </w:r>
            <w:r>
              <w:rPr>
                <w:rFonts w:ascii="宋体" w:hAnsi="宋体"/>
                <w:color w:val="000000"/>
                <w:sz w:val="24"/>
              </w:rPr>
            </w:r>
            <w:r/>
          </w:p>
          <w:p>
            <w:pPr>
              <w:pStyle w:val="1147"/>
              <w:jc w:val="left"/>
              <w:widowControl/>
              <w:rPr>
                <w:rFonts w:ascii="宋体" w:hAnsi="宋体"/>
                <w:color w:val="000000"/>
                <w:sz w:val="24"/>
              </w:rPr>
            </w:pPr>
            <w:r>
              <w:rPr>
                <w:rFonts w:ascii="宋体" w:hAnsi="宋体"/>
                <w:color w:val="000000"/>
                <w:sz w:val="24"/>
              </w:rPr>
              <w:t xml:space="preserve">（如有）</w:t>
            </w:r>
            <w:r>
              <w:rPr>
                <w:rFonts w:ascii="宋体" w:hAnsi="宋体"/>
                <w:color w:val="000000"/>
                <w:sz w:val="24"/>
              </w:rPr>
            </w:r>
            <w:r/>
          </w:p>
        </w:tc>
        <w:tc>
          <w:tcPr>
            <w:tcW w:w="3491" w:type="dxa"/>
            <w:vAlign w:val="center"/>
            <w:textDirection w:val="lrTb"/>
            <w:noWrap w:val="false"/>
          </w:tcPr>
          <w:p>
            <w:pPr>
              <w:pStyle w:val="1147"/>
              <w:jc w:val="left"/>
              <w:widowControl/>
              <w:rPr>
                <w:rFonts w:ascii="宋体" w:hAnsi="宋体"/>
                <w:color w:val="000000"/>
                <w:sz w:val="24"/>
              </w:rPr>
            </w:pPr>
            <w:r>
              <w:rPr>
                <w:rFonts w:hint="eastAsia" w:ascii="宋体" w:hAnsi="宋体"/>
                <w:color w:val="000000"/>
                <w:sz w:val="24"/>
              </w:rPr>
              <w:t xml:space="preserve">按磋商文件规定签订并提供分包意向协议原件的电子件的；（如有）</w:t>
            </w:r>
            <w:r>
              <w:rPr>
                <w:rFonts w:ascii="宋体" w:hAnsi="宋体"/>
                <w:color w:val="000000"/>
                <w:sz w:val="24"/>
              </w:rPr>
            </w:r>
            <w:r/>
          </w:p>
        </w:tc>
      </w:tr>
      <w:tr>
        <w:trPr>
          <w:trHeight w:val="685"/>
        </w:trPr>
        <w:tc>
          <w:tcPr>
            <w:tcW w:w="403" w:type="dxa"/>
            <w:vAlign w:val="center"/>
            <w:textDirection w:val="lrTb"/>
            <w:noWrap w:val="false"/>
          </w:tcPr>
          <w:p>
            <w:pPr>
              <w:pStyle w:val="1147"/>
              <w:jc w:val="center"/>
              <w:widowControl/>
              <w:rPr>
                <w:rFonts w:ascii="宋体" w:hAnsi="宋体"/>
                <w:color w:val="000000"/>
                <w:sz w:val="24"/>
              </w:rPr>
            </w:pPr>
            <w:r>
              <w:rPr>
                <w:rFonts w:ascii="宋体" w:hAnsi="宋体"/>
                <w:color w:val="000000"/>
                <w:sz w:val="24"/>
              </w:rPr>
              <w:t xml:space="preserve">11</w:t>
            </w:r>
            <w:r>
              <w:rPr>
                <w:rFonts w:ascii="宋体" w:hAnsi="宋体"/>
                <w:color w:val="000000"/>
                <w:sz w:val="24"/>
              </w:rPr>
            </w:r>
            <w:r/>
          </w:p>
        </w:tc>
        <w:tc>
          <w:tcPr>
            <w:tcW w:w="1105" w:type="dxa"/>
            <w:vAlign w:val="center"/>
            <w:textDirection w:val="lrTb"/>
            <w:noWrap w:val="false"/>
          </w:tcPr>
          <w:p>
            <w:pPr>
              <w:pStyle w:val="1147"/>
              <w:jc w:val="left"/>
              <w:widowControl/>
              <w:rPr>
                <w:rFonts w:ascii="宋体" w:hAnsi="宋体"/>
                <w:color w:val="000000"/>
                <w:sz w:val="24"/>
              </w:rPr>
            </w:pPr>
            <w:r>
              <w:rPr>
                <w:rFonts w:ascii="宋体" w:hAnsi="宋体"/>
                <w:color w:val="000000"/>
                <w:sz w:val="24"/>
              </w:rPr>
              <w:t xml:space="preserve">报价的修正（如有）</w:t>
            </w:r>
            <w:r>
              <w:rPr>
                <w:rFonts w:ascii="宋体" w:hAnsi="宋体"/>
                <w:color w:val="000000"/>
                <w:sz w:val="24"/>
              </w:rPr>
            </w:r>
            <w:r/>
          </w:p>
        </w:tc>
        <w:tc>
          <w:tcPr>
            <w:tcW w:w="3491" w:type="dxa"/>
            <w:vAlign w:val="center"/>
            <w:textDirection w:val="lrTb"/>
            <w:noWrap w:val="false"/>
          </w:tcPr>
          <w:p>
            <w:pPr>
              <w:pStyle w:val="1147"/>
              <w:jc w:val="left"/>
              <w:widowControl/>
              <w:rPr>
                <w:rFonts w:ascii="宋体" w:hAnsi="宋体"/>
                <w:color w:val="000000"/>
                <w:sz w:val="24"/>
              </w:rPr>
            </w:pPr>
            <w:r>
              <w:rPr>
                <w:rFonts w:hint="eastAsia" w:ascii="宋体" w:hAnsi="宋体"/>
                <w:color w:val="000000"/>
                <w:sz w:val="24"/>
              </w:rPr>
              <w:t xml:space="preserve">不涉及报价修正</w:t>
            </w:r>
            <w:r>
              <w:rPr>
                <w:rFonts w:ascii="宋体" w:hAnsi="宋体"/>
                <w:color w:val="000000"/>
                <w:sz w:val="24"/>
              </w:rPr>
              <w:t xml:space="preserve">，或响应文件报价出现前后不一致</w:t>
            </w:r>
            <w:r>
              <w:rPr>
                <w:rFonts w:hint="eastAsia" w:ascii="宋体" w:hAnsi="宋体"/>
                <w:color w:val="000000"/>
                <w:sz w:val="24"/>
              </w:rPr>
              <w:t xml:space="preserve">时</w:t>
            </w:r>
            <w:r>
              <w:rPr>
                <w:rFonts w:ascii="宋体" w:hAnsi="宋体"/>
                <w:color w:val="000000"/>
                <w:sz w:val="24"/>
              </w:rPr>
              <w:t xml:space="preserve">，供应商对修正后的报价予</w:t>
            </w:r>
            <w:r>
              <w:rPr>
                <w:rFonts w:hint="eastAsia" w:ascii="宋体" w:hAnsi="宋体"/>
                <w:color w:val="000000"/>
                <w:sz w:val="24"/>
              </w:rPr>
              <w:t xml:space="preserve">以</w:t>
            </w:r>
            <w:r>
              <w:rPr>
                <w:rFonts w:ascii="宋体" w:hAnsi="宋体"/>
                <w:color w:val="000000"/>
                <w:sz w:val="24"/>
              </w:rPr>
              <w:t xml:space="preserve">确认；（如有）</w:t>
            </w:r>
            <w:r>
              <w:rPr>
                <w:rFonts w:hint="eastAsia" w:ascii="宋体" w:hAnsi="宋体"/>
                <w:color w:val="000000"/>
                <w:sz w:val="24"/>
              </w:rPr>
              <w:t xml:space="preserve">（由磋商小组审查，无需供应商提供材料）</w:t>
            </w:r>
            <w:r>
              <w:rPr>
                <w:rFonts w:ascii="宋体" w:hAnsi="宋体"/>
                <w:color w:val="000000"/>
                <w:sz w:val="24"/>
              </w:rPr>
            </w:r>
            <w:r/>
          </w:p>
        </w:tc>
      </w:tr>
      <w:tr>
        <w:trPr>
          <w:trHeight w:val="685"/>
        </w:trPr>
        <w:tc>
          <w:tcPr>
            <w:tcW w:w="403" w:type="dxa"/>
            <w:vAlign w:val="center"/>
            <w:textDirection w:val="lrTb"/>
            <w:noWrap w:val="false"/>
          </w:tcPr>
          <w:p>
            <w:pPr>
              <w:pStyle w:val="1147"/>
              <w:jc w:val="center"/>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2</w:t>
            </w:r>
            <w:r>
              <w:rPr>
                <w:rFonts w:ascii="宋体" w:hAnsi="宋体"/>
                <w:color w:val="000000"/>
                <w:sz w:val="24"/>
              </w:rPr>
            </w:r>
            <w:r/>
          </w:p>
        </w:tc>
        <w:tc>
          <w:tcPr>
            <w:tcW w:w="1105" w:type="dxa"/>
            <w:vAlign w:val="center"/>
            <w:textDirection w:val="lrTb"/>
            <w:noWrap w:val="false"/>
          </w:tcPr>
          <w:p>
            <w:pPr>
              <w:pStyle w:val="1147"/>
              <w:jc w:val="left"/>
              <w:widowControl/>
              <w:rPr>
                <w:rFonts w:ascii="宋体" w:hAnsi="宋体"/>
                <w:color w:val="000000"/>
                <w:sz w:val="24"/>
              </w:rPr>
            </w:pPr>
            <w:r>
              <w:rPr>
                <w:rFonts w:ascii="宋体" w:hAnsi="宋体"/>
                <w:color w:val="000000"/>
                <w:sz w:val="24"/>
              </w:rPr>
              <w:t xml:space="preserve">进口产品</w:t>
            </w:r>
            <w:r>
              <w:rPr>
                <w:rFonts w:ascii="宋体" w:hAnsi="宋体"/>
                <w:color w:val="000000"/>
                <w:sz w:val="24"/>
              </w:rPr>
            </w:r>
            <w:r/>
          </w:p>
          <w:p>
            <w:pPr>
              <w:pStyle w:val="1147"/>
              <w:jc w:val="left"/>
              <w:widowControl/>
              <w:rPr>
                <w:rFonts w:ascii="宋体" w:hAnsi="宋体"/>
                <w:color w:val="000000"/>
                <w:sz w:val="24"/>
              </w:rPr>
            </w:pPr>
            <w:r>
              <w:rPr>
                <w:rFonts w:ascii="宋体" w:hAnsi="宋体"/>
                <w:color w:val="000000"/>
                <w:sz w:val="24"/>
              </w:rPr>
              <w:t xml:space="preserve">（如有）</w:t>
            </w:r>
            <w:r>
              <w:rPr>
                <w:rFonts w:ascii="宋体" w:hAnsi="宋体"/>
                <w:color w:val="000000"/>
                <w:sz w:val="24"/>
              </w:rPr>
            </w:r>
            <w:r/>
          </w:p>
        </w:tc>
        <w:tc>
          <w:tcPr>
            <w:tcW w:w="3491" w:type="dxa"/>
            <w:vAlign w:val="center"/>
            <w:textDirection w:val="lrTb"/>
            <w:noWrap w:val="false"/>
          </w:tcPr>
          <w:p>
            <w:pPr>
              <w:pStyle w:val="1147"/>
              <w:jc w:val="left"/>
              <w:widowControl/>
              <w:rPr>
                <w:rFonts w:ascii="宋体" w:hAnsi="宋体"/>
                <w:color w:val="000000"/>
                <w:sz w:val="24"/>
              </w:rPr>
            </w:pPr>
            <w:r>
              <w:rPr>
                <w:rFonts w:hint="eastAsia" w:ascii="宋体" w:hAnsi="宋体"/>
                <w:color w:val="000000"/>
                <w:sz w:val="24"/>
              </w:rPr>
              <w:t xml:space="preserve">磋商文件</w:t>
            </w:r>
            <w:r>
              <w:rPr>
                <w:rFonts w:ascii="宋体" w:hAnsi="宋体"/>
                <w:color w:val="000000"/>
                <w:sz w:val="24"/>
              </w:rPr>
              <w:t xml:space="preserve">不接受进口产品响应</w:t>
            </w:r>
            <w:r>
              <w:rPr>
                <w:rFonts w:hint="eastAsia" w:ascii="宋体" w:hAnsi="宋体"/>
                <w:color w:val="000000"/>
                <w:sz w:val="24"/>
              </w:rPr>
              <w:t xml:space="preserve">的内容时</w:t>
            </w:r>
            <w:r>
              <w:rPr>
                <w:rFonts w:ascii="宋体" w:hAnsi="宋体"/>
                <w:color w:val="000000"/>
                <w:sz w:val="24"/>
              </w:rPr>
              <w:t xml:space="preserve">，</w:t>
            </w:r>
            <w:r>
              <w:rPr>
                <w:rFonts w:hint="eastAsia" w:ascii="宋体" w:hAnsi="宋体"/>
                <w:color w:val="000000"/>
                <w:sz w:val="24"/>
              </w:rPr>
              <w:t xml:space="preserve">供应商所投产品非进口产品的；（由磋商小组审查，无需供应商提供材料）</w:t>
            </w:r>
            <w:r>
              <w:rPr>
                <w:rFonts w:ascii="宋体" w:hAnsi="宋体"/>
                <w:color w:val="000000"/>
                <w:sz w:val="24"/>
              </w:rPr>
            </w:r>
            <w:r/>
          </w:p>
        </w:tc>
      </w:tr>
      <w:tr>
        <w:trPr>
          <w:trHeight w:val="685"/>
        </w:trPr>
        <w:tc>
          <w:tcPr>
            <w:tcW w:w="403" w:type="dxa"/>
            <w:vAlign w:val="center"/>
            <w:textDirection w:val="lrTb"/>
            <w:noWrap w:val="false"/>
          </w:tcPr>
          <w:p>
            <w:pPr>
              <w:pStyle w:val="1147"/>
              <w:jc w:val="center"/>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3</w:t>
            </w:r>
            <w:r>
              <w:rPr>
                <w:rFonts w:ascii="宋体" w:hAnsi="宋体"/>
                <w:color w:val="000000"/>
                <w:sz w:val="24"/>
              </w:rPr>
            </w:r>
            <w:r/>
          </w:p>
        </w:tc>
        <w:tc>
          <w:tcPr>
            <w:tcW w:w="1105" w:type="dxa"/>
            <w:vAlign w:val="center"/>
            <w:textDirection w:val="lrTb"/>
            <w:noWrap w:val="false"/>
          </w:tcPr>
          <w:p>
            <w:pPr>
              <w:pStyle w:val="1147"/>
              <w:jc w:val="left"/>
              <w:widowControl/>
              <w:rPr>
                <w:rFonts w:ascii="宋体" w:hAnsi="宋体"/>
                <w:color w:val="000000"/>
                <w:sz w:val="24"/>
              </w:rPr>
            </w:pPr>
            <w:r>
              <w:rPr>
                <w:rFonts w:ascii="宋体" w:hAnsi="宋体"/>
                <w:color w:val="000000"/>
                <w:sz w:val="24"/>
              </w:rPr>
              <w:t xml:space="preserve">国家有关部门对供应商的响应产品有强制性规定或要求的</w:t>
            </w:r>
            <w:r>
              <w:rPr>
                <w:rFonts w:ascii="宋体" w:hAnsi="宋体"/>
                <w:color w:val="000000"/>
                <w:sz w:val="24"/>
              </w:rPr>
            </w:r>
            <w:r/>
          </w:p>
        </w:tc>
        <w:tc>
          <w:tcPr>
            <w:tcW w:w="3491" w:type="dxa"/>
            <w:vAlign w:val="center"/>
            <w:textDirection w:val="lrTb"/>
            <w:noWrap w:val="false"/>
          </w:tcPr>
          <w:p>
            <w:pPr>
              <w:pStyle w:val="1147"/>
              <w:jc w:val="left"/>
              <w:widowControl/>
              <w:rPr>
                <w:rFonts w:ascii="宋体" w:hAnsi="宋体"/>
                <w:color w:val="000000"/>
                <w:sz w:val="24"/>
              </w:rPr>
            </w:pPr>
            <w:r>
              <w:rPr>
                <w:rFonts w:ascii="宋体" w:hAnsi="宋体"/>
                <w:color w:val="000000"/>
                <w:sz w:val="24"/>
              </w:rPr>
              <w:t xml:space="preserve">国家有关部门对供应商的响应产品有强制性规定或要求的（如相应技术、安全、节能和环保等），供应商的响应产品</w:t>
            </w:r>
            <w:r>
              <w:rPr>
                <w:rFonts w:hint="eastAsia" w:ascii="宋体" w:hAnsi="宋体"/>
                <w:color w:val="000000"/>
                <w:sz w:val="24"/>
              </w:rPr>
              <w:t xml:space="preserve">应</w:t>
            </w:r>
            <w:r>
              <w:rPr>
                <w:rFonts w:ascii="宋体" w:hAnsi="宋体"/>
                <w:color w:val="000000"/>
                <w:sz w:val="24"/>
              </w:rPr>
              <w:t xml:space="preserve">符合相应规定或要求</w:t>
            </w:r>
            <w:r>
              <w:rPr>
                <w:rFonts w:hint="eastAsia" w:ascii="宋体" w:hAnsi="宋体"/>
                <w:color w:val="000000"/>
                <w:sz w:val="24"/>
              </w:rPr>
              <w:t xml:space="preserve">，并提供证明文件电子件：</w:t>
            </w:r>
            <w:r>
              <w:rPr>
                <w:rFonts w:ascii="宋体" w:hAnsi="宋体"/>
                <w:color w:val="000000"/>
                <w:sz w:val="24"/>
              </w:rPr>
            </w:r>
            <w:r/>
          </w:p>
          <w:p>
            <w:pPr>
              <w:pStyle w:val="1147"/>
              <w:jc w:val="lef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采购的产品若属于《节能产品政府采购品目清单》范围中政府强制采购产品，则供应商所报产品必须获得国家确定的认证机构出具的、处于有效期之内的节能产品认证证书；</w:t>
            </w:r>
            <w:r>
              <w:rPr>
                <w:rFonts w:ascii="宋体" w:hAnsi="宋体"/>
                <w:color w:val="000000"/>
                <w:sz w:val="24"/>
              </w:rPr>
            </w:r>
            <w:r/>
          </w:p>
          <w:p>
            <w:pPr>
              <w:pStyle w:val="1147"/>
              <w:jc w:val="left"/>
              <w:widowControl/>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响应产品如涉及计算机信息系统安全专用产品的，须</w:t>
            </w:r>
            <w:r>
              <w:rPr>
                <w:rFonts w:hint="eastAsia" w:ascii="宋体" w:hAnsi="宋体"/>
                <w:color w:val="000000"/>
                <w:sz w:val="24"/>
              </w:rPr>
              <w:t xml:space="preserve">提供</w:t>
            </w:r>
            <w:r>
              <w:rPr>
                <w:rFonts w:ascii="宋体" w:hAnsi="宋体"/>
                <w:color w:val="000000"/>
                <w:sz w:val="24"/>
              </w:rPr>
              <w:t xml:space="preserve">公安部颁发的计算机信息系统安全专用产品销售许可证；</w:t>
            </w:r>
            <w:r>
              <w:rPr>
                <w:rFonts w:ascii="宋体" w:hAnsi="宋体"/>
                <w:color w:val="000000"/>
                <w:sz w:val="24"/>
              </w:rPr>
            </w:r>
            <w:r/>
          </w:p>
          <w:p>
            <w:pPr>
              <w:pStyle w:val="1147"/>
              <w:jc w:val="left"/>
              <w:widowControl/>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w:t>
            </w:r>
            <w:r>
              <w:rPr>
                <w:rFonts w:ascii="宋体" w:hAnsi="宋体"/>
                <w:color w:val="000000"/>
                <w:sz w:val="24"/>
              </w:rPr>
              <w:t xml:space="preserve">响应产品如有属于开展国家信息安全产品认证产品范围的，须</w:t>
            </w:r>
            <w:r>
              <w:rPr>
                <w:rFonts w:hint="eastAsia" w:ascii="宋体" w:hAnsi="宋体"/>
                <w:color w:val="000000"/>
                <w:sz w:val="24"/>
              </w:rPr>
              <w:t xml:space="preserve">提供</w:t>
            </w:r>
            <w:r>
              <w:rPr>
                <w:rFonts w:ascii="宋体" w:hAnsi="宋体"/>
                <w:color w:val="000000"/>
                <w:sz w:val="24"/>
              </w:rPr>
              <w:t xml:space="preserve">由中国网络安全审查技术与认证中心（原中国信息安全认证中心）按国家标准认证颁发的有效认证证书等）；</w:t>
            </w:r>
            <w:r>
              <w:rPr>
                <w:rFonts w:ascii="宋体" w:hAnsi="宋体"/>
                <w:color w:val="000000"/>
                <w:sz w:val="24"/>
              </w:rPr>
            </w:r>
            <w:r/>
          </w:p>
          <w:p>
            <w:pPr>
              <w:pStyle w:val="1147"/>
              <w:jc w:val="left"/>
              <w:widowControl/>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ascii="宋体" w:hAnsi="宋体"/>
                <w:color w:val="000000"/>
                <w:sz w:val="24"/>
              </w:rPr>
            </w:r>
            <w:r/>
          </w:p>
        </w:tc>
      </w:tr>
      <w:tr>
        <w:trPr>
          <w:trHeight w:val="685"/>
        </w:trPr>
        <w:tc>
          <w:tcPr>
            <w:tcW w:w="403" w:type="dxa"/>
            <w:vAlign w:val="center"/>
            <w:textDirection w:val="lrTb"/>
            <w:noWrap w:val="false"/>
          </w:tcPr>
          <w:p>
            <w:pPr>
              <w:pStyle w:val="1147"/>
              <w:jc w:val="center"/>
              <w:widowControl/>
              <w:rPr>
                <w:rFonts w:ascii="宋体" w:hAnsi="宋体"/>
                <w:color w:val="000000"/>
                <w:sz w:val="24"/>
              </w:rPr>
            </w:pPr>
            <w:r>
              <w:rPr>
                <w:rFonts w:ascii="宋体" w:hAnsi="宋体"/>
                <w:color w:val="000000"/>
                <w:sz w:val="24"/>
              </w:rPr>
              <w:t xml:space="preserve">15</w:t>
            </w:r>
            <w:r>
              <w:rPr>
                <w:rFonts w:ascii="宋体" w:hAnsi="宋体"/>
                <w:color w:val="000000"/>
                <w:sz w:val="24"/>
              </w:rPr>
            </w:r>
            <w:r/>
          </w:p>
        </w:tc>
        <w:tc>
          <w:tcPr>
            <w:tcW w:w="1105" w:type="dxa"/>
            <w:vAlign w:val="center"/>
            <w:textDirection w:val="lrTb"/>
            <w:noWrap w:val="false"/>
          </w:tcPr>
          <w:p>
            <w:pPr>
              <w:pStyle w:val="1147"/>
              <w:jc w:val="left"/>
              <w:widowControl/>
              <w:rPr>
                <w:rFonts w:ascii="宋体" w:hAnsi="宋体"/>
                <w:color w:val="000000"/>
                <w:sz w:val="24"/>
              </w:rPr>
            </w:pPr>
            <w:r>
              <w:rPr>
                <w:rFonts w:ascii="宋体" w:hAnsi="宋体"/>
                <w:color w:val="000000"/>
                <w:sz w:val="24"/>
              </w:rPr>
              <w:t xml:space="preserve">公平竞争</w:t>
            </w:r>
            <w:r>
              <w:rPr>
                <w:rFonts w:ascii="宋体" w:hAnsi="宋体"/>
                <w:color w:val="000000"/>
                <w:sz w:val="24"/>
              </w:rPr>
            </w:r>
            <w:r/>
          </w:p>
        </w:tc>
        <w:tc>
          <w:tcPr>
            <w:tcW w:w="3491" w:type="dxa"/>
            <w:vAlign w:val="center"/>
            <w:textDirection w:val="lrTb"/>
            <w:noWrap w:val="false"/>
          </w:tcPr>
          <w:p>
            <w:pPr>
              <w:pStyle w:val="1147"/>
              <w:jc w:val="left"/>
              <w:widowControl/>
              <w:rPr>
                <w:rFonts w:ascii="宋体" w:hAnsi="宋体"/>
                <w:color w:val="000000"/>
                <w:sz w:val="24"/>
              </w:rPr>
            </w:pPr>
            <w:r>
              <w:rPr>
                <w:rFonts w:ascii="宋体" w:hAnsi="宋体"/>
                <w:color w:val="000000"/>
                <w:sz w:val="24"/>
              </w:rPr>
              <w:t xml:space="preserve">供应商遵循公平竞争的原则，不存在恶意串通，妨碍其他供应商的竞争行为，不存在损害采购人或者其他供应商的合法权益情形的；</w:t>
            </w:r>
            <w:r>
              <w:rPr>
                <w:rFonts w:ascii="宋体" w:hAnsi="宋体"/>
                <w:color w:val="000000"/>
                <w:sz w:val="24"/>
              </w:rPr>
            </w:r>
            <w:r/>
          </w:p>
        </w:tc>
      </w:tr>
      <w:tr>
        <w:trPr>
          <w:trHeight w:val="685"/>
        </w:trPr>
        <w:tc>
          <w:tcPr>
            <w:tcW w:w="403" w:type="dxa"/>
            <w:vAlign w:val="center"/>
            <w:textDirection w:val="lrTb"/>
            <w:noWrap w:val="false"/>
          </w:tcPr>
          <w:p>
            <w:pPr>
              <w:pStyle w:val="1147"/>
              <w:jc w:val="center"/>
              <w:widowControl/>
              <w:rPr>
                <w:rFonts w:ascii="宋体" w:hAnsi="宋体"/>
                <w:color w:val="000000"/>
                <w:sz w:val="24"/>
              </w:rPr>
            </w:pPr>
            <w:r>
              <w:rPr>
                <w:rFonts w:ascii="宋体" w:hAnsi="宋体"/>
                <w:color w:val="000000"/>
                <w:sz w:val="24"/>
              </w:rPr>
              <w:t xml:space="preserve">16</w:t>
            </w:r>
            <w:r>
              <w:rPr>
                <w:rFonts w:ascii="宋体" w:hAnsi="宋体"/>
                <w:color w:val="000000"/>
                <w:sz w:val="24"/>
              </w:rPr>
            </w:r>
            <w:r/>
          </w:p>
        </w:tc>
        <w:tc>
          <w:tcPr>
            <w:tcW w:w="1105" w:type="dxa"/>
            <w:vAlign w:val="center"/>
            <w:textDirection w:val="lrTb"/>
            <w:noWrap w:val="false"/>
          </w:tcPr>
          <w:p>
            <w:pPr>
              <w:pStyle w:val="1147"/>
              <w:jc w:val="left"/>
              <w:widowControl/>
              <w:rPr>
                <w:rFonts w:ascii="宋体" w:hAnsi="宋体"/>
                <w:color w:val="000000"/>
                <w:sz w:val="24"/>
              </w:rPr>
            </w:pPr>
            <w:r>
              <w:rPr>
                <w:rFonts w:ascii="宋体" w:hAnsi="宋体"/>
                <w:color w:val="000000"/>
                <w:sz w:val="24"/>
              </w:rPr>
              <w:t xml:space="preserve">串通响应</w:t>
            </w:r>
            <w:r>
              <w:rPr>
                <w:rFonts w:ascii="宋体" w:hAnsi="宋体"/>
                <w:color w:val="000000"/>
                <w:sz w:val="24"/>
              </w:rPr>
            </w:r>
            <w:r/>
          </w:p>
        </w:tc>
        <w:tc>
          <w:tcPr>
            <w:tcW w:w="3491" w:type="dxa"/>
            <w:vAlign w:val="center"/>
            <w:textDirection w:val="lrTb"/>
            <w:noWrap w:val="false"/>
          </w:tcPr>
          <w:p>
            <w:pPr>
              <w:pStyle w:val="1147"/>
              <w:jc w:val="left"/>
              <w:widowControl/>
              <w:rPr>
                <w:rFonts w:ascii="宋体" w:hAnsi="宋体"/>
                <w:color w:val="000000"/>
                <w:sz w:val="24"/>
              </w:rPr>
            </w:pPr>
            <w:r>
              <w:rPr>
                <w:rFonts w:hint="eastAsia" w:ascii="宋体" w:hAnsi="宋体"/>
                <w:color w:val="000000"/>
                <w:sz w:val="24"/>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color w:val="000000"/>
                <w:sz w:val="24"/>
              </w:rPr>
              <w:t xml:space="preserve">；</w:t>
            </w:r>
            <w:r>
              <w:rPr>
                <w:rFonts w:ascii="宋体" w:hAnsi="宋体"/>
                <w:color w:val="000000"/>
                <w:sz w:val="24"/>
              </w:rPr>
            </w:r>
            <w:r/>
          </w:p>
        </w:tc>
      </w:tr>
      <w:tr>
        <w:trPr>
          <w:trHeight w:val="685"/>
        </w:trPr>
        <w:tc>
          <w:tcPr>
            <w:tcW w:w="403" w:type="dxa"/>
            <w:vAlign w:val="center"/>
            <w:textDirection w:val="lrTb"/>
            <w:noWrap w:val="false"/>
          </w:tcPr>
          <w:p>
            <w:pPr>
              <w:pStyle w:val="1147"/>
              <w:jc w:val="center"/>
              <w:widowControl/>
              <w:rPr>
                <w:rFonts w:ascii="宋体" w:hAnsi="宋体"/>
                <w:color w:val="000000"/>
                <w:sz w:val="24"/>
              </w:rPr>
            </w:pPr>
            <w:r>
              <w:rPr>
                <w:rFonts w:ascii="宋体" w:hAnsi="宋体"/>
                <w:color w:val="000000"/>
                <w:sz w:val="24"/>
              </w:rPr>
              <w:t xml:space="preserve">17</w:t>
            </w:r>
            <w:r>
              <w:rPr>
                <w:rFonts w:ascii="宋体" w:hAnsi="宋体"/>
                <w:color w:val="000000"/>
                <w:sz w:val="24"/>
              </w:rPr>
            </w:r>
            <w:r/>
          </w:p>
        </w:tc>
        <w:tc>
          <w:tcPr>
            <w:tcW w:w="1105" w:type="dxa"/>
            <w:vAlign w:val="center"/>
            <w:textDirection w:val="lrTb"/>
            <w:noWrap w:val="false"/>
          </w:tcPr>
          <w:p>
            <w:pPr>
              <w:pStyle w:val="1147"/>
              <w:jc w:val="left"/>
              <w:widowControl/>
              <w:rPr>
                <w:rFonts w:ascii="宋体" w:hAnsi="宋体"/>
                <w:color w:val="000000"/>
                <w:sz w:val="24"/>
              </w:rPr>
            </w:pPr>
            <w:r>
              <w:rPr>
                <w:rFonts w:ascii="宋体" w:hAnsi="宋体"/>
                <w:color w:val="000000"/>
                <w:sz w:val="24"/>
              </w:rPr>
              <w:t xml:space="preserve">附加条件</w:t>
            </w:r>
            <w:r>
              <w:rPr>
                <w:rFonts w:ascii="宋体" w:hAnsi="宋体"/>
                <w:color w:val="000000"/>
                <w:sz w:val="24"/>
              </w:rPr>
            </w:r>
            <w:r/>
          </w:p>
        </w:tc>
        <w:tc>
          <w:tcPr>
            <w:tcW w:w="3491" w:type="dxa"/>
            <w:vAlign w:val="center"/>
            <w:textDirection w:val="lrTb"/>
            <w:noWrap w:val="false"/>
          </w:tcPr>
          <w:p>
            <w:pPr>
              <w:pStyle w:val="1147"/>
              <w:jc w:val="left"/>
              <w:widowControl/>
              <w:rPr>
                <w:rFonts w:ascii="宋体" w:hAnsi="宋体"/>
                <w:color w:val="000000"/>
                <w:sz w:val="24"/>
              </w:rPr>
            </w:pPr>
            <w:r>
              <w:rPr>
                <w:rFonts w:ascii="宋体" w:hAnsi="宋体"/>
                <w:color w:val="000000"/>
                <w:sz w:val="24"/>
              </w:rPr>
              <w:t xml:space="preserve">响应文件</w:t>
            </w:r>
            <w:r>
              <w:rPr>
                <w:rFonts w:hint="eastAsia" w:ascii="宋体" w:hAnsi="宋体"/>
                <w:color w:val="000000"/>
                <w:sz w:val="24"/>
              </w:rPr>
              <w:t xml:space="preserve">未</w:t>
            </w:r>
            <w:r>
              <w:rPr>
                <w:rFonts w:ascii="宋体" w:hAnsi="宋体"/>
                <w:color w:val="000000"/>
                <w:sz w:val="24"/>
              </w:rPr>
              <w:t xml:space="preserve">含有采购人不能接受的附加条件的；</w:t>
            </w:r>
            <w:r>
              <w:rPr>
                <w:rFonts w:hint="eastAsia" w:ascii="宋体" w:hAnsi="宋体"/>
                <w:color w:val="000000"/>
                <w:sz w:val="24"/>
              </w:rPr>
              <w:t xml:space="preserve">（由</w:t>
            </w:r>
            <w:r>
              <w:rPr>
                <w:rFonts w:ascii="宋体" w:hAnsi="宋体"/>
                <w:color w:val="000000"/>
                <w:sz w:val="24"/>
              </w:rPr>
              <w:t xml:space="preserve">磋商小组</w:t>
            </w:r>
            <w:r>
              <w:rPr>
                <w:rFonts w:hint="eastAsia" w:ascii="宋体" w:hAnsi="宋体"/>
                <w:color w:val="000000"/>
                <w:sz w:val="24"/>
              </w:rPr>
              <w:t xml:space="preserve">审查，无需供应商提供材料）</w:t>
            </w:r>
            <w:r>
              <w:rPr>
                <w:rFonts w:ascii="宋体" w:hAnsi="宋体"/>
                <w:color w:val="000000"/>
                <w:sz w:val="24"/>
              </w:rPr>
            </w:r>
            <w:r/>
          </w:p>
        </w:tc>
      </w:tr>
      <w:tr>
        <w:trPr>
          <w:trHeight w:val="685"/>
        </w:trPr>
        <w:tc>
          <w:tcPr>
            <w:tcW w:w="403" w:type="dxa"/>
            <w:vAlign w:val="center"/>
            <w:textDirection w:val="lrTb"/>
            <w:noWrap w:val="false"/>
          </w:tcPr>
          <w:p>
            <w:pPr>
              <w:pStyle w:val="1147"/>
              <w:jc w:val="center"/>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8</w:t>
            </w:r>
            <w:r>
              <w:rPr>
                <w:rFonts w:ascii="宋体" w:hAnsi="宋体"/>
                <w:color w:val="000000"/>
                <w:sz w:val="24"/>
              </w:rPr>
            </w:r>
            <w:r/>
          </w:p>
        </w:tc>
        <w:tc>
          <w:tcPr>
            <w:tcW w:w="1105" w:type="dxa"/>
            <w:vAlign w:val="center"/>
            <w:textDirection w:val="lrTb"/>
            <w:noWrap w:val="false"/>
          </w:tcPr>
          <w:p>
            <w:pPr>
              <w:pStyle w:val="1147"/>
              <w:jc w:val="left"/>
              <w:widowControl/>
              <w:rPr>
                <w:rFonts w:ascii="宋体" w:hAnsi="宋体"/>
                <w:color w:val="000000"/>
                <w:sz w:val="24"/>
              </w:rPr>
            </w:pPr>
            <w:r>
              <w:rPr>
                <w:rFonts w:ascii="宋体" w:hAnsi="宋体"/>
                <w:color w:val="000000"/>
                <w:sz w:val="24"/>
              </w:rPr>
              <w:t xml:space="preserve">其他无效情形</w:t>
            </w:r>
            <w:r>
              <w:rPr>
                <w:rFonts w:ascii="宋体" w:hAnsi="宋体"/>
                <w:color w:val="000000"/>
                <w:sz w:val="24"/>
              </w:rPr>
            </w:r>
            <w:r/>
          </w:p>
        </w:tc>
        <w:tc>
          <w:tcPr>
            <w:tcW w:w="3491" w:type="dxa"/>
            <w:vAlign w:val="center"/>
            <w:textDirection w:val="lrTb"/>
            <w:noWrap w:val="false"/>
          </w:tcPr>
          <w:p>
            <w:pPr>
              <w:pStyle w:val="1147"/>
              <w:jc w:val="left"/>
              <w:widowControl/>
              <w:rPr>
                <w:rFonts w:ascii="宋体" w:hAnsi="宋体"/>
                <w:color w:val="000000"/>
                <w:sz w:val="24"/>
              </w:rPr>
            </w:pPr>
            <w:r>
              <w:rPr>
                <w:rFonts w:ascii="宋体" w:hAnsi="宋体"/>
                <w:color w:val="000000"/>
                <w:sz w:val="24"/>
              </w:rPr>
              <w:t xml:space="preserve">供应商、响应文件</w:t>
            </w:r>
            <w:r>
              <w:rPr>
                <w:rFonts w:hint="eastAsia" w:ascii="宋体" w:hAnsi="宋体"/>
                <w:color w:val="000000"/>
                <w:sz w:val="24"/>
              </w:rPr>
              <w:t xml:space="preserve">不存在</w:t>
            </w:r>
            <w:r>
              <w:rPr>
                <w:rFonts w:ascii="宋体" w:hAnsi="宋体"/>
                <w:color w:val="000000"/>
                <w:sz w:val="24"/>
              </w:rPr>
              <w:t xml:space="preserve">不符合法律、法规和磋商文件规定的其他无效情形。</w:t>
            </w:r>
            <w:r>
              <w:rPr>
                <w:rFonts w:hint="eastAsia" w:ascii="宋体" w:hAnsi="宋体"/>
                <w:color w:val="000000"/>
                <w:sz w:val="24"/>
              </w:rPr>
              <w:t xml:space="preserve">（由</w:t>
            </w:r>
            <w:r>
              <w:rPr>
                <w:rFonts w:ascii="宋体" w:hAnsi="宋体"/>
                <w:color w:val="000000"/>
                <w:sz w:val="24"/>
              </w:rPr>
              <w:t xml:space="preserve">磋商小组</w:t>
            </w:r>
            <w:r>
              <w:rPr>
                <w:rFonts w:hint="eastAsia" w:ascii="宋体" w:hAnsi="宋体"/>
                <w:color w:val="000000"/>
                <w:sz w:val="24"/>
              </w:rPr>
              <w:t xml:space="preserve">审查，无需供应商提供材料）</w:t>
            </w:r>
            <w:r>
              <w:rPr>
                <w:rFonts w:ascii="宋体" w:hAnsi="宋体"/>
                <w:color w:val="000000"/>
                <w:sz w:val="24"/>
              </w:rPr>
            </w:r>
            <w:r/>
          </w:p>
        </w:tc>
      </w:tr>
    </w:tbl>
    <w:p>
      <w:pPr>
        <w:pStyle w:val="1147"/>
        <w:numPr>
          <w:ilvl w:val="0"/>
          <w:numId w:val="12"/>
        </w:numPr>
        <w:spacing w:line="360" w:lineRule="auto"/>
        <w:tabs>
          <w:tab w:val="left" w:pos="360" w:leader="none"/>
          <w:tab w:val="left" w:pos="900" w:leader="none"/>
        </w:tabs>
        <w:rPr>
          <w:color w:val="000000"/>
          <w:sz w:val="24"/>
        </w:rPr>
        <w:outlineLvl w:val="1"/>
      </w:pPr>
      <w:r>
        <w:rPr>
          <w:color w:val="000000"/>
          <w:sz w:val="24"/>
        </w:rPr>
        <w:t xml:space="preserve">磋商、响应文件有关事项的澄清、说明或者更正和最终报价</w:t>
      </w:r>
      <w:r>
        <w:rPr>
          <w:color w:val="000000"/>
          <w:sz w:val="24"/>
        </w:rPr>
      </w:r>
      <w:r/>
    </w:p>
    <w:p>
      <w:pPr>
        <w:pStyle w:val="1147"/>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磋商小组所有成员应当集中与单一供应商分别进行磋商，并给予所有参加磋商的供应商平等的磋商机会。</w:t>
      </w:r>
      <w:r>
        <w:rPr>
          <w:color w:val="000000"/>
          <w:sz w:val="24"/>
        </w:rPr>
      </w:r>
      <w:r/>
    </w:p>
    <w:p>
      <w:pPr>
        <w:pStyle w:val="1147"/>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rPr>
      </w:r>
      <w:r/>
    </w:p>
    <w:p>
      <w:pPr>
        <w:pStyle w:val="1147"/>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对磋商文件作出的实质性变动是磋商文件的有效组成部分，磋商小组应当及时</w:t>
      </w:r>
      <w:r>
        <w:rPr>
          <w:rFonts w:hint="eastAsia"/>
          <w:color w:val="000000"/>
          <w:sz w:val="24"/>
        </w:rPr>
        <w:t xml:space="preserve">通过“苏采云”政府采购一体化平台系统</w:t>
      </w:r>
      <w:r>
        <w:rPr>
          <w:color w:val="000000"/>
          <w:sz w:val="24"/>
        </w:rPr>
        <w:t xml:space="preserve">以书面形式同时通知所有参加磋商的供应商。</w:t>
      </w:r>
      <w:r>
        <w:rPr>
          <w:color w:val="000000"/>
          <w:sz w:val="24"/>
        </w:rPr>
      </w:r>
      <w:r/>
    </w:p>
    <w:p>
      <w:pPr>
        <w:pStyle w:val="1147"/>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rPr>
      </w:r>
      <w:r/>
    </w:p>
    <w:p>
      <w:pPr>
        <w:pStyle w:val="1147"/>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响应文件的澄清、说明或者更正</w:t>
      </w:r>
      <w:r>
        <w:rPr>
          <w:rFonts w:hint="eastAsia"/>
          <w:color w:val="000000"/>
          <w:sz w:val="24"/>
        </w:rPr>
        <w:t xml:space="preserve">：</w:t>
      </w:r>
      <w:r>
        <w:rPr>
          <w:color w:val="000000"/>
          <w:sz w:val="24"/>
        </w:rPr>
      </w:r>
      <w:r/>
    </w:p>
    <w:p>
      <w:pPr>
        <w:pStyle w:val="1147"/>
        <w:ind w:left="1080"/>
        <w:spacing w:line="360" w:lineRule="auto"/>
        <w:tabs>
          <w:tab w:val="left" w:pos="1980" w:leader="none"/>
        </w:tabs>
        <w:rPr>
          <w:color w:val="000000"/>
          <w:sz w:val="24"/>
        </w:rPr>
      </w:pPr>
      <w:r>
        <w:rPr>
          <w:rFonts w:hint="eastAsia"/>
          <w:color w:val="000000"/>
          <w:sz w:val="24"/>
        </w:rPr>
        <w:t xml:space="preserve">评审</w:t>
      </w:r>
      <w:r>
        <w:rPr>
          <w:color w:val="000000"/>
          <w:sz w:val="24"/>
        </w:rPr>
        <w:t xml:space="preserve">过程中，</w:t>
      </w:r>
      <w:r>
        <w:rPr>
          <w:rFonts w:hint="eastAsia"/>
          <w:color w:val="000000"/>
          <w:sz w:val="24"/>
        </w:rPr>
        <w:t xml:space="preserve">磋商小组</w:t>
      </w:r>
      <w:r>
        <w:rPr>
          <w:color w:val="000000"/>
          <w:sz w:val="24"/>
        </w:rPr>
        <w:t xml:space="preserve">会将</w:t>
      </w:r>
      <w:r>
        <w:rPr>
          <w:rFonts w:hint="eastAsia"/>
          <w:color w:val="000000"/>
          <w:sz w:val="24"/>
        </w:rPr>
        <w:t xml:space="preserve">通过“苏采云”政府采购一体化平台系统</w:t>
      </w:r>
      <w:r>
        <w:rPr>
          <w:color w:val="000000"/>
          <w:sz w:val="24"/>
        </w:rPr>
        <w:t xml:space="preserve">以书面形式要求</w:t>
      </w:r>
      <w:r>
        <w:rPr>
          <w:rFonts w:hint="eastAsia"/>
          <w:color w:val="000000"/>
          <w:sz w:val="24"/>
        </w:rPr>
        <w:t xml:space="preserve">供应商</w:t>
      </w:r>
      <w:r>
        <w:rPr>
          <w:color w:val="000000"/>
          <w:sz w:val="24"/>
        </w:rPr>
        <w:t xml:space="preserve">对其</w:t>
      </w:r>
      <w:r>
        <w:rPr>
          <w:rFonts w:hint="eastAsia"/>
          <w:color w:val="000000"/>
          <w:sz w:val="24"/>
        </w:rPr>
        <w:t xml:space="preserve">响应</w:t>
      </w:r>
      <w:r>
        <w:rPr>
          <w:color w:val="000000"/>
          <w:sz w:val="24"/>
        </w:rPr>
        <w:t xml:space="preserve">文件中含义不明确、同类问题表述不一致或者有明显文字和计算错误的内容，作出必要的澄清、说明或者补正。</w:t>
      </w:r>
      <w:r>
        <w:rPr>
          <w:rFonts w:hint="eastAsia"/>
          <w:color w:val="000000"/>
          <w:sz w:val="24"/>
        </w:rPr>
        <w:t xml:space="preserve">供应商</w:t>
      </w:r>
      <w:r>
        <w:rPr>
          <w:color w:val="000000"/>
          <w:sz w:val="24"/>
        </w:rPr>
        <w:t xml:space="preserve">的澄清、说明或者补正应当采用书面形式，并加盖</w:t>
      </w:r>
      <w:r>
        <w:rPr>
          <w:rFonts w:hint="eastAsia"/>
          <w:color w:val="000000"/>
          <w:sz w:val="24"/>
        </w:rPr>
        <w:t xml:space="preserve">电子</w:t>
      </w:r>
      <w:r>
        <w:rPr>
          <w:color w:val="000000"/>
          <w:sz w:val="24"/>
        </w:rPr>
        <w:t xml:space="preserve">公章。</w:t>
      </w:r>
      <w:r>
        <w:rPr>
          <w:rFonts w:hint="eastAsia"/>
          <w:color w:val="000000"/>
          <w:sz w:val="24"/>
        </w:rPr>
        <w:t xml:space="preserve">供应商</w:t>
      </w:r>
      <w:r>
        <w:rPr>
          <w:color w:val="000000"/>
          <w:sz w:val="24"/>
        </w:rPr>
        <w:t xml:space="preserve">的澄清、说明或者补正不得超出</w:t>
      </w:r>
      <w:r>
        <w:rPr>
          <w:rFonts w:hint="eastAsia"/>
          <w:color w:val="000000"/>
          <w:sz w:val="24"/>
        </w:rPr>
        <w:t xml:space="preserve">响应</w:t>
      </w:r>
      <w:r>
        <w:rPr>
          <w:color w:val="000000"/>
          <w:sz w:val="24"/>
        </w:rPr>
        <w:t xml:space="preserve">文件的范围或者改变</w:t>
      </w:r>
      <w:r>
        <w:rPr>
          <w:rFonts w:hint="eastAsia"/>
          <w:color w:val="000000"/>
          <w:sz w:val="24"/>
        </w:rPr>
        <w:t xml:space="preserve">响应</w:t>
      </w:r>
      <w:r>
        <w:rPr>
          <w:color w:val="000000"/>
          <w:sz w:val="24"/>
        </w:rPr>
        <w:t xml:space="preserve">文件的实质性内容。澄清文件将作为</w:t>
      </w:r>
      <w:r>
        <w:rPr>
          <w:rFonts w:hint="eastAsia"/>
          <w:color w:val="000000"/>
          <w:sz w:val="24"/>
        </w:rPr>
        <w:t xml:space="preserve">响应</w:t>
      </w:r>
      <w:r>
        <w:rPr>
          <w:color w:val="000000"/>
          <w:sz w:val="24"/>
        </w:rPr>
        <w:t xml:space="preserve">文件内容的一部分。</w:t>
      </w:r>
      <w:r>
        <w:rPr>
          <w:color w:val="000000"/>
          <w:sz w:val="24"/>
        </w:rPr>
      </w:r>
      <w:r/>
    </w:p>
    <w:p>
      <w:pPr>
        <w:pStyle w:val="1147"/>
        <w:numPr>
          <w:ilvl w:val="1"/>
          <w:numId w:val="12"/>
        </w:numPr>
        <w:ind w:left="1077" w:hanging="720"/>
        <w:spacing w:line="360" w:lineRule="auto"/>
        <w:tabs>
          <w:tab w:val="left" w:pos="1080" w:leader="none"/>
          <w:tab w:val="left" w:pos="1589" w:leader="none"/>
          <w:tab w:val="left" w:pos="1872" w:leader="none"/>
        </w:tabs>
        <w:rPr>
          <w:b/>
          <w:color w:val="000000"/>
          <w:sz w:val="24"/>
        </w:rPr>
      </w:pPr>
      <w:r>
        <w:rPr>
          <w:b/>
          <w:color w:val="000000"/>
          <w:sz w:val="24"/>
        </w:rPr>
        <w:t xml:space="preserve">磋商结束后，磋商小组将要求所有实质性响应的供应商在规定时间内</w:t>
      </w:r>
      <w:r>
        <w:rPr>
          <w:rFonts w:hint="eastAsia"/>
          <w:b/>
          <w:color w:val="000000"/>
          <w:sz w:val="24"/>
        </w:rPr>
        <w:t xml:space="preserve">通过“苏采云”政府采购一体化平台系统</w:t>
      </w:r>
      <w:r>
        <w:rPr>
          <w:b/>
          <w:color w:val="000000"/>
          <w:sz w:val="24"/>
        </w:rPr>
        <w:t xml:space="preserve">提交最</w:t>
      </w:r>
      <w:r>
        <w:rPr>
          <w:rFonts w:hint="eastAsia"/>
          <w:b/>
          <w:color w:val="000000"/>
          <w:sz w:val="24"/>
        </w:rPr>
        <w:t xml:space="preserve">终</w:t>
      </w:r>
      <w:r>
        <w:rPr>
          <w:b/>
          <w:color w:val="000000"/>
          <w:sz w:val="24"/>
        </w:rPr>
        <w:t xml:space="preserve">报价</w:t>
      </w:r>
      <w:r>
        <w:rPr>
          <w:b/>
          <w:color w:val="000000"/>
          <w:sz w:val="24"/>
        </w:rPr>
      </w:r>
      <w:r/>
    </w:p>
    <w:p>
      <w:pPr>
        <w:pStyle w:val="1147"/>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color w:val="000000"/>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sz w:val="24"/>
        </w:rPr>
      </w:r>
      <w:r/>
    </w:p>
    <w:p>
      <w:pPr>
        <w:pStyle w:val="1147"/>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最终报价是供应商响应文件的有效组成部分。</w:t>
      </w:r>
      <w:r>
        <w:rPr>
          <w:color w:val="000000"/>
          <w:sz w:val="24"/>
        </w:rPr>
      </w:r>
      <w:r/>
    </w:p>
    <w:p>
      <w:pPr>
        <w:pStyle w:val="1147"/>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已提交响应文件的供应商，在提交最终报价之前，可以根据磋商情况退出磋商。</w:t>
      </w:r>
      <w:r>
        <w:rPr>
          <w:color w:val="000000"/>
          <w:sz w:val="24"/>
        </w:rPr>
      </w:r>
      <w:r/>
    </w:p>
    <w:p>
      <w:pPr>
        <w:pStyle w:val="1147"/>
        <w:numPr>
          <w:ilvl w:val="0"/>
          <w:numId w:val="12"/>
        </w:numPr>
        <w:spacing w:line="360" w:lineRule="auto"/>
        <w:tabs>
          <w:tab w:val="left" w:pos="360" w:leader="none"/>
          <w:tab w:val="left" w:pos="900" w:leader="none"/>
        </w:tabs>
        <w:rPr>
          <w:color w:val="000000"/>
          <w:sz w:val="24"/>
        </w:rPr>
        <w:outlineLvl w:val="1"/>
      </w:pPr>
      <w:r>
        <w:rPr>
          <w:color w:val="000000"/>
          <w:sz w:val="24"/>
        </w:rPr>
        <w:t xml:space="preserve">最终报价的算术修正及政策调整</w:t>
      </w:r>
      <w:r>
        <w:rPr>
          <w:color w:val="000000"/>
          <w:sz w:val="24"/>
        </w:rPr>
      </w:r>
      <w:r/>
    </w:p>
    <w:p>
      <w:pPr>
        <w:pStyle w:val="1147"/>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最终报价须包含竞争性磋商文件全部内容，如</w:t>
      </w:r>
      <w:r>
        <w:rPr>
          <w:rFonts w:hint="eastAsia"/>
          <w:color w:val="000000"/>
          <w:sz w:val="24"/>
        </w:rPr>
        <w:t xml:space="preserve">最后</w:t>
      </w:r>
      <w:r>
        <w:rPr>
          <w:color w:val="000000"/>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sz w:val="24"/>
        </w:rPr>
        <w:t xml:space="preserve">响应无效</w:t>
      </w:r>
      <w:r>
        <w:rPr>
          <w:color w:val="000000"/>
          <w:sz w:val="24"/>
        </w:rPr>
        <w:t xml:space="preserve">。</w:t>
      </w:r>
      <w:r>
        <w:rPr>
          <w:color w:val="000000"/>
          <w:sz w:val="24"/>
        </w:rPr>
      </w:r>
      <w:r/>
    </w:p>
    <w:p>
      <w:pPr>
        <w:pStyle w:val="1147"/>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最终报价出现前后不一致的，按照下列规定修正：</w:t>
      </w:r>
      <w:r>
        <w:rPr>
          <w:color w:val="000000"/>
          <w:sz w:val="24"/>
        </w:rPr>
      </w:r>
      <w:r/>
    </w:p>
    <w:p>
      <w:pPr>
        <w:pStyle w:val="1147"/>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color w:val="000000"/>
          <w:sz w:val="24"/>
        </w:rPr>
      </w:pPr>
      <w:r>
        <w:rPr>
          <w:color w:val="000000"/>
          <w:sz w:val="24"/>
        </w:rPr>
        <w:t xml:space="preserve">竞争性磋商文件对于报价修正是否另有规定：</w:t>
      </w:r>
      <w:r>
        <w:rPr>
          <w:color w:val="000000"/>
          <w:sz w:val="24"/>
        </w:rPr>
      </w:r>
      <w:r/>
    </w:p>
    <w:p>
      <w:pPr>
        <w:pStyle w:val="1147"/>
        <w:ind w:left="2035"/>
        <w:spacing w:line="360" w:lineRule="auto"/>
        <w:tabs>
          <w:tab w:val="left" w:pos="1080" w:leader="none"/>
          <w:tab w:val="left" w:pos="1589" w:leader="none"/>
          <w:tab w:val="left" w:pos="2035" w:leader="none"/>
          <w:tab w:val="left" w:pos="2114" w:leader="none"/>
        </w:tabs>
        <w:rPr>
          <w:color w:val="000000"/>
          <w:sz w:val="24"/>
          <w:u w:val="single"/>
        </w:rPr>
      </w:pPr>
      <w:r>
        <w:rPr>
          <w:color w:val="000000"/>
          <w:sz w:val="24"/>
        </w:rPr>
        <w:t xml:space="preserve">□有，具体规定为：___________</w:t>
      </w:r>
      <w:r>
        <w:rPr>
          <w:color w:val="000000"/>
          <w:sz w:val="24"/>
          <w:u w:val="single"/>
        </w:rPr>
      </w:r>
      <w:r/>
    </w:p>
    <w:p>
      <w:pPr>
        <w:pStyle w:val="1147"/>
        <w:ind w:left="2035"/>
        <w:spacing w:line="360" w:lineRule="auto"/>
        <w:tabs>
          <w:tab w:val="left" w:pos="1080" w:leader="none"/>
          <w:tab w:val="left" w:pos="1589" w:leader="none"/>
          <w:tab w:val="left" w:pos="2035" w:leader="none"/>
          <w:tab w:val="left" w:pos="2114" w:leader="none"/>
        </w:tabs>
        <w:rPr>
          <w:color w:val="000000"/>
          <w:sz w:val="24"/>
        </w:rPr>
      </w:pPr>
      <w:r>
        <w:rPr>
          <w:rFonts w:hint="eastAsia"/>
          <w:color w:val="000000"/>
          <w:sz w:val="24"/>
        </w:rPr>
        <w:t xml:space="preserve">☑</w:t>
      </w:r>
      <w:r>
        <w:rPr>
          <w:color w:val="000000"/>
          <w:sz w:val="24"/>
        </w:rPr>
        <w:t xml:space="preserve">无，按下述3.2.2-3.2.5项规定修正。</w:t>
      </w:r>
      <w:r>
        <w:rPr>
          <w:color w:val="000000"/>
          <w:sz w:val="24"/>
        </w:rPr>
      </w:r>
      <w:r/>
    </w:p>
    <w:p>
      <w:pPr>
        <w:pStyle w:val="1147"/>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1147"/>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单价金额小数点或者百分比有明显错位的，以最终报价一览表的总价为准，并修改单价；</w:t>
      </w:r>
      <w:r>
        <w:rPr>
          <w:color w:val="000000"/>
          <w:sz w:val="24"/>
        </w:rPr>
      </w:r>
      <w:r/>
    </w:p>
    <w:p>
      <w:pPr>
        <w:pStyle w:val="1147"/>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1147"/>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color w:val="000000"/>
          <w:sz w:val="24"/>
        </w:rPr>
      </w:pPr>
      <w:r>
        <w:rPr>
          <w:color w:val="000000"/>
          <w:sz w:val="24"/>
        </w:rPr>
        <w:t xml:space="preserve">同时出现两种以上不一致的，按照前款规定的顺序修正。修正后的报价经供应商书面确认后产生约束力，供应商不确认的，</w:t>
      </w:r>
      <w:r>
        <w:rPr>
          <w:b/>
          <w:color w:val="000000"/>
          <w:sz w:val="24"/>
        </w:rPr>
        <w:t xml:space="preserve">其响应无效</w:t>
      </w:r>
      <w:r>
        <w:rPr>
          <w:color w:val="000000"/>
          <w:sz w:val="24"/>
        </w:rPr>
        <w:t xml:space="preserve">。</w:t>
      </w:r>
      <w:r>
        <w:rPr>
          <w:color w:val="000000"/>
          <w:sz w:val="24"/>
        </w:rPr>
      </w:r>
      <w:r/>
    </w:p>
    <w:p>
      <w:pPr>
        <w:pStyle w:val="1147"/>
        <w:numPr>
          <w:ilvl w:val="1"/>
          <w:numId w:val="12"/>
        </w:numPr>
        <w:ind w:left="1077" w:hanging="720"/>
        <w:spacing w:line="360" w:lineRule="auto"/>
        <w:tabs>
          <w:tab w:val="left" w:pos="1080" w:leader="none"/>
          <w:tab w:val="left" w:pos="1589" w:leader="none"/>
          <w:tab w:val="left" w:pos="1872" w:leader="none"/>
        </w:tabs>
        <w:rPr>
          <w:b/>
          <w:bCs/>
          <w:color w:val="000000"/>
          <w:sz w:val="24"/>
        </w:rPr>
      </w:pPr>
      <w:r>
        <w:rPr>
          <w:color w:val="000000"/>
          <w:sz w:val="24"/>
        </w:rPr>
        <w:t xml:space="preserve">落实政府采购政策的价格调整：只有符合第二章《供应商须知》4.2条规定情形的，可以享受中小企业扶持政策，用扣除后的价格参加评审；否则，评审时价格不予扣除。</w:t>
      </w:r>
      <w:r>
        <w:rPr>
          <w:rFonts w:hint="eastAsia"/>
          <w:b/>
          <w:bCs/>
          <w:color w:val="000000"/>
          <w:sz w:val="24"/>
        </w:rPr>
        <w:t xml:space="preserve">如是专门面向中小企业采购的项目，不再执行价格评审优惠的扶持政策</w:t>
      </w:r>
      <w:r>
        <w:rPr>
          <w:b/>
          <w:bCs/>
          <w:color w:val="000000"/>
          <w:sz w:val="24"/>
        </w:rPr>
        <w:t xml:space="preserve">，评标时价格不予扣除。</w:t>
      </w:r>
      <w:r>
        <w:rPr>
          <w:b/>
          <w:bCs/>
          <w:color w:val="000000"/>
          <w:sz w:val="24"/>
        </w:rPr>
      </w:r>
      <w:r/>
    </w:p>
    <w:p>
      <w:pPr>
        <w:pStyle w:val="1147"/>
        <w:numPr>
          <w:ilvl w:val="2"/>
          <w:numId w:val="12"/>
        </w:numPr>
        <w:spacing w:line="360" w:lineRule="auto"/>
        <w:tabs>
          <w:tab w:val="left" w:pos="1980" w:leader="none"/>
        </w:tabs>
        <w:rPr>
          <w:color w:val="000000"/>
          <w:sz w:val="24"/>
        </w:rPr>
      </w:pPr>
      <w:r>
        <w:rPr>
          <w:color w:val="000000"/>
          <w:sz w:val="24"/>
        </w:rPr>
        <w:t xml:space="preserve">对于未预留份额专门面向中小企业采购的采购项目，以及预留份额项目中的非预留部分采购包，对</w:t>
      </w:r>
      <w:r>
        <w:rPr>
          <w:b/>
          <w:color w:val="000000"/>
          <w:sz w:val="24"/>
        </w:rPr>
        <w:t xml:space="preserve">小微企业</w:t>
      </w:r>
      <w:r>
        <w:rPr>
          <w:color w:val="000000"/>
          <w:sz w:val="24"/>
        </w:rPr>
        <w:t xml:space="preserve">报价给予</w:t>
      </w:r>
      <w:r>
        <w:rPr>
          <w:rFonts w:hint="eastAsia"/>
          <w:color w:val="000000"/>
          <w:sz w:val="24"/>
        </w:rPr>
        <w:t xml:space="preserve">20</w:t>
      </w:r>
      <w:r>
        <w:rPr>
          <w:color w:val="000000"/>
          <w:sz w:val="24"/>
        </w:rPr>
        <w:t xml:space="preserve">%的扣除，用扣除后的价格参加评审。</w:t>
      </w:r>
      <w:r>
        <w:rPr>
          <w:color w:val="000000"/>
          <w:sz w:val="24"/>
        </w:rPr>
      </w:r>
      <w:r/>
    </w:p>
    <w:p>
      <w:pPr>
        <w:pStyle w:val="1147"/>
        <w:numPr>
          <w:ilvl w:val="2"/>
          <w:numId w:val="12"/>
        </w:numPr>
        <w:spacing w:line="360" w:lineRule="auto"/>
        <w:tabs>
          <w:tab w:val="left" w:pos="1980" w:leader="none"/>
        </w:tabs>
        <w:rPr>
          <w:color w:val="000000"/>
          <w:sz w:val="24"/>
        </w:rPr>
      </w:pPr>
      <w:r>
        <w:rPr>
          <w:color w:val="000000"/>
          <w:sz w:val="24"/>
        </w:rPr>
        <w:t xml:space="preserve">对于未预留份额专门面向中小企业采购的采购项目，以及预留份额项目中的非预留部分采购包，且接受大中型企业与</w:t>
      </w:r>
      <w:r>
        <w:rPr>
          <w:b/>
          <w:color w:val="000000"/>
          <w:sz w:val="24"/>
        </w:rPr>
        <w:t xml:space="preserve">小微企业</w:t>
      </w:r>
      <w:r>
        <w:rPr>
          <w:color w:val="000000"/>
          <w:sz w:val="24"/>
        </w:rPr>
        <w:t xml:space="preserve">组成联合体或者允许大中型企业向一家或者多家</w:t>
      </w:r>
      <w:r>
        <w:rPr>
          <w:b/>
          <w:color w:val="000000"/>
          <w:sz w:val="24"/>
        </w:rPr>
        <w:t xml:space="preserve">小微企业</w:t>
      </w:r>
      <w:r>
        <w:rPr>
          <w:color w:val="000000"/>
          <w:sz w:val="24"/>
        </w:rPr>
        <w:t xml:space="preserve">分包的采购项目，对于联合协议或者分包意向协议约定</w:t>
      </w:r>
      <w:r>
        <w:rPr>
          <w:b/>
          <w:color w:val="000000"/>
          <w:sz w:val="24"/>
        </w:rPr>
        <w:t xml:space="preserve">小微企业</w:t>
      </w:r>
      <w:r>
        <w:rPr>
          <w:color w:val="000000"/>
          <w:sz w:val="24"/>
        </w:rPr>
        <w:t xml:space="preserve">的合同份额占到合同总金额 30%以上的联合体或者大中型企业的报价给予</w:t>
      </w:r>
      <w:r>
        <w:rPr>
          <w:rFonts w:hint="eastAsia"/>
          <w:color w:val="000000"/>
          <w:sz w:val="24"/>
        </w:rPr>
        <w:t xml:space="preserve">3</w:t>
      </w:r>
      <w:r>
        <w:rPr>
          <w:color w:val="000000"/>
          <w:sz w:val="24"/>
        </w:rPr>
        <w:t xml:space="preserve">%的扣除，用扣除后的价格参加评审。</w:t>
      </w:r>
      <w:r>
        <w:rPr>
          <w:color w:val="000000"/>
          <w:sz w:val="24"/>
        </w:rPr>
      </w:r>
      <w:r/>
    </w:p>
    <w:p>
      <w:pPr>
        <w:pStyle w:val="1147"/>
        <w:numPr>
          <w:ilvl w:val="2"/>
          <w:numId w:val="12"/>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组成联合体或者接受分包的小微企业与联合体内其他企业、分包企业之间存在直接控股、管理关系的，不享受价格扣除优惠政策。</w:t>
      </w:r>
      <w:r>
        <w:rPr>
          <w:color w:val="000000"/>
          <w:sz w:val="24"/>
        </w:rPr>
      </w:r>
      <w:r/>
    </w:p>
    <w:p>
      <w:pPr>
        <w:pStyle w:val="1147"/>
        <w:numPr>
          <w:ilvl w:val="2"/>
          <w:numId w:val="12"/>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价格扣除比例对小型企业和微型企业同等对待，不作区分。</w:t>
      </w:r>
      <w:r>
        <w:rPr>
          <w:color w:val="000000"/>
          <w:sz w:val="24"/>
        </w:rPr>
      </w:r>
      <w:r/>
    </w:p>
    <w:p>
      <w:pPr>
        <w:pStyle w:val="1147"/>
        <w:numPr>
          <w:ilvl w:val="2"/>
          <w:numId w:val="12"/>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中小企业参加政府采购活动，应当按照竞争性磋商文件给定的格式出具《中小企业声明函》，否则不得享受相关中小企业扶持政策。</w:t>
      </w:r>
      <w:r>
        <w:rPr>
          <w:color w:val="000000"/>
          <w:sz w:val="24"/>
        </w:rPr>
      </w:r>
      <w:r/>
    </w:p>
    <w:p>
      <w:pPr>
        <w:pStyle w:val="1147"/>
        <w:numPr>
          <w:ilvl w:val="2"/>
          <w:numId w:val="12"/>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监狱企业提供了由省级以上监狱管理局（常州市含教育矫治局）、戒毒管理局（含新疆生产建设兵团）出具的属于监狱企业的证明文件的，视同小微企业。</w:t>
      </w:r>
      <w:r>
        <w:rPr>
          <w:color w:val="000000"/>
          <w:sz w:val="24"/>
        </w:rPr>
      </w:r>
      <w:r/>
    </w:p>
    <w:p>
      <w:pPr>
        <w:pStyle w:val="1147"/>
        <w:numPr>
          <w:ilvl w:val="2"/>
          <w:numId w:val="12"/>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残疾人福利性单位按竞争性磋商文件要求提供了《残疾人福利性单位声明函》（见附件）的，视同小微企业。</w:t>
      </w:r>
      <w:r>
        <w:rPr>
          <w:color w:val="000000"/>
          <w:sz w:val="24"/>
        </w:rPr>
      </w:r>
      <w:r/>
    </w:p>
    <w:p>
      <w:pPr>
        <w:pStyle w:val="1147"/>
        <w:numPr>
          <w:ilvl w:val="2"/>
          <w:numId w:val="12"/>
        </w:numPr>
        <w:ind w:left="2035"/>
        <w:spacing w:line="360" w:lineRule="auto"/>
        <w:tabs>
          <w:tab w:val="left" w:pos="1080" w:leader="none"/>
          <w:tab w:val="left" w:pos="1589" w:leader="none"/>
          <w:tab w:val="left" w:pos="1980" w:leader="none"/>
          <w:tab w:val="left" w:pos="2014" w:leader="none"/>
        </w:tabs>
        <w:rPr>
          <w:color w:val="000000"/>
          <w:sz w:val="24"/>
        </w:rPr>
      </w:pPr>
      <w:r>
        <w:rPr>
          <w:color w:val="000000"/>
          <w:sz w:val="24"/>
        </w:rPr>
        <w:t xml:space="preserve">若供应商同时属于小型或微型企业、监狱企业、残疾人福利性单位中的两种及以上，将不重复享受小微企业价格扣减的优惠政策。</w:t>
      </w:r>
      <w:r>
        <w:rPr>
          <w:color w:val="000000"/>
          <w:sz w:val="24"/>
        </w:rPr>
      </w:r>
      <w:r/>
    </w:p>
    <w:p>
      <w:pPr>
        <w:pStyle w:val="1147"/>
        <w:numPr>
          <w:ilvl w:val="2"/>
          <w:numId w:val="12"/>
        </w:numPr>
        <w:ind w:left="2035"/>
        <w:spacing w:line="360" w:lineRule="auto"/>
        <w:tabs>
          <w:tab w:val="left" w:pos="1080" w:leader="none"/>
          <w:tab w:val="left" w:pos="1589" w:leader="none"/>
          <w:tab w:val="left" w:pos="1980" w:leader="none"/>
          <w:tab w:val="left" w:pos="2014" w:leader="none"/>
        </w:tabs>
        <w:rPr>
          <w:color w:val="000000"/>
          <w:sz w:val="24"/>
        </w:rPr>
      </w:pPr>
      <w:r>
        <w:rPr>
          <w:color w:val="000000"/>
          <w:sz w:val="24"/>
        </w:rPr>
        <w:t xml:space="preserve">其他为落实政府采购政策实施的优先采购：</w:t>
      </w:r>
      <w:r>
        <w:rPr>
          <w:rFonts w:hint="eastAsia"/>
          <w:color w:val="000000"/>
          <w:sz w:val="24"/>
          <w:u w:val="single"/>
        </w:rPr>
        <w:t xml:space="preserve"> 无 </w:t>
      </w:r>
      <w:r>
        <w:rPr>
          <w:color w:val="000000"/>
          <w:sz w:val="24"/>
        </w:rPr>
        <w:t xml:space="preserve">。</w:t>
      </w:r>
      <w:r>
        <w:rPr>
          <w:color w:val="000000"/>
          <w:sz w:val="24"/>
        </w:rPr>
      </w:r>
      <w:r/>
    </w:p>
    <w:p>
      <w:pPr>
        <w:pStyle w:val="1147"/>
        <w:numPr>
          <w:ilvl w:val="0"/>
          <w:numId w:val="12"/>
        </w:numPr>
        <w:spacing w:line="360" w:lineRule="auto"/>
        <w:tabs>
          <w:tab w:val="left" w:pos="360" w:leader="none"/>
          <w:tab w:val="left" w:pos="900" w:leader="none"/>
        </w:tabs>
        <w:rPr>
          <w:color w:val="000000"/>
          <w:sz w:val="24"/>
        </w:rPr>
        <w:outlineLvl w:val="1"/>
      </w:pPr>
      <w:r>
        <w:rPr>
          <w:color w:val="000000"/>
          <w:sz w:val="24"/>
        </w:rPr>
        <w:t xml:space="preserve">磋商环节及提交最终报价后如出现以下情况的，供应商的</w:t>
      </w:r>
      <w:r>
        <w:rPr>
          <w:b/>
          <w:color w:val="000000"/>
          <w:sz w:val="24"/>
        </w:rPr>
        <w:t xml:space="preserve">响应文件无效</w:t>
      </w:r>
      <w:r>
        <w:rPr>
          <w:color w:val="000000"/>
          <w:sz w:val="24"/>
        </w:rPr>
        <w:t xml:space="preserve">：</w:t>
      </w:r>
      <w:r>
        <w:rPr>
          <w:color w:val="000000"/>
          <w:sz w:val="24"/>
        </w:rPr>
      </w:r>
      <w:r/>
    </w:p>
    <w:p>
      <w:pPr>
        <w:pStyle w:val="1147"/>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供应商对实质性变动不予确认的；</w:t>
      </w:r>
      <w:r>
        <w:rPr>
          <w:color w:val="000000"/>
          <w:sz w:val="24"/>
        </w:rPr>
      </w:r>
      <w:r/>
    </w:p>
    <w:p>
      <w:pPr>
        <w:pStyle w:val="1147"/>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不满足磋商文件</w:t>
      </w:r>
      <w:r>
        <w:rPr>
          <w:rFonts w:ascii="Segoe UI Symbol" w:hAnsi="Segoe UI Symbol" w:cs="Segoe UI Symbol"/>
          <w:color w:val="000000"/>
          <w:sz w:val="24"/>
        </w:rPr>
        <w:t xml:space="preserve">★</w:t>
      </w:r>
      <w:r>
        <w:rPr>
          <w:color w:val="000000"/>
          <w:sz w:val="24"/>
        </w:rPr>
        <w:t xml:space="preserve">号条款或磋商文件技术指标超出磋商文件</w:t>
      </w:r>
      <w:r>
        <w:rPr>
          <w:rFonts w:hint="eastAsia"/>
          <w:color w:val="000000"/>
          <w:sz w:val="24"/>
        </w:rPr>
        <w:t xml:space="preserve">《</w:t>
      </w:r>
      <w:r>
        <w:rPr>
          <w:color w:val="000000"/>
          <w:sz w:val="24"/>
        </w:rPr>
        <w:t xml:space="preserve">采购需求</w:t>
      </w:r>
      <w:r>
        <w:rPr>
          <w:rFonts w:hint="eastAsia"/>
          <w:color w:val="000000"/>
          <w:sz w:val="24"/>
        </w:rPr>
        <w:t xml:space="preserve">》</w:t>
      </w:r>
      <w:r>
        <w:rPr>
          <w:color w:val="000000"/>
          <w:sz w:val="24"/>
        </w:rPr>
        <w:t xml:space="preserve">中主要技术参数允许偏差的最大范围的（如有）；</w:t>
      </w:r>
      <w:r>
        <w:rPr>
          <w:color w:val="000000"/>
          <w:sz w:val="24"/>
        </w:rPr>
      </w:r>
      <w:r/>
    </w:p>
    <w:p>
      <w:pPr>
        <w:pStyle w:val="1147"/>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未按照磋商小组规定的时间、逾期提交最终报价的；</w:t>
      </w:r>
      <w:r>
        <w:rPr>
          <w:color w:val="000000"/>
          <w:sz w:val="24"/>
        </w:rPr>
      </w:r>
      <w:r/>
    </w:p>
    <w:p>
      <w:pPr>
        <w:pStyle w:val="1147"/>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如供应商的最终报价超过竞争性磋商文件中规定的项目/采购包预算金额或者项目/采购包最高限价的；</w:t>
      </w:r>
      <w:r>
        <w:rPr>
          <w:color w:val="000000"/>
          <w:sz w:val="24"/>
        </w:rPr>
      </w:r>
      <w:r/>
    </w:p>
    <w:p>
      <w:pPr>
        <w:pStyle w:val="1147"/>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响应文件中出现可选择性或可调整的报价的（竞争性磋商文件另有规定的除外）；</w:t>
      </w:r>
      <w:r>
        <w:rPr>
          <w:color w:val="000000"/>
          <w:sz w:val="24"/>
        </w:rPr>
      </w:r>
      <w:r/>
    </w:p>
    <w:p>
      <w:pPr>
        <w:pStyle w:val="1147"/>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最终报价出现前后不一致，供应商对修正后的报价不予确认的；</w:t>
      </w:r>
      <w:r>
        <w:rPr>
          <w:color w:val="000000"/>
          <w:sz w:val="24"/>
        </w:rPr>
      </w:r>
      <w:r/>
    </w:p>
    <w:p>
      <w:pPr>
        <w:pStyle w:val="1147"/>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其他：______。</w:t>
      </w:r>
      <w:r>
        <w:rPr>
          <w:color w:val="000000"/>
          <w:sz w:val="24"/>
        </w:rPr>
      </w:r>
      <w:r/>
    </w:p>
    <w:p>
      <w:pPr>
        <w:pStyle w:val="1147"/>
        <w:numPr>
          <w:ilvl w:val="0"/>
          <w:numId w:val="12"/>
        </w:numPr>
        <w:spacing w:line="360" w:lineRule="auto"/>
        <w:tabs>
          <w:tab w:val="left" w:pos="360" w:leader="none"/>
          <w:tab w:val="left" w:pos="900" w:leader="none"/>
        </w:tabs>
        <w:rPr>
          <w:color w:val="000000"/>
          <w:sz w:val="24"/>
        </w:rPr>
        <w:outlineLvl w:val="1"/>
      </w:pPr>
      <w:r/>
      <w:bookmarkEnd w:id="622"/>
      <w:r/>
      <w:bookmarkEnd w:id="623"/>
      <w:r>
        <w:rPr>
          <w:color w:val="000000"/>
          <w:sz w:val="24"/>
        </w:rPr>
        <w:t xml:space="preserve">评审方法和评审标准</w:t>
      </w:r>
      <w:r>
        <w:rPr>
          <w:color w:val="000000"/>
          <w:sz w:val="24"/>
        </w:rPr>
      </w:r>
      <w:r/>
    </w:p>
    <w:p>
      <w:pPr>
        <w:pStyle w:val="1147"/>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color w:val="000000"/>
          <w:sz w:val="24"/>
        </w:rPr>
      </w:r>
      <w:r/>
    </w:p>
    <w:p>
      <w:pPr>
        <w:pStyle w:val="1147"/>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竞争性磋商文件中没有规定的评审标准不得作为评审依据。</w:t>
      </w:r>
      <w:r>
        <w:rPr>
          <w:color w:val="000000"/>
          <w:sz w:val="24"/>
        </w:rPr>
      </w:r>
      <w:r/>
    </w:p>
    <w:p>
      <w:pPr>
        <w:pStyle w:val="1147"/>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非政府强制采购的节能产品或环境标志产品，依据品目清单和认证证书实施政府优先采购。优先采购的具体规定（如涉及）______。</w:t>
      </w:r>
      <w:r>
        <w:rPr>
          <w:color w:val="000000"/>
          <w:sz w:val="24"/>
        </w:rPr>
      </w:r>
      <w:r/>
    </w:p>
    <w:p>
      <w:pPr>
        <w:pStyle w:val="1147"/>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关于无线局域网认证产品政府采购清单中的产品，优先采购的具体规定（如涉及）______。</w:t>
      </w:r>
      <w:r>
        <w:rPr>
          <w:color w:val="000000"/>
          <w:sz w:val="24"/>
        </w:rPr>
      </w:r>
      <w:r/>
    </w:p>
    <w:p>
      <w:pPr>
        <w:pStyle w:val="1147"/>
        <w:numPr>
          <w:ilvl w:val="0"/>
          <w:numId w:val="12"/>
        </w:numPr>
        <w:spacing w:line="360" w:lineRule="auto"/>
        <w:tabs>
          <w:tab w:val="left" w:pos="360" w:leader="none"/>
          <w:tab w:val="left" w:pos="900" w:leader="none"/>
        </w:tabs>
        <w:rPr>
          <w:color w:val="000000"/>
          <w:sz w:val="24"/>
        </w:rPr>
        <w:outlineLvl w:val="1"/>
      </w:pPr>
      <w:r>
        <w:rPr>
          <w:color w:val="000000"/>
          <w:sz w:val="24"/>
        </w:rPr>
        <w:t xml:space="preserve">确定</w:t>
      </w:r>
      <w:bookmarkStart w:id="638" w:name="_Toc264969236"/>
      <w:r/>
      <w:bookmarkStart w:id="639" w:name="_Toc151193644"/>
      <w:r/>
      <w:bookmarkStart w:id="640" w:name="_Toc226965736"/>
      <w:r/>
      <w:bookmarkStart w:id="641" w:name="_Toc142311048"/>
      <w:r/>
      <w:bookmarkStart w:id="642" w:name="_Toc164229387"/>
      <w:r/>
      <w:bookmarkStart w:id="643" w:name="_Toc195842911"/>
      <w:r/>
      <w:bookmarkStart w:id="644" w:name="_Toc226965819"/>
      <w:r/>
      <w:bookmarkStart w:id="645" w:name="_Toc305158814"/>
      <w:r/>
      <w:bookmarkStart w:id="646" w:name="_Toc150774646"/>
      <w:r/>
      <w:bookmarkStart w:id="647" w:name="_Toc150480784"/>
      <w:r/>
      <w:bookmarkStart w:id="648" w:name="_Toc151190173"/>
      <w:r/>
      <w:bookmarkStart w:id="649" w:name="_Toc226337242"/>
      <w:r/>
      <w:bookmarkStart w:id="650" w:name="_Toc164351640"/>
      <w:r/>
      <w:bookmarkStart w:id="651" w:name="_Toc305158888"/>
      <w:r/>
      <w:bookmarkStart w:id="652" w:name="_Ref467307010"/>
      <w:r/>
      <w:bookmarkStart w:id="653" w:name="_Toc164608660"/>
      <w:r/>
      <w:bookmarkStart w:id="654" w:name="_Toc226309790"/>
      <w:r/>
      <w:bookmarkStart w:id="655" w:name="_Toc127151747"/>
      <w:r/>
      <w:bookmarkStart w:id="656" w:name="_Toc150509297"/>
      <w:r/>
      <w:bookmarkStart w:id="657" w:name="_Toc149720839"/>
      <w:r/>
      <w:bookmarkStart w:id="658" w:name="_Toc127161460"/>
      <w:r/>
      <w:bookmarkStart w:id="659" w:name="_Toc151193860"/>
      <w:r/>
      <w:bookmarkStart w:id="660" w:name="_Toc151193934"/>
      <w:r/>
      <w:bookmarkStart w:id="661" w:name="_Toc150774751"/>
      <w:r/>
      <w:bookmarkStart w:id="662" w:name="_Toc151193788"/>
      <w:r/>
      <w:bookmarkStart w:id="663" w:name="_Toc265228384"/>
      <w:r/>
      <w:bookmarkStart w:id="664" w:name="_Toc520356170"/>
      <w:r/>
      <w:bookmarkStart w:id="665" w:name="_Toc127151546"/>
      <w:r/>
      <w:bookmarkStart w:id="666" w:name="_Toc164229241"/>
      <w:r/>
      <w:bookmarkStart w:id="667" w:name="_Toc151193716"/>
      <w:r/>
      <w:bookmarkStart w:id="668" w:name="_Toc164608815"/>
      <w:r>
        <w:rPr>
          <w:color w:val="000000"/>
          <w:sz w:val="24"/>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Pr>
          <w:color w:val="000000"/>
          <w:sz w:val="24"/>
        </w:rPr>
      </w:r>
      <w:r/>
    </w:p>
    <w:p>
      <w:pPr>
        <w:pStyle w:val="1147"/>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color w:val="000000"/>
          <w:sz w:val="24"/>
        </w:rPr>
      </w:r>
      <w:r/>
    </w:p>
    <w:p>
      <w:pPr>
        <w:pStyle w:val="1147"/>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szCs w:val="20"/>
        </w:rPr>
        <w:t xml:space="preserve">磋商小组根据上述供应商排序，依次推荐排序前</w:t>
      </w:r>
      <w:r>
        <w:rPr>
          <w:rFonts w:hint="eastAsia"/>
          <w:color w:val="000000"/>
          <w:sz w:val="24"/>
        </w:rPr>
        <w:t xml:space="preserve">3</w:t>
      </w:r>
      <w:r>
        <w:rPr>
          <w:color w:val="000000"/>
          <w:sz w:val="24"/>
        </w:rPr>
        <w:t xml:space="preserve">名</w:t>
      </w:r>
      <w:r>
        <w:rPr>
          <w:color w:val="000000"/>
          <w:sz w:val="24"/>
          <w:szCs w:val="20"/>
        </w:rPr>
        <w:t xml:space="preserve">的供应商为</w:t>
      </w:r>
      <w:r>
        <w:rPr>
          <w:color w:val="000000"/>
          <w:sz w:val="24"/>
          <w:szCs w:val="21"/>
        </w:rPr>
        <w:t xml:space="preserve">成交候选供应商</w:t>
      </w:r>
      <w:r>
        <w:rPr>
          <w:color w:val="000000"/>
          <w:sz w:val="24"/>
          <w:szCs w:val="20"/>
        </w:rPr>
        <w:t xml:space="preserve">（若在磋商文件允许的情形下提交最终报价的供应商为二家，则依次推荐二名供应商为成交候选供应商），并编写评审报告。</w:t>
      </w:r>
      <w:r>
        <w:rPr>
          <w:color w:val="000000"/>
          <w:sz w:val="24"/>
        </w:rPr>
      </w:r>
      <w:r/>
    </w:p>
    <w:p>
      <w:pPr>
        <w:pStyle w:val="1147"/>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磋商小组要对评分汇总情况进行复核，特别是对排名第一的、报价最低的、响应文件被认定为无效的情形进行重点复核。</w:t>
      </w:r>
      <w:r>
        <w:rPr>
          <w:color w:val="000000"/>
          <w:sz w:val="24"/>
        </w:rPr>
      </w:r>
      <w:r/>
    </w:p>
    <w:p>
      <w:pPr>
        <w:pStyle w:val="1147"/>
        <w:numPr>
          <w:ilvl w:val="0"/>
          <w:numId w:val="12"/>
        </w:numPr>
        <w:spacing w:line="360" w:lineRule="auto"/>
        <w:tabs>
          <w:tab w:val="left" w:pos="360" w:leader="none"/>
          <w:tab w:val="left" w:pos="900" w:leader="none"/>
        </w:tabs>
        <w:rPr>
          <w:color w:val="000000"/>
          <w:sz w:val="24"/>
        </w:rPr>
        <w:outlineLvl w:val="1"/>
      </w:pPr>
      <w:r>
        <w:rPr>
          <w:color w:val="000000"/>
          <w:sz w:val="24"/>
        </w:rPr>
        <w:t xml:space="preserve">报告违法行为</w:t>
      </w:r>
      <w:r>
        <w:rPr>
          <w:color w:val="000000"/>
          <w:sz w:val="24"/>
        </w:rPr>
      </w:r>
      <w:r/>
    </w:p>
    <w:p>
      <w:pPr>
        <w:pStyle w:val="1147"/>
        <w:numPr>
          <w:ilvl w:val="1"/>
          <w:numId w:val="12"/>
        </w:numPr>
        <w:ind w:left="1077" w:hanging="720"/>
        <w:jc w:val="left"/>
        <w:spacing w:line="360" w:lineRule="auto"/>
        <w:widowControl/>
        <w:tabs>
          <w:tab w:val="left" w:pos="1080" w:leader="none"/>
          <w:tab w:val="left" w:pos="1589" w:leader="none"/>
          <w:tab w:val="left" w:pos="1872" w:leader="none"/>
        </w:tabs>
        <w:rPr>
          <w:b/>
          <w:color w:val="000000"/>
          <w:sz w:val="24"/>
        </w:rPr>
      </w:pPr>
      <w:r>
        <w:rPr>
          <w:color w:val="000000"/>
          <w:sz w:val="24"/>
        </w:rPr>
        <w:t xml:space="preserve">磋商小组在评审过程中发现供应商有行贿、提供虚假材料或者串通等违法行为时，有向采购人、采购代理机构或者有关部门报告的职责。</w:t>
      </w:r>
      <w:r>
        <w:rPr>
          <w:b/>
          <w:color w:val="000000"/>
          <w:sz w:val="24"/>
        </w:rPr>
      </w:r>
      <w:r/>
    </w:p>
    <w:p>
      <w:pPr>
        <w:pStyle w:val="1147"/>
        <w:numPr>
          <w:ilvl w:val="0"/>
          <w:numId w:val="0"/>
        </w:numPr>
        <w:ind w:firstLine="480"/>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注：政府采购评审中出现下列情形之一的，评审委员会应当启动异常低价投标(响应)审查程序:</w:t>
      </w:r>
      <w:r>
        <w:rPr>
          <w:rFonts w:hint="eastAsia" w:ascii="Times New Roman" w:hAnsi="Times New Roman" w:eastAsia="宋体" w:cs="Times New Roman"/>
          <w:color w:val="000000"/>
          <w:sz w:val="24"/>
          <w:szCs w:val="20"/>
          <w:highlight w:val="none"/>
          <w:lang w:val="en-US" w:eastAsia="zh-CN"/>
        </w:rPr>
      </w:r>
      <w:r/>
    </w:p>
    <w:p>
      <w:pPr>
        <w:pStyle w:val="1147"/>
        <w:numPr>
          <w:ilvl w:val="0"/>
          <w:numId w:val="0"/>
        </w:numPr>
        <w:ind w:left="357" w:firstLine="480"/>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1.投标(响应)报价低于全部通过符合性审查供应商投标(响应)报价平均值50%的，即投标(响应)报价&lt;全部通过符合性审查供应商投标(响应)报价平均值x50%;</w:t>
      </w:r>
      <w:r>
        <w:rPr>
          <w:rFonts w:hint="eastAsia" w:ascii="Times New Roman" w:hAnsi="Times New Roman" w:eastAsia="宋体" w:cs="Times New Roman"/>
          <w:color w:val="000000"/>
          <w:sz w:val="24"/>
          <w:szCs w:val="20"/>
          <w:highlight w:val="none"/>
          <w:lang w:val="en-US" w:eastAsia="zh-CN"/>
        </w:rPr>
      </w:r>
      <w:r/>
    </w:p>
    <w:p>
      <w:pPr>
        <w:pStyle w:val="1147"/>
        <w:numPr>
          <w:ilvl w:val="0"/>
          <w:numId w:val="0"/>
        </w:numPr>
        <w:ind w:left="357" w:firstLine="480"/>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2.投标(响应)报价低于通过符合性审查的次低报价供应商投标(响应)报价50%的，即投标(响应)报价&lt;通过符合性审查的次低报价供应商投标(响应)报价x50%;</w:t>
      </w:r>
      <w:r>
        <w:rPr>
          <w:rFonts w:hint="eastAsia" w:ascii="Times New Roman" w:hAnsi="Times New Roman" w:eastAsia="宋体" w:cs="Times New Roman"/>
          <w:color w:val="000000"/>
          <w:sz w:val="24"/>
          <w:szCs w:val="20"/>
          <w:highlight w:val="none"/>
          <w:lang w:val="en-US" w:eastAsia="zh-CN"/>
        </w:rPr>
      </w:r>
      <w:r/>
    </w:p>
    <w:p>
      <w:pPr>
        <w:pStyle w:val="1147"/>
        <w:numPr>
          <w:ilvl w:val="0"/>
          <w:numId w:val="0"/>
        </w:numPr>
        <w:ind w:left="357" w:firstLine="480"/>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3.投标(响应)报价低于采购项目最高限价45%的，即投标(响应)报价&lt;采购项目最高限价x45%;</w:t>
      </w:r>
      <w:r>
        <w:rPr>
          <w:rFonts w:hint="eastAsia" w:ascii="Times New Roman" w:hAnsi="Times New Roman" w:eastAsia="宋体" w:cs="Times New Roman"/>
          <w:color w:val="000000"/>
          <w:sz w:val="24"/>
          <w:szCs w:val="20"/>
          <w:highlight w:val="none"/>
          <w:lang w:val="en-US" w:eastAsia="zh-CN"/>
        </w:rPr>
      </w:r>
      <w:r/>
    </w:p>
    <w:p>
      <w:pPr>
        <w:pStyle w:val="1147"/>
        <w:numPr>
          <w:ilvl w:val="0"/>
          <w:numId w:val="0"/>
        </w:numPr>
        <w:ind w:left="357" w:firstLine="480"/>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4.评审委员会基于专业判断，认为供应商报价过低，有可能影响产品质量或者不能诚信履约的其他情形。</w:t>
      </w:r>
      <w:r>
        <w:rPr>
          <w:rFonts w:hint="eastAsia" w:ascii="Times New Roman" w:hAnsi="Times New Roman" w:eastAsia="宋体" w:cs="Times New Roman"/>
          <w:color w:val="000000"/>
          <w:sz w:val="24"/>
          <w:szCs w:val="20"/>
          <w:highlight w:val="none"/>
          <w:lang w:val="en-US" w:eastAsia="zh-CN"/>
        </w:rPr>
      </w:r>
      <w:r/>
    </w:p>
    <w:p>
      <w:pPr>
        <w:pStyle w:val="1147"/>
        <w:numPr>
          <w:ilvl w:val="0"/>
          <w:numId w:val="0"/>
        </w:numPr>
        <w:ind w:left="357" w:firstLine="480"/>
        <w:spacing w:line="360" w:lineRule="auto"/>
        <w:tabs>
          <w:tab w:val="left" w:pos="1080" w:leader="none"/>
          <w:tab w:val="left" w:pos="1872" w:leader="none"/>
        </w:tabs>
        <w:rPr>
          <w:rFonts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启动异常低价投标审查后，评标委员会应当要求相关</w:t>
      </w:r>
      <w:r>
        <w:rPr>
          <w:rFonts w:ascii="Times New Roman" w:hAnsi="Times New Roman" w:eastAsia="宋体" w:cs="Times New Roman"/>
          <w:color w:val="000000"/>
          <w:sz w:val="24"/>
          <w:szCs w:val="20"/>
          <w:highlight w:val="none"/>
          <w:lang w:val="en-US" w:eastAsia="zh-CN"/>
        </w:rPr>
        <w:t xml:space="preserve">投标人</w:t>
      </w:r>
      <w:r>
        <w:rPr>
          <w:rFonts w:hint="eastAsia" w:ascii="Times New Roman" w:hAnsi="Times New Roman" w:eastAsia="宋体" w:cs="Times New Roman"/>
          <w:color w:val="000000"/>
          <w:sz w:val="24"/>
          <w:szCs w:val="20"/>
          <w:highlight w:val="none"/>
          <w:lang w:val="en-US" w:eastAsia="zh-CN"/>
        </w:rPr>
        <w:t xml:space="preserve">在评标现场合理的时间内，提供项目具体成本测算等与报价合理性相关的书面说明及相关证明材料，对投标价格作出解释，由评标委员会结合同类产品在主要电商平台的价格、该行业当地薪资水平等情况，依据专业经验对</w:t>
      </w:r>
      <w:r>
        <w:rPr>
          <w:rFonts w:ascii="Times New Roman" w:hAnsi="Times New Roman" w:eastAsia="宋体" w:cs="Times New Roman"/>
          <w:color w:val="000000"/>
          <w:sz w:val="24"/>
          <w:szCs w:val="20"/>
          <w:highlight w:val="none"/>
          <w:lang w:val="en-US" w:eastAsia="zh-CN"/>
        </w:rPr>
        <w:t xml:space="preserve">投标人</w:t>
      </w:r>
      <w:r>
        <w:rPr>
          <w:rFonts w:hint="eastAsia" w:ascii="Times New Roman" w:hAnsi="Times New Roman" w:eastAsia="宋体" w:cs="Times New Roman"/>
          <w:color w:val="000000"/>
          <w:sz w:val="24"/>
          <w:szCs w:val="20"/>
          <w:highlight w:val="none"/>
          <w:lang w:val="en-US" w:eastAsia="zh-CN"/>
        </w:rPr>
        <w:t xml:space="preserve">报价合理性进行判断。</w:t>
      </w:r>
      <w:r>
        <w:rPr>
          <w:rFonts w:ascii="Times New Roman" w:hAnsi="Times New Roman" w:eastAsia="宋体" w:cs="Times New Roman"/>
          <w:color w:val="000000"/>
          <w:sz w:val="24"/>
          <w:szCs w:val="20"/>
          <w:highlight w:val="none"/>
          <w:lang w:val="en-US" w:eastAsia="zh-CN"/>
        </w:rPr>
        <w:t xml:space="preserve">若投标人</w:t>
      </w:r>
      <w:r>
        <w:rPr>
          <w:rFonts w:hint="eastAsia" w:ascii="Times New Roman" w:hAnsi="Times New Roman" w:eastAsia="宋体" w:cs="Times New Roman"/>
          <w:color w:val="000000"/>
          <w:sz w:val="24"/>
          <w:szCs w:val="20"/>
          <w:highlight w:val="none"/>
          <w:lang w:val="en-US" w:eastAsia="zh-CN"/>
        </w:rPr>
        <w:t xml:space="preserve">不提供书面说明、证明材料，或者提供的书面说明、证明材料不能证明其报价合理性的评标委员会应当将其作为</w:t>
      </w:r>
      <w:r>
        <w:rPr>
          <w:rFonts w:ascii="Times New Roman" w:hAnsi="Times New Roman" w:eastAsia="宋体" w:cs="Times New Roman"/>
          <w:color w:val="000000"/>
          <w:sz w:val="24"/>
          <w:szCs w:val="20"/>
          <w:highlight w:val="none"/>
          <w:lang w:val="en-US" w:eastAsia="zh-CN"/>
        </w:rPr>
        <w:t xml:space="preserve">无效投标处理</w:t>
      </w:r>
      <w:r>
        <w:rPr>
          <w:rFonts w:hint="eastAsia" w:ascii="Times New Roman" w:hAnsi="Times New Roman" w:eastAsia="宋体" w:cs="Times New Roman"/>
          <w:color w:val="000000"/>
          <w:sz w:val="24"/>
          <w:szCs w:val="20"/>
          <w:highlight w:val="none"/>
          <w:lang w:val="en-US" w:eastAsia="zh-CN"/>
        </w:rPr>
        <w:t xml:space="preserve">。审查相关情况应当在评标报告中进行记录。</w:t>
      </w:r>
      <w:r>
        <w:rPr>
          <w:rFonts w:ascii="Times New Roman" w:hAnsi="Times New Roman" w:eastAsia="宋体" w:cs="Times New Roman"/>
          <w:color w:val="000000"/>
          <w:sz w:val="24"/>
          <w:szCs w:val="20"/>
          <w:highlight w:val="none"/>
          <w:lang w:val="en-US" w:eastAsia="zh-CN"/>
        </w:rPr>
      </w:r>
      <w:r/>
    </w:p>
    <w:p>
      <w:pPr>
        <w:pStyle w:val="1225"/>
        <w:rPr>
          <w:color w:val="000000"/>
          <w:sz w:val="24"/>
        </w:rPr>
      </w:pPr>
      <w:r>
        <w:rPr>
          <w:color w:val="000000"/>
          <w:sz w:val="24"/>
        </w:rPr>
      </w:r>
      <w:r/>
    </w:p>
    <w:p>
      <w:pPr>
        <w:pStyle w:val="1147"/>
        <w:rPr>
          <w:color w:val="000000"/>
          <w:sz w:val="24"/>
        </w:rPr>
      </w:pPr>
      <w:r>
        <w:rPr>
          <w:color w:val="000000"/>
          <w:sz w:val="24"/>
        </w:rPr>
      </w:r>
      <w:r/>
    </w:p>
    <w:p>
      <w:pPr>
        <w:pStyle w:val="1225"/>
        <w:rPr>
          <w:color w:val="000000"/>
          <w:sz w:val="24"/>
        </w:rPr>
      </w:pPr>
      <w:r>
        <w:rPr>
          <w:color w:val="000000"/>
          <w:sz w:val="24"/>
        </w:rPr>
      </w:r>
      <w:r/>
    </w:p>
    <w:p>
      <w:pPr>
        <w:pStyle w:val="1147"/>
        <w:rPr>
          <w:color w:val="000000"/>
          <w:sz w:val="24"/>
        </w:rPr>
      </w:pPr>
      <w:r>
        <w:rPr>
          <w:color w:val="000000"/>
          <w:sz w:val="24"/>
        </w:rPr>
      </w:r>
      <w:r/>
    </w:p>
    <w:p>
      <w:pPr>
        <w:pStyle w:val="1225"/>
        <w:rPr>
          <w:color w:val="000000"/>
          <w:sz w:val="24"/>
        </w:rPr>
      </w:pPr>
      <w:r>
        <w:rPr>
          <w:color w:val="000000"/>
          <w:sz w:val="24"/>
        </w:rPr>
      </w:r>
      <w:r/>
    </w:p>
    <w:p>
      <w:pPr>
        <w:pStyle w:val="1147"/>
      </w:pPr>
      <w:r/>
      <w:r/>
    </w:p>
    <w:p>
      <w:pPr>
        <w:pStyle w:val="1149"/>
        <w:numPr>
          <w:ilvl w:val="0"/>
          <w:numId w:val="13"/>
        </w:numPr>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评</w:t>
      </w:r>
      <w:r>
        <w:rPr>
          <w:rFonts w:hint="eastAsia" w:ascii="Times New Roman" w:hAnsi="Times New Roman" w:eastAsia="宋体"/>
          <w:color w:val="000000"/>
          <w:sz w:val="24"/>
          <w:szCs w:val="24"/>
        </w:rPr>
        <w:t xml:space="preserve">审</w:t>
      </w:r>
      <w:r>
        <w:rPr>
          <w:rFonts w:ascii="Times New Roman" w:hAnsi="Times New Roman" w:eastAsia="宋体"/>
          <w:color w:val="000000"/>
          <w:sz w:val="24"/>
          <w:szCs w:val="24"/>
        </w:rPr>
        <w:t xml:space="preserve">标准</w:t>
      </w:r>
      <w:r>
        <w:rPr>
          <w:rFonts w:ascii="Times New Roman" w:hAnsi="Times New Roman" w:eastAsia="宋体"/>
          <w:color w:val="000000"/>
          <w:sz w:val="24"/>
          <w:szCs w:val="24"/>
        </w:rPr>
      </w:r>
      <w:r/>
    </w:p>
    <w:p>
      <w:pPr>
        <w:pStyle w:val="1161"/>
        <w:numPr>
          <w:ilvl w:val="0"/>
          <w:numId w:val="0"/>
        </w:numPr>
        <w:ind w:firstLine="480"/>
        <w:keepLines w:val="0"/>
        <w:keepNext w:val="0"/>
        <w:pageBreakBefore w:val="0"/>
        <w:spacing w:line="360" w:lineRule="auto"/>
        <w:widowControl w:val="off"/>
        <w:rPr>
          <w:rFonts w:hint="eastAsia"/>
          <w:lang w:val="en-US" w:eastAsia="zh-CN"/>
        </w:rPr>
      </w:pPr>
      <w:r>
        <w:rPr>
          <w:rFonts w:hint="eastAsia"/>
          <w:lang w:val="en-US" w:eastAsia="zh-CN"/>
        </w:rPr>
        <w:t xml:space="preserve">一、本项目采用综合评分法，由评标委员会对所有有效磋商进行详细的评分，采用百分制计分方法。评标时，评标委员会各成员遵循公平、公正、择优原则，独立对每个有效供应商的标书进行评价、打分，各个供应商的评审后最终得分为汇总计算所有评委所评定分值的平均值（保留2位小数）。</w:t>
      </w:r>
      <w:r>
        <w:rPr>
          <w:rFonts w:hint="eastAsia"/>
          <w:lang w:val="en-US" w:eastAsia="zh-CN"/>
        </w:rPr>
      </w:r>
      <w:r/>
    </w:p>
    <w:p>
      <w:pPr>
        <w:pStyle w:val="1161"/>
        <w:numPr>
          <w:ilvl w:val="0"/>
          <w:numId w:val="0"/>
        </w:numPr>
        <w:ind w:firstLine="480"/>
        <w:keepLines w:val="0"/>
        <w:keepNext w:val="0"/>
        <w:pageBreakBefore w:val="0"/>
        <w:spacing w:line="360" w:lineRule="auto"/>
        <w:widowControl w:val="off"/>
        <w:rPr>
          <w:rFonts w:hint="eastAsia"/>
          <w:lang w:val="en-US" w:eastAsia="zh-CN"/>
        </w:rPr>
      </w:pPr>
      <w:r>
        <w:rPr>
          <w:rFonts w:hint="eastAsia"/>
          <w:lang w:val="en-US" w:eastAsia="zh-CN"/>
        </w:rPr>
        <w:t xml:space="preserve">二、评标结果按评审后得分由高到低顺序排列。得分相同的，按磋商报价由低到高顺序排列。得分且磋商报价相同的并列。磋商文件满足招标文件全部实质性要求，且按照评审因素的量化指标评审得分最高的供应商为排名第一的中标候选人。</w:t>
      </w:r>
      <w:r>
        <w:rPr>
          <w:rFonts w:hint="eastAsia"/>
          <w:lang w:val="en-US" w:eastAsia="zh-CN"/>
        </w:rPr>
      </w:r>
      <w:r/>
    </w:p>
    <w:p>
      <w:pPr>
        <w:pStyle w:val="1161"/>
        <w:numPr>
          <w:ilvl w:val="0"/>
          <w:numId w:val="0"/>
        </w:numPr>
        <w:ind w:firstLine="480"/>
        <w:keepLines w:val="0"/>
        <w:keepNext w:val="0"/>
        <w:pageBreakBefore w:val="0"/>
        <w:spacing w:line="360" w:lineRule="auto"/>
        <w:widowControl w:val="off"/>
      </w:pPr>
      <w:r>
        <w:rPr>
          <w:rFonts w:hint="eastAsia"/>
          <w:lang w:val="en-US" w:eastAsia="zh-CN"/>
        </w:rPr>
        <w:t xml:space="preserve">三、对于小微企业进行价格扣除：本项目专门面向中小微企业，评审价格不作扣除。</w:t>
      </w:r>
      <w:r/>
    </w:p>
    <w:tbl>
      <w:tblPr>
        <w:tblW w:w="10011" w:type="dxa"/>
        <w:jc w:val="center"/>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2"/>
        <w:gridCol w:w="1326"/>
        <w:gridCol w:w="791"/>
        <w:gridCol w:w="5512"/>
        <w:gridCol w:w="1740"/>
      </w:tblGrid>
      <w:tr>
        <w:trPr>
          <w:trHeight w:val="373"/>
        </w:trPr>
        <w:tc>
          <w:tcPr>
            <w:tcW w:w="642" w:type="dxa"/>
            <w:vAlign w:val="center"/>
            <w:textDirection w:val="lrTb"/>
            <w:noWrap w:val="false"/>
          </w:tcPr>
          <w:p>
            <w:pPr>
              <w:pStyle w:val="1147"/>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1326" w:type="dxa"/>
            <w:vAlign w:val="center"/>
            <w:textDirection w:val="lrTb"/>
            <w:noWrap w:val="false"/>
          </w:tcPr>
          <w:p>
            <w:pPr>
              <w:pStyle w:val="1147"/>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评分因素</w:t>
            </w:r>
            <w:r>
              <w:rPr>
                <w:rFonts w:hint="eastAsia" w:ascii="宋体" w:hAnsi="宋体" w:eastAsia="宋体" w:cs="宋体"/>
                <w:b/>
                <w:sz w:val="24"/>
                <w:szCs w:val="24"/>
              </w:rPr>
            </w:r>
            <w:r/>
          </w:p>
        </w:tc>
        <w:tc>
          <w:tcPr>
            <w:tcW w:w="791" w:type="dxa"/>
            <w:vAlign w:val="center"/>
            <w:textDirection w:val="lrTb"/>
            <w:noWrap w:val="false"/>
          </w:tcPr>
          <w:p>
            <w:pPr>
              <w:pStyle w:val="1147"/>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分值</w:t>
            </w:r>
            <w:r>
              <w:rPr>
                <w:rFonts w:hint="eastAsia" w:ascii="宋体" w:hAnsi="宋体" w:eastAsia="宋体" w:cs="宋体"/>
                <w:b/>
                <w:sz w:val="24"/>
                <w:szCs w:val="24"/>
              </w:rPr>
            </w:r>
            <w:r/>
          </w:p>
        </w:tc>
        <w:tc>
          <w:tcPr>
            <w:tcW w:w="5512" w:type="dxa"/>
            <w:vAlign w:val="center"/>
            <w:textDirection w:val="lrTb"/>
            <w:noWrap w:val="false"/>
          </w:tcPr>
          <w:p>
            <w:pPr>
              <w:pStyle w:val="1147"/>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评分标准</w:t>
            </w:r>
            <w:r>
              <w:rPr>
                <w:rFonts w:hint="eastAsia" w:ascii="宋体" w:hAnsi="宋体" w:eastAsia="宋体" w:cs="宋体"/>
                <w:b/>
                <w:sz w:val="24"/>
                <w:szCs w:val="24"/>
              </w:rPr>
            </w:r>
            <w:r/>
          </w:p>
        </w:tc>
        <w:tc>
          <w:tcPr>
            <w:tcW w:w="1740" w:type="dxa"/>
            <w:vAlign w:val="center"/>
            <w:textDirection w:val="lrTb"/>
            <w:noWrap w:val="false"/>
          </w:tcPr>
          <w:p>
            <w:pPr>
              <w:pStyle w:val="1392"/>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说明</w:t>
            </w:r>
            <w:r>
              <w:rPr>
                <w:rFonts w:hint="eastAsia" w:ascii="宋体" w:hAnsi="宋体" w:eastAsia="宋体" w:cs="宋体"/>
                <w:sz w:val="24"/>
                <w:szCs w:val="24"/>
              </w:rPr>
            </w:r>
            <w:r/>
          </w:p>
        </w:tc>
      </w:tr>
      <w:tr>
        <w:trPr>
          <w:trHeight w:val="2330"/>
        </w:trPr>
        <w:tc>
          <w:tcPr>
            <w:tcW w:w="642" w:type="dxa"/>
            <w:vAlign w:val="center"/>
            <w:textDirection w:val="lrTb"/>
            <w:noWrap w:val="false"/>
          </w:tcPr>
          <w:p>
            <w:pPr>
              <w:pStyle w:val="1147"/>
              <w:ind w:firstLine="28"/>
              <w:jc w:val="cente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326" w:type="dxa"/>
            <w:vAlign w:val="center"/>
            <w:textDirection w:val="lrTb"/>
            <w:noWrap w:val="false"/>
          </w:tcPr>
          <w:p>
            <w:pPr>
              <w:pStyle w:val="1147"/>
              <w:ind w:firstLine="28"/>
              <w:jc w:val="center"/>
              <w:rPr>
                <w:rFonts w:hint="eastAsia" w:ascii="宋体" w:hAnsi="宋体" w:eastAsia="宋体" w:cs="宋体"/>
                <w:sz w:val="24"/>
                <w:szCs w:val="24"/>
              </w:rPr>
            </w:pPr>
            <w:r>
              <w:rPr>
                <w:rFonts w:hint="eastAsia" w:ascii="宋体" w:hAnsi="宋体" w:eastAsia="宋体" w:cs="宋体"/>
                <w:sz w:val="24"/>
                <w:szCs w:val="24"/>
              </w:rPr>
              <w:t xml:space="preserve">价格分</w:t>
            </w:r>
            <w:r>
              <w:rPr>
                <w:rFonts w:hint="eastAsia" w:ascii="宋体" w:hAnsi="宋体" w:eastAsia="宋体" w:cs="宋体"/>
                <w:sz w:val="24"/>
                <w:szCs w:val="24"/>
              </w:rPr>
            </w:r>
            <w:r/>
          </w:p>
        </w:tc>
        <w:tc>
          <w:tcPr>
            <w:tcW w:w="791" w:type="dxa"/>
            <w:vAlign w:val="center"/>
            <w:textDirection w:val="lrTb"/>
            <w:noWrap w:val="false"/>
          </w:tcPr>
          <w:p>
            <w:pPr>
              <w:pStyle w:val="1147"/>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50</w:t>
            </w:r>
            <w:r>
              <w:rPr>
                <w:rFonts w:ascii="宋体" w:hAnsi="宋体" w:eastAsia="宋体" w:cs="宋体"/>
                <w:sz w:val="24"/>
                <w:szCs w:val="24"/>
                <w:lang w:val="en-US" w:eastAsia="zh-CN"/>
              </w:rPr>
            </w:r>
            <w:r/>
          </w:p>
        </w:tc>
        <w:tc>
          <w:tcPr>
            <w:tcW w:w="5512" w:type="dxa"/>
            <w:vAlign w:val="center"/>
            <w:textDirection w:val="lrTb"/>
            <w:noWrap w:val="false"/>
          </w:tcPr>
          <w:p>
            <w:pPr>
              <w:pStyle w:val="1147"/>
              <w:ind w:firstLine="28"/>
              <w:jc w:val="left"/>
              <w:spacing w:line="360" w:lineRule="auto"/>
              <w:rPr>
                <w:rFonts w:hint="eastAsia" w:ascii="宋体" w:hAnsi="宋体" w:eastAsia="宋体" w:cs="宋体"/>
                <w:bCs/>
                <w:sz w:val="24"/>
                <w:lang w:eastAsia="zh-CN"/>
              </w:rPr>
            </w:pPr>
            <w:r>
              <w:rPr>
                <w:rFonts w:hint="eastAsia" w:ascii="宋体" w:hAnsi="宋体" w:eastAsia="宋体" w:cs="宋体"/>
                <w:bCs/>
                <w:sz w:val="24"/>
                <w:lang w:eastAsia="zh-CN"/>
              </w:rPr>
              <w:t xml:space="preserve">采用低价优先法计算，即满足磋商文件要求且</w:t>
            </w:r>
            <w:r>
              <w:rPr>
                <w:rFonts w:hint="eastAsia" w:ascii="宋体" w:hAnsi="宋体" w:eastAsia="宋体" w:cs="宋体"/>
                <w:bCs/>
                <w:sz w:val="24"/>
                <w:lang w:val="en-US" w:eastAsia="zh-CN"/>
              </w:rPr>
              <w:t xml:space="preserve">最大的投标优惠率为评标基准优惠率</w:t>
            </w:r>
            <w:r>
              <w:rPr>
                <w:rFonts w:hint="eastAsia" w:ascii="宋体" w:hAnsi="宋体" w:eastAsia="宋体" w:cs="宋体"/>
                <w:bCs/>
                <w:sz w:val="24"/>
                <w:lang w:eastAsia="zh-CN"/>
              </w:rPr>
              <w:t xml:space="preserve">，其价格分为满分。其他响应人的价格分统一按照下列公式计算:</w:t>
            </w:r>
            <w:r>
              <w:rPr>
                <w:rFonts w:hint="eastAsia" w:ascii="宋体" w:hAnsi="宋体" w:eastAsia="宋体" w:cs="宋体"/>
                <w:bCs/>
                <w:sz w:val="24"/>
                <w:lang w:eastAsia="zh-CN"/>
              </w:rPr>
            </w:r>
            <w:r/>
          </w:p>
          <w:p>
            <w:pPr>
              <w:pStyle w:val="1147"/>
              <w:ind w:firstLine="28"/>
              <w:jc w:val="left"/>
              <w:spacing w:line="360" w:lineRule="auto"/>
              <w:rPr>
                <w:rFonts w:hint="eastAsia" w:ascii="宋体" w:hAnsi="宋体" w:eastAsia="宋体" w:cs="宋体"/>
                <w:sz w:val="24"/>
                <w:szCs w:val="24"/>
              </w:rPr>
            </w:pPr>
            <w:r>
              <w:rPr>
                <w:rFonts w:hint="eastAsia" w:ascii="宋体" w:hAnsi="宋体" w:eastAsia="宋体" w:cs="宋体"/>
                <w:bCs/>
                <w:sz w:val="24"/>
                <w:lang w:val="en-US" w:eastAsia="zh-CN"/>
              </w:rPr>
              <w:t xml:space="preserve">投标报价优惠率得分＝（（1－评标基准优惠率）／（1－其他投标优惠率））×50%×100。</w:t>
            </w:r>
            <w:r>
              <w:rPr>
                <w:rFonts w:hint="eastAsia" w:ascii="宋体" w:hAnsi="宋体" w:eastAsia="宋体" w:cs="宋体"/>
                <w:sz w:val="24"/>
                <w:szCs w:val="24"/>
              </w:rPr>
            </w:r>
            <w:r/>
          </w:p>
        </w:tc>
        <w:tc>
          <w:tcPr>
            <w:tcW w:w="1740" w:type="dxa"/>
            <w:vAlign w:val="center"/>
            <w:textDirection w:val="lrTb"/>
            <w:noWrap w:val="false"/>
          </w:tcPr>
          <w:p>
            <w:pPr>
              <w:pStyle w:val="1147"/>
              <w:ind w:left="-38"/>
              <w:rPr>
                <w:rFonts w:hint="eastAsia" w:ascii="宋体" w:hAnsi="宋体" w:eastAsia="宋体" w:cs="宋体"/>
                <w:sz w:val="24"/>
                <w:szCs w:val="24"/>
              </w:rPr>
            </w:pPr>
            <w:r>
              <w:rPr>
                <w:rFonts w:hint="eastAsia" w:ascii="宋体" w:hAnsi="宋体" w:eastAsia="宋体" w:cs="宋体"/>
                <w:sz w:val="24"/>
                <w:szCs w:val="24"/>
                <w:lang w:val="en-US" w:eastAsia="zh-CN"/>
              </w:rPr>
              <w:t xml:space="preserve">本项目属于专门面向中小企业采购的项目，不享受第三章《评审程序、评审方法和评审标准》3.3条规定</w:t>
            </w:r>
            <w:r>
              <w:rPr>
                <w:rFonts w:hint="eastAsia" w:ascii="宋体" w:hAnsi="宋体" w:eastAsia="宋体" w:cs="宋体"/>
                <w:sz w:val="24"/>
                <w:szCs w:val="24"/>
              </w:rPr>
            </w:r>
            <w:r/>
          </w:p>
        </w:tc>
      </w:tr>
      <w:tr>
        <w:trPr/>
        <w:tc>
          <w:tcPr>
            <w:tcW w:w="642" w:type="dxa"/>
            <w:vAlign w:val="center"/>
            <w:textDirection w:val="lrTb"/>
            <w:noWrap w:val="false"/>
          </w:tcPr>
          <w:p>
            <w:pPr>
              <w:pStyle w:val="1147"/>
              <w:ind w:firstLine="28"/>
              <w:jc w:val="center"/>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326" w:type="dxa"/>
            <w:vAlign w:val="center"/>
            <w:textDirection w:val="lrTb"/>
            <w:noWrap w:val="false"/>
          </w:tcPr>
          <w:p>
            <w:pPr>
              <w:pStyle w:val="1147"/>
              <w:ind w:firstLine="28"/>
              <w:jc w:val="center"/>
              <w:rPr>
                <w:rFonts w:hint="eastAsia" w:ascii="宋体" w:hAnsi="宋体" w:eastAsia="宋体" w:cs="宋体"/>
                <w:sz w:val="24"/>
                <w:szCs w:val="24"/>
              </w:rPr>
            </w:pPr>
            <w:r>
              <w:rPr>
                <w:rFonts w:hint="eastAsia" w:ascii="宋体" w:hAnsi="宋体" w:eastAsia="宋体" w:cs="宋体"/>
                <w:sz w:val="24"/>
                <w:szCs w:val="24"/>
              </w:rPr>
              <w:t xml:space="preserve">主观分</w:t>
            </w:r>
            <w:r>
              <w:rPr>
                <w:rFonts w:hint="eastAsia" w:ascii="宋体" w:hAnsi="宋体" w:eastAsia="宋体" w:cs="宋体"/>
                <w:sz w:val="24"/>
                <w:szCs w:val="24"/>
              </w:rPr>
            </w:r>
            <w:r/>
          </w:p>
        </w:tc>
        <w:tc>
          <w:tcPr>
            <w:tcW w:w="791" w:type="dxa"/>
            <w:vAlign w:val="center"/>
            <w:textDirection w:val="lrTb"/>
            <w:noWrap w:val="false"/>
          </w:tcPr>
          <w:p>
            <w:pPr>
              <w:pStyle w:val="1147"/>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38</w:t>
            </w:r>
            <w:r>
              <w:rPr>
                <w:rFonts w:ascii="宋体" w:hAnsi="宋体" w:eastAsia="宋体" w:cs="宋体"/>
                <w:sz w:val="24"/>
                <w:szCs w:val="24"/>
                <w:lang w:val="en-US" w:eastAsia="zh-CN"/>
              </w:rPr>
            </w:r>
            <w:r/>
          </w:p>
        </w:tc>
        <w:tc>
          <w:tcPr>
            <w:gridSpan w:val="2"/>
            <w:tcW w:w="7252" w:type="dxa"/>
            <w:vAlign w:val="center"/>
            <w:textDirection w:val="lrTb"/>
            <w:noWrap w:val="false"/>
          </w:tcPr>
          <w:p>
            <w:pPr>
              <w:pStyle w:val="1147"/>
              <w:rPr>
                <w:rFonts w:hint="eastAsia" w:ascii="宋体" w:hAnsi="宋体" w:eastAsia="宋体" w:cs="宋体"/>
                <w:sz w:val="24"/>
                <w:szCs w:val="24"/>
              </w:rPr>
            </w:pPr>
            <w:r>
              <w:rPr>
                <w:rFonts w:hint="eastAsia" w:ascii="宋体" w:hAnsi="宋体" w:eastAsia="宋体" w:cs="宋体"/>
                <w:sz w:val="24"/>
                <w:szCs w:val="24"/>
              </w:rPr>
            </w:r>
            <w:r/>
          </w:p>
        </w:tc>
      </w:tr>
      <w:tr>
        <w:trPr/>
        <w:tc>
          <w:tcPr>
            <w:tcW w:w="642" w:type="dxa"/>
            <w:vAlign w:val="center"/>
            <w:textDirection w:val="lrTb"/>
            <w:noWrap w:val="false"/>
          </w:tcPr>
          <w:p>
            <w:pPr>
              <w:pStyle w:val="1147"/>
              <w:ind w:firstLine="28"/>
              <w:jc w:val="center"/>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r>
            <w:r/>
          </w:p>
        </w:tc>
        <w:tc>
          <w:tcPr>
            <w:tcW w:w="1326" w:type="dxa"/>
            <w:vAlign w:val="center"/>
            <w:textDirection w:val="lrTb"/>
            <w:noWrap w:val="false"/>
          </w:tcPr>
          <w:p>
            <w:pPr>
              <w:pStyle w:val="1147"/>
              <w:jc w:val="lef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工程概况、风险管控</w:t>
            </w:r>
            <w:r>
              <w:rPr>
                <w:rFonts w:ascii="宋体" w:hAnsi="宋体" w:eastAsia="宋体" w:cs="宋体"/>
                <w:sz w:val="24"/>
                <w:szCs w:val="24"/>
                <w:lang w:val="en-US" w:eastAsia="zh-CN"/>
              </w:rPr>
            </w:r>
            <w:r/>
          </w:p>
        </w:tc>
        <w:tc>
          <w:tcPr>
            <w:tcW w:w="791" w:type="dxa"/>
            <w:vAlign w:val="center"/>
            <w:textDirection w:val="lrTb"/>
            <w:noWrap w:val="false"/>
          </w:tcPr>
          <w:p>
            <w:pPr>
              <w:pStyle w:val="1147"/>
              <w:jc w:val="center"/>
              <w:rPr>
                <w:rFonts w:ascii="宋体" w:hAnsi="宋体" w:eastAsia="宋体" w:cs="宋体"/>
                <w:sz w:val="24"/>
                <w:szCs w:val="24"/>
                <w:lang w:val="en-US" w:eastAsia="zh-CN"/>
              </w:rPr>
            </w:pPr>
            <w:r>
              <w:rPr>
                <w:rFonts w:hint="eastAsia" w:ascii="宋体" w:hAnsi="宋体" w:eastAsia="宋体" w:cs="宋体"/>
                <w:b w:val="0"/>
                <w:bCs/>
                <w:sz w:val="24"/>
                <w:szCs w:val="24"/>
                <w:highlight w:val="none"/>
                <w:lang w:val="en-US" w:eastAsia="zh-CN"/>
              </w:rPr>
              <w:t xml:space="preserve">10</w:t>
            </w:r>
            <w:r>
              <w:rPr>
                <w:rFonts w:ascii="宋体" w:hAnsi="宋体" w:eastAsia="宋体" w:cs="宋体"/>
                <w:sz w:val="24"/>
                <w:szCs w:val="24"/>
                <w:lang w:val="en-US" w:eastAsia="zh-CN"/>
              </w:rPr>
            </w:r>
            <w:r/>
          </w:p>
        </w:tc>
        <w:tc>
          <w:tcPr>
            <w:tcW w:w="5512" w:type="dxa"/>
            <w:vAlign w:val="center"/>
            <w:textDirection w:val="lrTb"/>
            <w:noWrap w:val="false"/>
          </w:tcPr>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投标人针对本项目的基础情况认知的理解分析提供情况，包含但不限于以下内容:</w:t>
            </w:r>
            <w:r>
              <w:rPr>
                <w:rFonts w:hint="eastAsia" w:ascii="宋体" w:hAnsi="宋体" w:eastAsia="宋体" w:cs="宋体"/>
                <w:bCs/>
                <w:sz w:val="24"/>
                <w:lang w:val="en-US"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w:t>
            </w:r>
            <w:r>
              <w:rPr>
                <w:rFonts w:hint="eastAsia" w:ascii="宋体" w:hAnsi="宋体" w:eastAsia="宋体" w:cs="宋体"/>
                <w:bCs/>
                <w:sz w:val="24"/>
                <w:lang w:eastAsia="zh-CN"/>
              </w:rPr>
              <w:t xml:space="preserve">工程概况、施工组织总体设想；</w:t>
            </w:r>
            <w:r>
              <w:rPr>
                <w:rFonts w:hint="eastAsia" w:ascii="宋体" w:hAnsi="宋体" w:eastAsia="宋体" w:cs="宋体"/>
                <w:bCs/>
                <w:sz w:val="24"/>
                <w:lang w:val="en-US"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（2）风险辨识与评估、风险防范措施、隐患排查与治理；</w:t>
            </w:r>
            <w:r>
              <w:rPr>
                <w:rFonts w:hint="eastAsia" w:ascii="宋体" w:hAnsi="宋体" w:eastAsia="宋体" w:cs="宋体"/>
                <w:bCs/>
                <w:sz w:val="24"/>
                <w:lang w:val="en-US"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（3）应急预案。</w:t>
            </w:r>
            <w:r>
              <w:rPr>
                <w:rFonts w:hint="eastAsia" w:ascii="宋体" w:hAnsi="宋体" w:eastAsia="宋体" w:cs="宋体"/>
                <w:bCs/>
                <w:sz w:val="24"/>
                <w:lang w:val="en-US"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评审依据:</w:t>
            </w:r>
            <w:r>
              <w:rPr>
                <w:rFonts w:hint="eastAsia" w:ascii="宋体" w:hAnsi="宋体" w:eastAsia="宋体" w:cs="宋体"/>
                <w:bCs/>
                <w:sz w:val="24"/>
                <w:lang w:val="en-US"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1.考察以上内容,每满</w:t>
            </w:r>
            <w:r>
              <w:rPr>
                <w:rFonts w:hint="eastAsia" w:ascii="宋体" w:hAnsi="宋体" w:eastAsia="宋体" w:cs="宋体"/>
                <w:bCs/>
                <w:sz w:val="24"/>
                <w:lang w:val="en-US" w:eastAsia="zh-CN"/>
              </w:rPr>
              <w:t xml:space="preserve">足任意一项内容得20%，最高得60%。</w:t>
            </w:r>
            <w:r>
              <w:rPr>
                <w:rFonts w:hint="eastAsia" w:ascii="宋体" w:hAnsi="宋体" w:eastAsia="宋体" w:cs="宋体"/>
                <w:bCs/>
                <w:sz w:val="24"/>
                <w:lang w:val="en-US"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2.在上述基础上，专家根据各投标人的具体响应内容按照量化的评审因素指标进一步评审。</w:t>
            </w:r>
            <w:r>
              <w:rPr>
                <w:rFonts w:hint="eastAsia" w:ascii="宋体" w:hAnsi="宋体" w:eastAsia="宋体" w:cs="宋体"/>
                <w:bCs/>
                <w:sz w:val="24"/>
                <w:lang w:val="en-US"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(1)阐述方案总体设计科学合理对采购要求应答完整、清晰、有针对性的，评审为优加40%:</w:t>
            </w:r>
            <w:r>
              <w:rPr>
                <w:rFonts w:hint="eastAsia" w:ascii="宋体" w:hAnsi="宋体" w:eastAsia="宋体" w:cs="宋体"/>
                <w:bCs/>
                <w:sz w:val="24"/>
                <w:lang w:val="en-US"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(2)阐述方案总体设计较合理的，评审为良加20%;</w:t>
            </w:r>
            <w:r>
              <w:rPr>
                <w:rFonts w:hint="eastAsia" w:ascii="宋体" w:hAnsi="宋体" w:eastAsia="宋体" w:cs="宋体"/>
                <w:bCs/>
                <w:sz w:val="24"/>
                <w:lang w:val="en-US"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(3)阐述方案总体设计一般的，评审为中加10%;</w:t>
            </w:r>
            <w:r>
              <w:rPr>
                <w:rFonts w:hint="eastAsia" w:ascii="宋体" w:hAnsi="宋体" w:eastAsia="宋体" w:cs="宋体"/>
                <w:bCs/>
                <w:sz w:val="24"/>
                <w:lang w:val="en-US"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(4)阐述方案总体设计不完整的，评审为差不加分。</w:t>
            </w:r>
            <w:r>
              <w:rPr>
                <w:rFonts w:hint="eastAsia" w:ascii="宋体" w:hAnsi="宋体" w:eastAsia="宋体" w:cs="宋体"/>
                <w:bCs/>
                <w:sz w:val="24"/>
                <w:lang w:val="en-US"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(5)不提供不得分。</w:t>
            </w:r>
            <w:r>
              <w:rPr>
                <w:rFonts w:hint="eastAsia" w:ascii="宋体" w:hAnsi="宋体" w:eastAsia="宋体" w:cs="宋体"/>
                <w:bCs/>
                <w:sz w:val="24"/>
                <w:lang w:val="en-US" w:eastAsia="zh-CN"/>
              </w:rPr>
            </w:r>
            <w:r/>
          </w:p>
        </w:tc>
        <w:tc>
          <w:tcPr>
            <w:tcW w:w="1740" w:type="dxa"/>
            <w:vAlign w:val="center"/>
            <w:textDirection w:val="lrTb"/>
            <w:noWrap w:val="false"/>
          </w:tcPr>
          <w:p>
            <w:pPr>
              <w:pStyle w:val="1147"/>
              <w:ind w:left="-38"/>
              <w:jc w:val="center"/>
              <w:rPr>
                <w:rFonts w:hint="eastAsia" w:ascii="宋体" w:hAnsi="宋体" w:eastAsia="宋体" w:cs="宋体"/>
                <w:sz w:val="24"/>
                <w:szCs w:val="24"/>
              </w:rPr>
            </w:pPr>
            <w:r>
              <w:rPr>
                <w:rFonts w:hint="eastAsia" w:ascii="宋体" w:hAnsi="宋体" w:eastAsia="宋体" w:cs="宋体"/>
                <w:sz w:val="24"/>
                <w:szCs w:val="24"/>
              </w:rPr>
            </w:r>
            <w:r/>
          </w:p>
        </w:tc>
      </w:tr>
      <w:tr>
        <w:trPr/>
        <w:tc>
          <w:tcPr>
            <w:tcW w:w="642" w:type="dxa"/>
            <w:vAlign w:val="center"/>
            <w:textDirection w:val="lrTb"/>
            <w:noWrap w:val="false"/>
          </w:tcPr>
          <w:p>
            <w:pPr>
              <w:pStyle w:val="1147"/>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lang w:val="en-US" w:eastAsia="zh-CN"/>
              </w:rPr>
            </w:r>
            <w:r/>
          </w:p>
        </w:tc>
        <w:tc>
          <w:tcPr>
            <w:tcW w:w="1326" w:type="dxa"/>
            <w:vAlign w:val="center"/>
            <w:textDirection w:val="lrTb"/>
            <w:noWrap w:val="false"/>
          </w:tcPr>
          <w:p>
            <w:pPr>
              <w:pStyle w:val="1147"/>
              <w:ind w:firstLine="28"/>
              <w:jc w:val="center"/>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关键施工技术、成本控制的针对性措施</w:t>
            </w:r>
            <w:r>
              <w:rPr>
                <w:rFonts w:hint="eastAsia" w:ascii="宋体" w:hAnsi="宋体" w:eastAsia="宋体" w:cs="宋体"/>
                <w:sz w:val="24"/>
                <w:szCs w:val="24"/>
              </w:rPr>
            </w:r>
            <w:r/>
          </w:p>
        </w:tc>
        <w:tc>
          <w:tcPr>
            <w:tcW w:w="791" w:type="dxa"/>
            <w:vAlign w:val="center"/>
            <w:textDirection w:val="lrTb"/>
            <w:noWrap w:val="false"/>
          </w:tcPr>
          <w:p>
            <w:pPr>
              <w:pStyle w:val="1147"/>
              <w:ind w:firstLine="28"/>
              <w:jc w:val="center"/>
              <w:spacing w:line="360" w:lineRule="auto"/>
              <w:rPr>
                <w:rFonts w:ascii="宋体" w:hAnsi="宋体" w:eastAsia="宋体" w:cs="宋体"/>
                <w:sz w:val="24"/>
                <w:szCs w:val="24"/>
                <w:lang w:val="en-US" w:eastAsia="zh-CN"/>
              </w:rPr>
            </w:pPr>
            <w:r>
              <w:rPr>
                <w:rFonts w:hint="eastAsia" w:ascii="宋体" w:hAnsi="宋体" w:eastAsia="宋体" w:cs="宋体"/>
                <w:b w:val="0"/>
                <w:bCs/>
                <w:color w:val="000000"/>
                <w:sz w:val="24"/>
                <w:szCs w:val="24"/>
                <w:highlight w:val="none"/>
                <w:lang w:val="en-US" w:eastAsia="zh-CN"/>
              </w:rPr>
              <w:t xml:space="preserve">10</w:t>
            </w:r>
            <w:r>
              <w:rPr>
                <w:rFonts w:ascii="宋体" w:hAnsi="宋体" w:eastAsia="宋体" w:cs="宋体"/>
                <w:sz w:val="24"/>
                <w:szCs w:val="24"/>
                <w:lang w:val="en-US" w:eastAsia="zh-CN"/>
              </w:rPr>
            </w:r>
            <w:r/>
          </w:p>
        </w:tc>
        <w:tc>
          <w:tcPr>
            <w:tcW w:w="5512" w:type="dxa"/>
            <w:vAlign w:val="center"/>
            <w:textDirection w:val="lrTb"/>
            <w:noWrap w:val="false"/>
          </w:tcPr>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eastAsia="zh-CN"/>
              </w:rPr>
              <w:t xml:space="preserve">针对本项目</w:t>
            </w:r>
            <w:r>
              <w:rPr>
                <w:rFonts w:hint="eastAsia" w:ascii="宋体" w:hAnsi="宋体" w:eastAsia="宋体" w:cs="宋体"/>
                <w:bCs/>
                <w:sz w:val="24"/>
                <w:lang w:val="en-US" w:eastAsia="zh-CN"/>
              </w:rPr>
              <w:t xml:space="preserve">年度内东城街道辖区范围内主要内容包括但不限于建筑（室内外）维修、零星装饰、门窗维修、屋顶墙面防水防漏维修、场地维修、围墙围挡维修、水电消防设施改造等及采购人要求其他维修内容的：</w:t>
            </w:r>
            <w:r>
              <w:rPr>
                <w:rFonts w:hint="eastAsia" w:ascii="宋体" w:hAnsi="宋体" w:eastAsia="宋体" w:cs="宋体"/>
                <w:bCs/>
                <w:sz w:val="24"/>
                <w:lang w:val="en-US" w:eastAsia="zh-CN"/>
              </w:rPr>
            </w:r>
            <w:r/>
          </w:p>
          <w:p>
            <w:pPr>
              <w:pStyle w:val="1147"/>
              <w:numPr>
                <w:ilvl w:val="0"/>
                <w:numId w:val="14"/>
              </w:numPr>
              <w:ind w:firstLine="28"/>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关键施工技术措施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1147"/>
              <w:numPr>
                <w:ilvl w:val="0"/>
                <w:numId w:val="14"/>
              </w:numPr>
              <w:ind w:firstLine="28"/>
              <w:jc w:val="left"/>
              <w:spacing w:line="360" w:lineRule="auto"/>
              <w:rPr>
                <w:rFonts w:hint="eastAsia" w:ascii="宋体" w:hAnsi="宋体" w:eastAsia="宋体" w:cs="宋体"/>
                <w:bCs/>
                <w:sz w:val="24"/>
                <w:lang w:eastAsia="zh-CN"/>
              </w:rPr>
            </w:pPr>
            <w:r>
              <w:rPr>
                <w:rFonts w:hint="eastAsia" w:ascii="宋体" w:hAnsi="宋体" w:eastAsia="宋体" w:cs="宋体"/>
                <w:bCs/>
                <w:sz w:val="24"/>
                <w:lang w:eastAsia="zh-CN"/>
              </w:rPr>
              <w:t xml:space="preserve">成本控制的针对性措施；</w:t>
            </w:r>
            <w:r>
              <w:rPr>
                <w:rFonts w:hint="eastAsia" w:ascii="宋体" w:hAnsi="宋体" w:eastAsia="宋体" w:cs="宋体"/>
                <w:bCs/>
                <w:sz w:val="24"/>
                <w:lang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评审依据:</w:t>
            </w:r>
            <w:r>
              <w:rPr>
                <w:rFonts w:hint="eastAsia" w:ascii="宋体" w:hAnsi="宋体" w:eastAsia="宋体" w:cs="宋体"/>
                <w:bCs/>
                <w:sz w:val="24"/>
                <w:lang w:val="en-US"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w:t>
            </w:r>
            <w:r>
              <w:rPr>
                <w:rFonts w:hint="eastAsia" w:ascii="宋体" w:hAnsi="宋体" w:eastAsia="宋体" w:cs="宋体"/>
                <w:bCs/>
                <w:sz w:val="24"/>
                <w:lang w:val="en-US" w:eastAsia="zh-CN"/>
              </w:rPr>
              <w:t xml:space="preserve">考察以上内容,每满足任意一项内容得30%，最高得60%。</w:t>
            </w:r>
            <w:r>
              <w:rPr>
                <w:rFonts w:hint="eastAsia" w:ascii="宋体" w:hAnsi="宋体" w:eastAsia="宋体" w:cs="宋体"/>
                <w:bCs/>
                <w:sz w:val="24"/>
                <w:lang w:val="en-US"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2.在上述基础上，专家根据各投标人的具体响应内容按照量化的评审因素指标进一步评审。</w:t>
            </w:r>
            <w:r>
              <w:rPr>
                <w:rFonts w:hint="eastAsia" w:ascii="宋体" w:hAnsi="宋体" w:eastAsia="宋体" w:cs="宋体"/>
                <w:bCs/>
                <w:sz w:val="24"/>
                <w:lang w:val="en-US"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(1)阐述方案总体设计科学合理对采购要求应答完整、清晰、有针对性的，评审为优加40%:</w:t>
            </w:r>
            <w:r>
              <w:rPr>
                <w:rFonts w:hint="eastAsia" w:ascii="宋体" w:hAnsi="宋体" w:eastAsia="宋体" w:cs="宋体"/>
                <w:bCs/>
                <w:sz w:val="24"/>
                <w:lang w:val="en-US"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(2)阐述方案总体设计较合理的，评审为良加20%;</w:t>
            </w:r>
            <w:r>
              <w:rPr>
                <w:rFonts w:hint="eastAsia" w:ascii="宋体" w:hAnsi="宋体" w:eastAsia="宋体" w:cs="宋体"/>
                <w:bCs/>
                <w:sz w:val="24"/>
                <w:lang w:val="en-US"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(3)阐述方案总体设计一般的，评审为中加10%;</w:t>
            </w:r>
            <w:r>
              <w:rPr>
                <w:rFonts w:hint="eastAsia" w:ascii="宋体" w:hAnsi="宋体" w:eastAsia="宋体" w:cs="宋体"/>
                <w:bCs/>
                <w:sz w:val="24"/>
                <w:lang w:val="en-US"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(4)阐述方案总体设计不完整的，评审为差不加分。</w:t>
            </w:r>
            <w:r>
              <w:rPr>
                <w:rFonts w:hint="eastAsia" w:ascii="宋体" w:hAnsi="宋体" w:eastAsia="宋体" w:cs="宋体"/>
                <w:bCs/>
                <w:sz w:val="24"/>
                <w:lang w:val="en-US"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(5)不提供不得分。</w:t>
            </w:r>
            <w:r>
              <w:rPr>
                <w:rFonts w:hint="eastAsia" w:ascii="宋体" w:hAnsi="宋体" w:eastAsia="宋体" w:cs="宋体"/>
                <w:bCs/>
                <w:sz w:val="24"/>
                <w:lang w:val="en-US" w:eastAsia="zh-CN"/>
              </w:rPr>
            </w:r>
            <w:r/>
          </w:p>
        </w:tc>
        <w:tc>
          <w:tcPr>
            <w:tcW w:w="1740" w:type="dxa"/>
            <w:vAlign w:val="center"/>
            <w:textDirection w:val="lrTb"/>
            <w:noWrap w:val="false"/>
          </w:tcPr>
          <w:p>
            <w:pPr>
              <w:pStyle w:val="1147"/>
              <w:ind w:left="-38"/>
              <w:jc w:val="center"/>
              <w:rPr>
                <w:rFonts w:hint="eastAsia" w:ascii="宋体" w:hAnsi="宋体" w:eastAsia="宋体" w:cs="宋体"/>
                <w:sz w:val="24"/>
                <w:szCs w:val="24"/>
              </w:rPr>
            </w:pPr>
            <w:r>
              <w:rPr>
                <w:rFonts w:hint="eastAsia" w:ascii="宋体" w:hAnsi="宋体" w:eastAsia="宋体" w:cs="宋体"/>
                <w:sz w:val="24"/>
                <w:szCs w:val="24"/>
              </w:rPr>
            </w:r>
            <w:r/>
          </w:p>
        </w:tc>
      </w:tr>
      <w:tr>
        <w:trPr/>
        <w:tc>
          <w:tcPr>
            <w:tcW w:w="642" w:type="dxa"/>
            <w:vAlign w:val="center"/>
            <w:textDirection w:val="lrTb"/>
            <w:noWrap w:val="false"/>
          </w:tcPr>
          <w:p>
            <w:pPr>
              <w:pStyle w:val="1147"/>
              <w:ind w:firstLine="28"/>
              <w:jc w:val="center"/>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r>
            <w:r/>
          </w:p>
        </w:tc>
        <w:tc>
          <w:tcPr>
            <w:tcW w:w="1326" w:type="dxa"/>
            <w:vAlign w:val="center"/>
            <w:textDirection w:val="lrTb"/>
            <w:noWrap w:val="false"/>
          </w:tcPr>
          <w:p>
            <w:pPr>
              <w:pStyle w:val="1147"/>
              <w:ind w:firstLine="28"/>
              <w:jc w:val="center"/>
              <w:rPr>
                <w:rFonts w:hint="eastAsia" w:ascii="宋体" w:hAnsi="宋体" w:eastAsia="宋体" w:cs="宋体"/>
                <w:sz w:val="24"/>
                <w:szCs w:val="24"/>
              </w:rPr>
            </w:pPr>
            <w:r>
              <w:rPr>
                <w:rFonts w:hint="eastAsia" w:ascii="宋体" w:hAnsi="宋体" w:eastAsia="宋体" w:cs="宋体"/>
                <w:sz w:val="24"/>
                <w:szCs w:val="24"/>
                <w:highlight w:val="none"/>
              </w:rPr>
              <w:t xml:space="preserve">安全文明施工、环境保护措施及质量保证措施</w:t>
            </w:r>
            <w:r>
              <w:rPr>
                <w:rFonts w:hint="eastAsia" w:ascii="宋体" w:hAnsi="宋体" w:eastAsia="宋体" w:cs="宋体"/>
                <w:sz w:val="24"/>
                <w:szCs w:val="24"/>
              </w:rPr>
            </w:r>
            <w:r/>
          </w:p>
        </w:tc>
        <w:tc>
          <w:tcPr>
            <w:tcW w:w="791" w:type="dxa"/>
            <w:vAlign w:val="center"/>
            <w:textDirection w:val="lrTb"/>
            <w:noWrap w:val="false"/>
          </w:tcPr>
          <w:p>
            <w:pPr>
              <w:pStyle w:val="1147"/>
              <w:ind w:firstLine="28"/>
              <w:jc w:val="center"/>
              <w:rPr>
                <w:rFonts w:hint="eastAsia" w:ascii="宋体" w:hAnsi="宋体" w:eastAsia="宋体" w:cs="宋体"/>
                <w:sz w:val="24"/>
                <w:szCs w:val="24"/>
                <w:lang w:eastAsia="zh-CN"/>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lang w:eastAsia="zh-CN"/>
              </w:rPr>
            </w:r>
            <w:r/>
          </w:p>
        </w:tc>
        <w:tc>
          <w:tcPr>
            <w:tcW w:w="5512" w:type="dxa"/>
            <w:vAlign w:val="center"/>
            <w:textDirection w:val="lrTb"/>
            <w:noWrap w:val="false"/>
          </w:tcPr>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eastAsia="zh-CN"/>
              </w:rPr>
              <w:t xml:space="preserve">针对</w:t>
            </w:r>
            <w:r>
              <w:rPr>
                <w:rFonts w:hint="eastAsia" w:ascii="宋体" w:hAnsi="宋体" w:eastAsia="宋体" w:cs="宋体"/>
                <w:bCs/>
                <w:sz w:val="24"/>
                <w:lang w:val="en-US" w:eastAsia="zh-CN"/>
              </w:rPr>
              <w:t xml:space="preserve">东城街道</w:t>
            </w:r>
            <w:r>
              <w:rPr>
                <w:rFonts w:hint="eastAsia" w:ascii="宋体" w:hAnsi="宋体" w:eastAsia="宋体" w:cs="宋体"/>
                <w:bCs/>
                <w:sz w:val="24"/>
                <w:lang w:eastAsia="zh-CN"/>
              </w:rPr>
              <w:t xml:space="preserve">零星维修</w:t>
            </w:r>
            <w:r>
              <w:rPr>
                <w:rFonts w:hint="eastAsia" w:ascii="宋体" w:hAnsi="宋体" w:eastAsia="宋体" w:cs="宋体"/>
                <w:bCs/>
                <w:sz w:val="24"/>
                <w:lang w:val="en-US" w:eastAsia="zh-CN"/>
              </w:rPr>
              <w:t xml:space="preserve">项目</w:t>
            </w:r>
            <w:r>
              <w:rPr>
                <w:rFonts w:hint="eastAsia" w:ascii="宋体" w:hAnsi="宋体" w:eastAsia="宋体" w:cs="宋体"/>
                <w:bCs/>
                <w:sz w:val="24"/>
                <w:lang w:eastAsia="zh-CN"/>
              </w:rPr>
              <w:t xml:space="preserve">的特点，供应商提供针对不同施工环境</w:t>
            </w:r>
            <w:r>
              <w:rPr>
                <w:rFonts w:hint="eastAsia" w:ascii="宋体" w:hAnsi="宋体" w:eastAsia="宋体" w:cs="宋体"/>
                <w:bCs/>
                <w:sz w:val="24"/>
                <w:lang w:val="en-US" w:eastAsia="zh-CN"/>
              </w:rPr>
              <w:t xml:space="preserve">提出相应的：</w:t>
            </w:r>
            <w:r>
              <w:rPr>
                <w:rFonts w:hint="eastAsia" w:ascii="宋体" w:hAnsi="宋体" w:eastAsia="宋体" w:cs="宋体"/>
                <w:bCs/>
                <w:sz w:val="24"/>
                <w:lang w:val="en-US" w:eastAsia="zh-CN"/>
              </w:rPr>
            </w:r>
            <w:r/>
          </w:p>
          <w:p>
            <w:pPr>
              <w:pStyle w:val="1147"/>
              <w:ind w:firstLine="28"/>
              <w:jc w:val="left"/>
              <w:spacing w:line="360" w:lineRule="auto"/>
              <w:rPr>
                <w:rFonts w:hint="eastAsia" w:ascii="宋体" w:hAnsi="宋体" w:eastAsia="宋体" w:cs="宋体"/>
                <w:bCs/>
                <w:sz w:val="24"/>
                <w:lang w:eastAsia="zh-CN"/>
              </w:rPr>
            </w:pP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1</w:t>
            </w:r>
            <w:r>
              <w:rPr>
                <w:rFonts w:hint="eastAsia" w:ascii="宋体" w:hAnsi="宋体" w:eastAsia="宋体" w:cs="宋体"/>
                <w:bCs/>
                <w:sz w:val="24"/>
                <w:lang w:eastAsia="zh-CN"/>
              </w:rPr>
              <w:t xml:space="preserve">）安全文明施工</w:t>
            </w:r>
            <w:r>
              <w:rPr>
                <w:rFonts w:hint="eastAsia" w:ascii="宋体" w:hAnsi="宋体" w:eastAsia="宋体" w:cs="宋体"/>
                <w:bCs/>
                <w:sz w:val="24"/>
                <w:lang w:eastAsia="zh-CN"/>
              </w:rPr>
              <w:t xml:space="preserve">措施；</w:t>
            </w:r>
            <w:r>
              <w:rPr>
                <w:rFonts w:hint="eastAsia" w:ascii="宋体" w:hAnsi="宋体" w:eastAsia="宋体" w:cs="宋体"/>
                <w:bCs/>
                <w:sz w:val="24"/>
                <w:lang w:eastAsia="zh-CN"/>
              </w:rPr>
            </w:r>
            <w:r/>
          </w:p>
          <w:p>
            <w:pPr>
              <w:pStyle w:val="1147"/>
              <w:numPr>
                <w:ilvl w:val="0"/>
                <w:numId w:val="0"/>
              </w:numPr>
              <w:jc w:val="left"/>
              <w:spacing w:line="360" w:lineRule="auto"/>
              <w:rPr>
                <w:rFonts w:hint="eastAsia" w:ascii="宋体" w:hAnsi="宋体" w:eastAsia="宋体" w:cs="宋体"/>
                <w:bCs/>
                <w:sz w:val="24"/>
                <w:lang w:eastAsia="zh-CN"/>
              </w:rPr>
            </w:pP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2</w:t>
            </w:r>
            <w:r>
              <w:rPr>
                <w:rFonts w:hint="eastAsia" w:ascii="宋体" w:hAnsi="宋体" w:eastAsia="宋体" w:cs="宋体"/>
                <w:bCs/>
                <w:sz w:val="24"/>
                <w:lang w:eastAsia="zh-CN"/>
              </w:rPr>
              <w:t xml:space="preserve">）</w:t>
            </w:r>
            <w:r>
              <w:rPr>
                <w:rFonts w:hint="eastAsia" w:ascii="宋体" w:hAnsi="宋体" w:eastAsia="宋体" w:cs="宋体"/>
                <w:bCs/>
                <w:sz w:val="24"/>
                <w:lang w:eastAsia="zh-CN"/>
              </w:rPr>
              <w:t xml:space="preserve">环境保护措施；</w:t>
            </w:r>
            <w:r>
              <w:rPr>
                <w:rFonts w:hint="eastAsia" w:ascii="宋体" w:hAnsi="宋体" w:eastAsia="宋体" w:cs="宋体"/>
                <w:bCs/>
                <w:sz w:val="24"/>
                <w:lang w:eastAsia="zh-CN"/>
              </w:rPr>
            </w:r>
            <w:r/>
          </w:p>
          <w:p>
            <w:pPr>
              <w:pStyle w:val="1147"/>
              <w:numPr>
                <w:ilvl w:val="0"/>
                <w:numId w:val="0"/>
              </w:numPr>
              <w:jc w:val="left"/>
              <w:spacing w:line="360" w:lineRule="auto"/>
              <w:rPr>
                <w:rFonts w:hint="eastAsia" w:ascii="宋体" w:hAnsi="宋体" w:eastAsia="宋体" w:cs="宋体"/>
                <w:bCs/>
                <w:sz w:val="24"/>
                <w:lang w:eastAsia="zh-CN"/>
              </w:rPr>
            </w:pP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3</w:t>
            </w:r>
            <w:r>
              <w:rPr>
                <w:rFonts w:hint="eastAsia" w:ascii="宋体" w:hAnsi="宋体" w:eastAsia="宋体" w:cs="宋体"/>
                <w:bCs/>
                <w:sz w:val="24"/>
                <w:lang w:eastAsia="zh-CN"/>
              </w:rPr>
              <w:t xml:space="preserve">）</w:t>
            </w:r>
            <w:r>
              <w:rPr>
                <w:rFonts w:hint="eastAsia" w:ascii="宋体" w:hAnsi="宋体" w:eastAsia="宋体" w:cs="宋体"/>
                <w:bCs/>
                <w:sz w:val="24"/>
                <w:lang w:eastAsia="zh-CN"/>
              </w:rPr>
              <w:t xml:space="preserve">质量保证措施：</w:t>
            </w:r>
            <w:r>
              <w:rPr>
                <w:rFonts w:hint="eastAsia" w:ascii="宋体" w:hAnsi="宋体" w:eastAsia="宋体" w:cs="宋体"/>
                <w:bCs/>
                <w:sz w:val="24"/>
                <w:lang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评审依据:</w:t>
            </w:r>
            <w:r>
              <w:rPr>
                <w:rFonts w:hint="eastAsia" w:ascii="宋体" w:hAnsi="宋体" w:eastAsia="宋体" w:cs="宋体"/>
                <w:bCs/>
                <w:sz w:val="24"/>
                <w:lang w:val="en-US"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1.考察以上内容,每满足任意一项内容得20%，最高得 60%。</w:t>
            </w:r>
            <w:r>
              <w:rPr>
                <w:rFonts w:hint="eastAsia" w:ascii="宋体" w:hAnsi="宋体" w:eastAsia="宋体" w:cs="宋体"/>
                <w:bCs/>
                <w:sz w:val="24"/>
                <w:lang w:val="en-US"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2.在上述基础上，专家根据各投标人的具体响应内容按照量化的评审因素指标进一步评审。</w:t>
            </w:r>
            <w:r>
              <w:rPr>
                <w:rFonts w:hint="eastAsia" w:ascii="宋体" w:hAnsi="宋体" w:eastAsia="宋体" w:cs="宋体"/>
                <w:bCs/>
                <w:sz w:val="24"/>
                <w:lang w:val="en-US"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(1)阐述方案总体设计科学合理对采购要求应答完整、清晰、有针对性的，评审为优加40%:</w:t>
            </w:r>
            <w:r>
              <w:rPr>
                <w:rFonts w:hint="eastAsia" w:ascii="宋体" w:hAnsi="宋体" w:eastAsia="宋体" w:cs="宋体"/>
                <w:bCs/>
                <w:sz w:val="24"/>
                <w:lang w:val="en-US"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(2)阐述方案总体设计较合理的，评审为良加20%;</w:t>
            </w:r>
            <w:r>
              <w:rPr>
                <w:rFonts w:hint="eastAsia" w:ascii="宋体" w:hAnsi="宋体" w:eastAsia="宋体" w:cs="宋体"/>
                <w:bCs/>
                <w:sz w:val="24"/>
                <w:lang w:val="en-US"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(3)阐述方案总体设计一般的，评审为中加10%;</w:t>
            </w:r>
            <w:r>
              <w:rPr>
                <w:rFonts w:hint="eastAsia" w:ascii="宋体" w:hAnsi="宋体" w:eastAsia="宋体" w:cs="宋体"/>
                <w:bCs/>
                <w:sz w:val="24"/>
                <w:lang w:val="en-US"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(4)阐述方案总体设计不完整的，评审为差不加分。</w:t>
            </w:r>
            <w:r>
              <w:rPr>
                <w:rFonts w:hint="eastAsia" w:ascii="宋体" w:hAnsi="宋体" w:eastAsia="宋体" w:cs="宋体"/>
                <w:bCs/>
                <w:sz w:val="24"/>
                <w:lang w:val="en-US"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(5)不提供不得分。</w:t>
            </w:r>
            <w:r>
              <w:rPr>
                <w:rFonts w:hint="eastAsia" w:ascii="宋体" w:hAnsi="宋体" w:eastAsia="宋体" w:cs="宋体"/>
                <w:bCs/>
                <w:sz w:val="24"/>
                <w:lang w:val="en-US" w:eastAsia="zh-CN"/>
              </w:rPr>
            </w:r>
            <w:r/>
          </w:p>
        </w:tc>
        <w:tc>
          <w:tcPr>
            <w:tcW w:w="1740" w:type="dxa"/>
            <w:vAlign w:val="center"/>
            <w:textDirection w:val="lrTb"/>
            <w:noWrap w:val="false"/>
          </w:tcPr>
          <w:p>
            <w:pPr>
              <w:pStyle w:val="1147"/>
              <w:ind w:left="-38"/>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1325"/>
        </w:trPr>
        <w:tc>
          <w:tcPr>
            <w:tcW w:w="642" w:type="dxa"/>
            <w:vAlign w:val="center"/>
            <w:textDirection w:val="lrTb"/>
            <w:noWrap w:val="false"/>
          </w:tcPr>
          <w:p>
            <w:pPr>
              <w:pStyle w:val="1147"/>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w:t>
            </w:r>
            <w:r>
              <w:rPr>
                <w:rFonts w:hint="eastAsia" w:ascii="宋体" w:hAnsi="宋体" w:eastAsia="宋体" w:cs="宋体"/>
                <w:sz w:val="24"/>
                <w:szCs w:val="24"/>
                <w:lang w:val="en-US" w:eastAsia="zh-CN"/>
              </w:rPr>
            </w:r>
            <w:r/>
          </w:p>
        </w:tc>
        <w:tc>
          <w:tcPr>
            <w:tcW w:w="1326" w:type="dxa"/>
            <w:vAlign w:val="center"/>
            <w:textDirection w:val="lrTb"/>
            <w:noWrap w:val="false"/>
          </w:tcPr>
          <w:p>
            <w:pPr>
              <w:pStyle w:val="1147"/>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拟投入本项目的劳动力、机械设备和材料投入计划</w:t>
            </w:r>
            <w:r>
              <w:rPr>
                <w:rFonts w:hint="eastAsia" w:ascii="宋体" w:hAnsi="宋体" w:eastAsia="宋体" w:cs="宋体"/>
                <w:sz w:val="24"/>
                <w:szCs w:val="24"/>
                <w:highlight w:val="none"/>
              </w:rPr>
            </w:r>
            <w:r/>
          </w:p>
        </w:tc>
        <w:tc>
          <w:tcPr>
            <w:tcW w:w="791" w:type="dxa"/>
            <w:vAlign w:val="center"/>
            <w:textDirection w:val="lrTb"/>
            <w:noWrap w:val="false"/>
          </w:tcPr>
          <w:p>
            <w:pPr>
              <w:pStyle w:val="1147"/>
              <w:ind w:firstLine="28"/>
              <w:jc w:val="center"/>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rPr>
                <w:rFonts w:ascii="宋体" w:hAnsi="宋体" w:eastAsia="宋体" w:cs="宋体"/>
                <w:sz w:val="24"/>
                <w:szCs w:val="24"/>
                <w:highlight w:val="none"/>
                <w:lang w:val="en-US" w:eastAsia="zh-CN"/>
              </w:rPr>
            </w:r>
            <w:r/>
          </w:p>
        </w:tc>
        <w:tc>
          <w:tcPr>
            <w:tcW w:w="5512" w:type="dxa"/>
            <w:vAlign w:val="center"/>
            <w:textDirection w:val="lrTb"/>
            <w:noWrap w:val="false"/>
          </w:tcPr>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投标人针对本项目的特性理解分析，包含但不限于以下内容:</w:t>
            </w:r>
            <w:r>
              <w:rPr>
                <w:rFonts w:hint="eastAsia" w:ascii="宋体" w:hAnsi="宋体" w:eastAsia="宋体" w:cs="宋体"/>
                <w:bCs/>
                <w:sz w:val="24"/>
                <w:lang w:val="en-US" w:eastAsia="zh-CN"/>
              </w:rPr>
            </w:r>
            <w:r/>
          </w:p>
          <w:p>
            <w:pPr>
              <w:pStyle w:val="1147"/>
              <w:numPr>
                <w:ilvl w:val="0"/>
                <w:numId w:val="15"/>
              </w:numPr>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劳动力投入计划；</w:t>
            </w:r>
            <w:r>
              <w:rPr>
                <w:rFonts w:hint="eastAsia" w:ascii="宋体" w:hAnsi="宋体" w:eastAsia="宋体" w:cs="宋体"/>
                <w:bCs/>
                <w:sz w:val="24"/>
                <w:lang w:val="en-US" w:eastAsia="zh-CN"/>
              </w:rPr>
            </w:r>
            <w:r/>
          </w:p>
          <w:p>
            <w:pPr>
              <w:pStyle w:val="1147"/>
              <w:numPr>
                <w:ilvl w:val="0"/>
                <w:numId w:val="15"/>
              </w:numPr>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机械设备和材料投入计划；</w:t>
            </w:r>
            <w:r>
              <w:rPr>
                <w:rFonts w:hint="eastAsia" w:ascii="宋体" w:hAnsi="宋体" w:eastAsia="宋体" w:cs="宋体"/>
                <w:bCs/>
                <w:sz w:val="24"/>
                <w:lang w:val="en-US"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评审依据:</w:t>
            </w:r>
            <w:r>
              <w:rPr>
                <w:rFonts w:hint="eastAsia" w:ascii="宋体" w:hAnsi="宋体" w:eastAsia="宋体" w:cs="宋体"/>
                <w:bCs/>
                <w:sz w:val="24"/>
                <w:lang w:val="en-US"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1.考察以上内容,每满足任意一项内容得30%，最高得60%。</w:t>
            </w:r>
            <w:r>
              <w:rPr>
                <w:rFonts w:hint="eastAsia" w:ascii="宋体" w:hAnsi="宋体" w:eastAsia="宋体" w:cs="宋体"/>
                <w:bCs/>
                <w:sz w:val="24"/>
                <w:lang w:val="en-US"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2.在上述基础上，专家根据各投标人的具体响应内容按照量化的评审因素指标进一步评审。</w:t>
            </w:r>
            <w:r>
              <w:rPr>
                <w:rFonts w:hint="eastAsia" w:ascii="宋体" w:hAnsi="宋体" w:eastAsia="宋体" w:cs="宋体"/>
                <w:bCs/>
                <w:sz w:val="24"/>
                <w:lang w:val="en-US"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(1)阐述方案总体设计科学合理对采购要求应答完整、清晰、有针对性的，评审为优加40%:</w:t>
            </w:r>
            <w:r>
              <w:rPr>
                <w:rFonts w:hint="eastAsia" w:ascii="宋体" w:hAnsi="宋体" w:eastAsia="宋体" w:cs="宋体"/>
                <w:bCs/>
                <w:sz w:val="24"/>
                <w:lang w:val="en-US"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(2)阐述方案总体设计较合理的，评审为良加20%;</w:t>
            </w:r>
            <w:r>
              <w:rPr>
                <w:rFonts w:hint="eastAsia" w:ascii="宋体" w:hAnsi="宋体" w:eastAsia="宋体" w:cs="宋体"/>
                <w:bCs/>
                <w:sz w:val="24"/>
                <w:lang w:val="en-US"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(3)阐述方案总体设计一般的，评审为中加10%;</w:t>
            </w:r>
            <w:r>
              <w:rPr>
                <w:rFonts w:hint="eastAsia" w:ascii="宋体" w:hAnsi="宋体" w:eastAsia="宋体" w:cs="宋体"/>
                <w:bCs/>
                <w:sz w:val="24"/>
                <w:lang w:val="en-US"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(4)阐述方案总体设计不完整的，评审为差不加分。</w:t>
            </w:r>
            <w:r>
              <w:rPr>
                <w:rFonts w:hint="eastAsia" w:ascii="宋体" w:hAnsi="宋体" w:eastAsia="宋体" w:cs="宋体"/>
                <w:bCs/>
                <w:sz w:val="24"/>
                <w:lang w:val="en-US"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(5)不提供不得分。</w:t>
            </w:r>
            <w:r>
              <w:rPr>
                <w:rFonts w:hint="eastAsia" w:ascii="宋体" w:hAnsi="宋体" w:eastAsia="宋体" w:cs="宋体"/>
                <w:bCs/>
                <w:sz w:val="24"/>
                <w:lang w:val="en-US" w:eastAsia="zh-CN"/>
              </w:rPr>
            </w:r>
            <w:r/>
          </w:p>
        </w:tc>
        <w:tc>
          <w:tcPr>
            <w:tcW w:w="1740" w:type="dxa"/>
            <w:vAlign w:val="center"/>
            <w:textDirection w:val="lrTb"/>
            <w:noWrap w:val="false"/>
          </w:tcPr>
          <w:p>
            <w:pPr>
              <w:pStyle w:val="1147"/>
              <w:ind w:left="-38"/>
              <w:jc w:val="center"/>
              <w:rPr>
                <w:rFonts w:hint="eastAsia" w:ascii="宋体" w:hAnsi="宋体" w:eastAsia="宋体" w:cs="宋体"/>
                <w:sz w:val="24"/>
                <w:szCs w:val="24"/>
              </w:rPr>
            </w:pPr>
            <w:r>
              <w:rPr>
                <w:rFonts w:hint="eastAsia" w:ascii="宋体" w:hAnsi="宋体" w:eastAsia="宋体" w:cs="宋体"/>
                <w:sz w:val="24"/>
                <w:szCs w:val="24"/>
              </w:rPr>
            </w:r>
            <w:r/>
          </w:p>
        </w:tc>
      </w:tr>
      <w:tr>
        <w:trPr/>
        <w:tc>
          <w:tcPr>
            <w:tcW w:w="642" w:type="dxa"/>
            <w:vAlign w:val="center"/>
            <w:textDirection w:val="lrTb"/>
            <w:noWrap w:val="false"/>
          </w:tcPr>
          <w:p>
            <w:pPr>
              <w:pStyle w:val="1147"/>
              <w:ind w:firstLine="28"/>
              <w:jc w:val="center"/>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326" w:type="dxa"/>
            <w:vAlign w:val="center"/>
            <w:textDirection w:val="lrTb"/>
            <w:noWrap w:val="false"/>
          </w:tcPr>
          <w:p>
            <w:pPr>
              <w:pStyle w:val="1147"/>
              <w:ind w:firstLine="28"/>
              <w:jc w:val="center"/>
              <w:rPr>
                <w:rFonts w:hint="eastAsia" w:ascii="宋体" w:hAnsi="宋体" w:eastAsia="宋体" w:cs="宋体"/>
                <w:sz w:val="24"/>
                <w:szCs w:val="24"/>
              </w:rPr>
            </w:pPr>
            <w:r>
              <w:rPr>
                <w:rFonts w:hint="eastAsia" w:ascii="宋体" w:hAnsi="宋体" w:eastAsia="宋体" w:cs="宋体"/>
                <w:sz w:val="24"/>
                <w:szCs w:val="24"/>
              </w:rPr>
              <w:t xml:space="preserve">客观分</w:t>
            </w:r>
            <w:r>
              <w:rPr>
                <w:rFonts w:hint="eastAsia" w:ascii="宋体" w:hAnsi="宋体" w:eastAsia="宋体" w:cs="宋体"/>
                <w:sz w:val="24"/>
                <w:szCs w:val="24"/>
              </w:rPr>
            </w:r>
            <w:r/>
          </w:p>
        </w:tc>
        <w:tc>
          <w:tcPr>
            <w:tcW w:w="791" w:type="dxa"/>
            <w:vAlign w:val="center"/>
            <w:textDirection w:val="lrTb"/>
            <w:noWrap w:val="false"/>
          </w:tcPr>
          <w:p>
            <w:pPr>
              <w:pStyle w:val="1147"/>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ascii="宋体" w:hAnsi="宋体" w:eastAsia="宋体" w:cs="宋体"/>
                <w:sz w:val="24"/>
                <w:szCs w:val="24"/>
                <w:lang w:val="en-US" w:eastAsia="zh-CN"/>
              </w:rPr>
            </w:r>
            <w:r/>
          </w:p>
        </w:tc>
        <w:tc>
          <w:tcPr>
            <w:tcW w:w="5512" w:type="dxa"/>
            <w:vAlign w:val="center"/>
            <w:textDirection w:val="lrTb"/>
            <w:noWrap w:val="false"/>
          </w:tcPr>
          <w:p>
            <w:pPr>
              <w:pStyle w:val="1147"/>
              <w:ind w:firstLine="28"/>
              <w:jc w:val="left"/>
              <w:spacing w:line="360" w:lineRule="auto"/>
              <w:rPr>
                <w:rFonts w:hint="eastAsia" w:ascii="宋体" w:hAnsi="宋体" w:eastAsia="宋体" w:cs="宋体"/>
                <w:bCs/>
                <w:sz w:val="24"/>
                <w:lang w:eastAsia="zh-CN"/>
              </w:rPr>
            </w:pPr>
            <w:r>
              <w:rPr>
                <w:rFonts w:hint="eastAsia" w:ascii="宋体" w:hAnsi="宋体" w:eastAsia="宋体" w:cs="宋体"/>
                <w:bCs/>
                <w:sz w:val="24"/>
                <w:lang w:eastAsia="zh-CN"/>
              </w:rPr>
            </w:r>
            <w:r/>
          </w:p>
        </w:tc>
        <w:tc>
          <w:tcPr>
            <w:tcW w:w="1740" w:type="dxa"/>
            <w:vAlign w:val="center"/>
            <w:textDirection w:val="lrTb"/>
            <w:noWrap w:val="false"/>
          </w:tcPr>
          <w:p>
            <w:pPr>
              <w:pStyle w:val="1147"/>
              <w:ind w:left="-38"/>
              <w:rPr>
                <w:rFonts w:hint="eastAsia" w:ascii="宋体" w:hAnsi="宋体" w:eastAsia="宋体" w:cs="宋体"/>
                <w:sz w:val="24"/>
                <w:szCs w:val="24"/>
              </w:rPr>
            </w:pPr>
            <w:r>
              <w:rPr>
                <w:rFonts w:hint="eastAsia" w:ascii="宋体" w:hAnsi="宋体" w:eastAsia="宋体" w:cs="宋体"/>
                <w:sz w:val="24"/>
                <w:szCs w:val="24"/>
              </w:rPr>
            </w:r>
            <w:r/>
          </w:p>
        </w:tc>
      </w:tr>
      <w:tr>
        <w:trPr/>
        <w:tc>
          <w:tcPr>
            <w:tcW w:w="642" w:type="dxa"/>
            <w:vAlign w:val="center"/>
            <w:textDirection w:val="lrTb"/>
            <w:noWrap w:val="false"/>
          </w:tcPr>
          <w:p>
            <w:pPr>
              <w:pStyle w:val="1147"/>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1326" w:type="dxa"/>
            <w:vAlign w:val="center"/>
            <w:textDirection w:val="lrTb"/>
            <w:noWrap w:val="false"/>
          </w:tcPr>
          <w:p>
            <w:pPr>
              <w:pStyle w:val="1147"/>
              <w:ind w:firstLine="28"/>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企业业绩</w:t>
            </w:r>
            <w:r>
              <w:rPr>
                <w:rFonts w:hint="eastAsia" w:ascii="宋体" w:hAnsi="宋体" w:eastAsia="宋体" w:cs="宋体"/>
                <w:color w:val="000000"/>
                <w:sz w:val="24"/>
                <w:szCs w:val="24"/>
                <w:lang w:val="en-US" w:eastAsia="zh-CN"/>
              </w:rPr>
            </w:r>
            <w:r/>
          </w:p>
        </w:tc>
        <w:tc>
          <w:tcPr>
            <w:tcW w:w="791" w:type="dxa"/>
            <w:vAlign w:val="center"/>
            <w:textDirection w:val="lrTb"/>
            <w:noWrap w:val="false"/>
          </w:tcPr>
          <w:p>
            <w:pPr>
              <w:pStyle w:val="1147"/>
              <w:ind w:firstLine="28"/>
              <w:jc w:val="center"/>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w:t>
            </w:r>
            <w:r>
              <w:rPr>
                <w:rFonts w:ascii="宋体" w:hAnsi="宋体" w:eastAsia="宋体" w:cs="宋体"/>
                <w:color w:val="000000"/>
                <w:sz w:val="24"/>
                <w:szCs w:val="24"/>
                <w:lang w:val="en-US" w:eastAsia="zh-CN"/>
              </w:rPr>
            </w:r>
            <w:r/>
          </w:p>
        </w:tc>
        <w:tc>
          <w:tcPr>
            <w:tcW w:w="5512" w:type="dxa"/>
            <w:vAlign w:val="center"/>
            <w:textDirection w:val="lrTb"/>
            <w:noWrap w:val="false"/>
          </w:tcPr>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供应商自2023年1月1日以来承接过</w:t>
            </w:r>
            <w:r>
              <w:rPr>
                <w:rFonts w:hint="eastAsia" w:ascii="宋体" w:hAnsi="宋体" w:eastAsia="宋体" w:cs="宋体"/>
                <w:bCs/>
                <w:sz w:val="24"/>
                <w:lang w:eastAsia="zh-CN"/>
              </w:rPr>
              <w:t xml:space="preserve">类似业绩（零星维修项目）</w:t>
            </w:r>
            <w:r>
              <w:rPr>
                <w:rFonts w:hint="eastAsia" w:ascii="宋体" w:hAnsi="宋体" w:eastAsia="宋体" w:cs="宋体"/>
                <w:bCs/>
                <w:sz w:val="24"/>
                <w:lang w:val="en-US" w:eastAsia="zh-CN"/>
              </w:rPr>
              <w:t xml:space="preserve">，有1个得3分，本项最高得9分。</w:t>
            </w:r>
            <w:r>
              <w:rPr>
                <w:rFonts w:hint="eastAsia" w:ascii="宋体" w:hAnsi="宋体" w:eastAsia="宋体" w:cs="宋体"/>
                <w:bCs/>
                <w:sz w:val="24"/>
                <w:lang w:val="en-US" w:eastAsia="zh-CN"/>
              </w:rPr>
            </w:r>
            <w:r/>
          </w:p>
          <w:p>
            <w:pPr>
              <w:pStyle w:val="1147"/>
              <w:ind w:firstLine="28"/>
              <w:jc w:val="left"/>
              <w:spacing w:line="360" w:lineRule="auto"/>
              <w:rPr>
                <w:rFonts w:hint="eastAsia" w:ascii="宋体" w:hAnsi="宋体" w:eastAsia="宋体" w:cs="宋体"/>
                <w:bCs/>
                <w:sz w:val="24"/>
                <w:lang w:val="en-US" w:eastAsia="zh-CN"/>
              </w:rPr>
            </w:pPr>
            <w:r>
              <w:rPr>
                <w:rFonts w:hint="eastAsia" w:ascii="宋体" w:hAnsi="宋体" w:eastAsia="宋体" w:cs="宋体"/>
                <w:bCs/>
                <w:sz w:val="24"/>
                <w:lang w:eastAsia="zh-CN"/>
              </w:rPr>
              <w:t xml:space="preserve">提供合同及</w:t>
            </w:r>
            <w:r>
              <w:rPr>
                <w:rFonts w:hint="eastAsia" w:ascii="宋体" w:hAnsi="宋体" w:eastAsia="宋体" w:cs="宋体"/>
                <w:bCs/>
                <w:sz w:val="24"/>
                <w:lang w:val="en-US" w:eastAsia="zh-CN"/>
              </w:rPr>
              <w:t xml:space="preserve">中标通知书</w:t>
            </w:r>
            <w:r>
              <w:rPr>
                <w:rFonts w:hint="eastAsia" w:ascii="宋体" w:hAnsi="宋体" w:eastAsia="宋体" w:cs="宋体"/>
                <w:bCs/>
                <w:sz w:val="24"/>
                <w:lang w:eastAsia="zh-CN"/>
              </w:rPr>
              <w:t xml:space="preserve">，时间以合同签订时间为准，未提供不得分。</w:t>
            </w:r>
            <w:r>
              <w:rPr>
                <w:rFonts w:hint="eastAsia" w:ascii="宋体" w:hAnsi="宋体" w:eastAsia="宋体" w:cs="宋体"/>
                <w:bCs/>
                <w:sz w:val="24"/>
                <w:lang w:val="en-US" w:eastAsia="zh-CN"/>
              </w:rPr>
            </w:r>
            <w:r/>
          </w:p>
        </w:tc>
        <w:tc>
          <w:tcPr>
            <w:tcW w:w="1740" w:type="dxa"/>
            <w:vAlign w:val="center"/>
            <w:textDirection w:val="lrTb"/>
            <w:noWrap w:val="false"/>
          </w:tcPr>
          <w:p>
            <w:pPr>
              <w:pStyle w:val="1147"/>
              <w:rPr>
                <w:rFonts w:hint="eastAsia" w:ascii="宋体" w:hAnsi="宋体" w:eastAsia="宋体" w:cs="宋体"/>
                <w:sz w:val="24"/>
                <w:szCs w:val="24"/>
              </w:rPr>
            </w:pPr>
            <w:r>
              <w:rPr>
                <w:rFonts w:hint="eastAsia" w:ascii="宋体" w:hAnsi="宋体" w:eastAsia="宋体" w:cs="宋体"/>
                <w:sz w:val="24"/>
                <w:szCs w:val="24"/>
              </w:rPr>
            </w:r>
            <w:r/>
          </w:p>
        </w:tc>
      </w:tr>
      <w:tr>
        <w:trPr/>
        <w:tc>
          <w:tcPr>
            <w:tcW w:w="642" w:type="dxa"/>
            <w:vAlign w:val="center"/>
            <w:textDirection w:val="lrTb"/>
            <w:noWrap w:val="false"/>
          </w:tcPr>
          <w:p>
            <w:pPr>
              <w:pStyle w:val="1147"/>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3.2</w:t>
            </w:r>
            <w:r>
              <w:rPr>
                <w:rFonts w:ascii="宋体" w:hAnsi="宋体" w:eastAsia="宋体" w:cs="宋体"/>
                <w:sz w:val="24"/>
                <w:szCs w:val="24"/>
                <w:lang w:val="en-US" w:eastAsia="zh-CN"/>
              </w:rPr>
            </w:r>
            <w:r/>
          </w:p>
        </w:tc>
        <w:tc>
          <w:tcPr>
            <w:tcW w:w="1326" w:type="dxa"/>
            <w:vAlign w:val="center"/>
            <w:textDirection w:val="lrTb"/>
            <w:noWrap w:val="false"/>
          </w:tcPr>
          <w:p>
            <w:pPr>
              <w:pStyle w:val="1147"/>
              <w:ind w:firstLine="28"/>
              <w:jc w:val="center"/>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项目负责人</w:t>
            </w:r>
            <w:r>
              <w:rPr>
                <w:rFonts w:ascii="宋体" w:hAnsi="宋体" w:eastAsia="宋体" w:cs="宋体"/>
                <w:color w:val="000000"/>
                <w:sz w:val="24"/>
                <w:szCs w:val="24"/>
                <w:lang w:val="en-US" w:eastAsia="zh-CN"/>
              </w:rPr>
            </w:r>
            <w:r/>
          </w:p>
        </w:tc>
        <w:tc>
          <w:tcPr>
            <w:tcW w:w="791" w:type="dxa"/>
            <w:vAlign w:val="center"/>
            <w:textDirection w:val="lrTb"/>
            <w:noWrap w:val="false"/>
          </w:tcPr>
          <w:p>
            <w:pPr>
              <w:pStyle w:val="1147"/>
              <w:ind w:firstLine="28"/>
              <w:jc w:val="center"/>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r>
            <w:r/>
          </w:p>
        </w:tc>
        <w:tc>
          <w:tcPr>
            <w:tcW w:w="5512" w:type="dxa"/>
            <w:vAlign w:val="center"/>
            <w:textDirection w:val="lrTb"/>
            <w:noWrap w:val="false"/>
          </w:tcPr>
          <w:p>
            <w:pPr>
              <w:pStyle w:val="1147"/>
              <w:ind w:firstLine="28"/>
              <w:jc w:val="left"/>
              <w:spacing w:line="360" w:lineRule="auto"/>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项目负责人具有建设工程类高级及以上职称的得3分，中级职称的得1分。</w:t>
            </w:r>
            <w:r>
              <w:rPr>
                <w:rFonts w:hint="eastAsia" w:ascii="宋体" w:hAnsi="宋体" w:eastAsia="宋体" w:cs="宋体"/>
                <w:bCs/>
                <w:color w:val="000000"/>
                <w:sz w:val="24"/>
                <w:lang w:val="en-US" w:eastAsia="zh-CN"/>
              </w:rPr>
            </w:r>
            <w:r/>
          </w:p>
          <w:p>
            <w:pPr>
              <w:pStyle w:val="1147"/>
              <w:ind w:firstLine="28"/>
              <w:jc w:val="left"/>
              <w:spacing w:line="360" w:lineRule="auto"/>
              <w:rPr>
                <w:rFonts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提供职称证书</w:t>
            </w:r>
            <w:r>
              <w:rPr>
                <w:rFonts w:hint="eastAsia" w:ascii="宋体" w:hAnsi="宋体" w:eastAsia="宋体" w:cs="宋体"/>
                <w:bCs/>
                <w:color w:val="000000"/>
                <w:sz w:val="24"/>
              </w:rPr>
              <w:t xml:space="preserve">及供应商为其缴纳的近半年</w:t>
            </w:r>
            <w:r>
              <w:rPr>
                <w:rFonts w:hint="eastAsia" w:ascii="宋体" w:hAnsi="宋体" w:eastAsia="宋体" w:cs="宋体"/>
                <w:color w:val="000000"/>
                <w:sz w:val="24"/>
              </w:rPr>
              <w:t xml:space="preserve">(从磋商截止时间往前推算)</w:t>
            </w:r>
            <w:r>
              <w:rPr>
                <w:rFonts w:hint="eastAsia" w:ascii="宋体" w:hAnsi="宋体" w:eastAsia="宋体" w:cs="宋体"/>
                <w:bCs/>
                <w:color w:val="000000"/>
                <w:sz w:val="24"/>
              </w:rPr>
              <w:t xml:space="preserve">的任意一个月社保缴纳凭证，（如为退休人员，须提供退休证明及返聘合同）</w:t>
            </w:r>
            <w:r>
              <w:rPr>
                <w:rFonts w:ascii="宋体" w:hAnsi="宋体" w:eastAsia="宋体" w:cs="宋体"/>
                <w:bCs/>
                <w:color w:val="000000"/>
                <w:sz w:val="24"/>
                <w:lang w:val="en-US" w:eastAsia="zh-CN"/>
              </w:rPr>
            </w:r>
            <w:r/>
          </w:p>
        </w:tc>
        <w:tc>
          <w:tcPr>
            <w:tcW w:w="1740" w:type="dxa"/>
            <w:vAlign w:val="center"/>
            <w:textDirection w:val="lrTb"/>
            <w:noWrap w:val="false"/>
          </w:tcPr>
          <w:p>
            <w:pPr>
              <w:pStyle w:val="1147"/>
              <w:rPr>
                <w:rFonts w:hint="eastAsia" w:ascii="宋体" w:hAnsi="宋体" w:eastAsia="宋体" w:cs="宋体"/>
                <w:sz w:val="24"/>
                <w:szCs w:val="24"/>
              </w:rPr>
            </w:pPr>
            <w:r>
              <w:rPr>
                <w:rFonts w:hint="eastAsia" w:ascii="宋体" w:hAnsi="宋体" w:eastAsia="宋体" w:cs="宋体"/>
                <w:sz w:val="24"/>
                <w:szCs w:val="24"/>
              </w:rPr>
            </w:r>
            <w:r/>
          </w:p>
        </w:tc>
      </w:tr>
      <w:tr>
        <w:trPr>
          <w:trHeight w:val="461"/>
        </w:trPr>
        <w:tc>
          <w:tcPr>
            <w:gridSpan w:val="2"/>
            <w:tcW w:w="1968" w:type="dxa"/>
            <w:vAlign w:val="center"/>
            <w:textDirection w:val="lrTb"/>
            <w:noWrap w:val="false"/>
          </w:tcPr>
          <w:p>
            <w:pPr>
              <w:pStyle w:val="1147"/>
              <w:ind w:firstLine="28"/>
              <w:jc w:val="center"/>
              <w:rPr>
                <w:rFonts w:hint="eastAsia" w:ascii="宋体" w:hAnsi="宋体" w:eastAsia="宋体" w:cs="宋体"/>
                <w:sz w:val="24"/>
                <w:szCs w:val="24"/>
              </w:rPr>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tcW w:w="791" w:type="dxa"/>
            <w:vAlign w:val="center"/>
            <w:textDirection w:val="lrTb"/>
            <w:noWrap w:val="false"/>
          </w:tcPr>
          <w:p>
            <w:pPr>
              <w:pStyle w:val="1147"/>
              <w:ind w:firstLine="28"/>
              <w:jc w:val="center"/>
              <w:rPr>
                <w:rFonts w:hint="eastAsia" w:ascii="宋体" w:hAnsi="宋体" w:eastAsia="宋体" w:cs="宋体"/>
                <w:sz w:val="24"/>
                <w:szCs w:val="24"/>
              </w:rPr>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gridSpan w:val="2"/>
            <w:tcW w:w="7252" w:type="dxa"/>
            <w:vAlign w:val="center"/>
            <w:textDirection w:val="lrTb"/>
            <w:noWrap w:val="false"/>
          </w:tcPr>
          <w:p>
            <w:pPr>
              <w:pStyle w:val="1147"/>
              <w:rPr>
                <w:rFonts w:hint="eastAsia" w:ascii="宋体" w:hAnsi="宋体" w:eastAsia="宋体" w:cs="宋体"/>
                <w:sz w:val="24"/>
                <w:szCs w:val="24"/>
              </w:rPr>
            </w:pPr>
            <w:r>
              <w:rPr>
                <w:rFonts w:hint="eastAsia" w:ascii="宋体" w:hAnsi="宋体" w:eastAsia="宋体" w:cs="宋体"/>
                <w:sz w:val="24"/>
                <w:szCs w:val="24"/>
              </w:rPr>
            </w:r>
            <w:r/>
          </w:p>
        </w:tc>
      </w:tr>
    </w:tbl>
    <w:p>
      <w:pPr>
        <w:pStyle w:val="1161"/>
        <w:numPr>
          <w:ilvl w:val="0"/>
          <w:numId w:val="0"/>
        </w:numPr>
        <w:ind w:firstLine="480"/>
        <w:keepLines w:val="0"/>
        <w:keepNext w:val="0"/>
        <w:pageBreakBefore w:val="0"/>
        <w:spacing w:line="360" w:lineRule="auto"/>
        <w:widowControl w:val="off"/>
        <w:rPr>
          <w:rFonts w:hint="eastAsia" w:ascii="宋体" w:hAnsi="Times New Roman" w:eastAsia="宋体" w:cs="Times New Roman"/>
          <w:lang w:val="en-US" w:eastAsia="zh-CN"/>
        </w:rPr>
      </w:pPr>
      <w:r>
        <w:rPr>
          <w:rFonts w:hint="eastAsia" w:ascii="宋体" w:hAnsi="Times New Roman" w:eastAsia="宋体" w:cs="Times New Roman"/>
          <w:lang w:val="en-US" w:eastAsia="zh-CN"/>
        </w:rPr>
        <w:t xml:space="preserve">说明：</w:t>
      </w:r>
      <w:r>
        <w:rPr>
          <w:rFonts w:hint="eastAsia" w:ascii="宋体" w:hAnsi="Times New Roman" w:eastAsia="宋体" w:cs="Times New Roman"/>
          <w:lang w:val="en-US" w:eastAsia="zh-CN"/>
        </w:rPr>
      </w:r>
      <w:r/>
    </w:p>
    <w:p>
      <w:pPr>
        <w:pStyle w:val="1161"/>
        <w:numPr>
          <w:ilvl w:val="0"/>
          <w:numId w:val="0"/>
        </w:numPr>
        <w:ind w:firstLine="480"/>
        <w:keepLines w:val="0"/>
        <w:keepNext w:val="0"/>
        <w:pageBreakBefore w:val="0"/>
        <w:spacing w:line="360" w:lineRule="auto"/>
        <w:widowControl w:val="off"/>
        <w:rPr>
          <w:rFonts w:hint="eastAsia" w:ascii="宋体" w:hAnsi="Times New Roman" w:eastAsia="宋体" w:cs="Times New Roman"/>
          <w:lang w:val="en-US" w:eastAsia="zh-CN"/>
        </w:rPr>
      </w:pPr>
      <w:r>
        <w:rPr>
          <w:rFonts w:hint="eastAsia" w:ascii="宋体" w:hAnsi="Times New Roman" w:eastAsia="宋体" w:cs="Times New Roman"/>
          <w:lang w:val="en-US" w:eastAsia="zh-CN"/>
        </w:rPr>
        <w:t xml:space="preserve">注：1）进场时，若有货物及相关服务参数未能满足磋商文件要求而中标供应商未在偏离表中明确的情况，须无条件按采购人及磋商文件要求整改，否则采购人有权解除合同并没收履约保证金，同时追究中标供应商因此造成的损失。</w:t>
      </w:r>
      <w:r>
        <w:rPr>
          <w:rFonts w:hint="eastAsia" w:ascii="宋体" w:hAnsi="Times New Roman" w:eastAsia="宋体" w:cs="Times New Roman"/>
          <w:lang w:val="en-US" w:eastAsia="zh-CN"/>
        </w:rPr>
      </w:r>
      <w:r/>
    </w:p>
    <w:p>
      <w:pPr>
        <w:pStyle w:val="1161"/>
        <w:numPr>
          <w:ilvl w:val="0"/>
          <w:numId w:val="0"/>
        </w:numPr>
        <w:ind w:firstLine="480"/>
        <w:keepLines w:val="0"/>
        <w:keepNext w:val="0"/>
        <w:pageBreakBefore w:val="0"/>
        <w:spacing w:line="360" w:lineRule="auto"/>
        <w:widowControl w:val="off"/>
        <w:rPr>
          <w:rFonts w:hint="eastAsia" w:ascii="宋体" w:hAnsi="Times New Roman" w:eastAsia="宋体" w:cs="Times New Roman"/>
          <w:lang w:val="en-US" w:eastAsia="zh-CN"/>
        </w:rPr>
      </w:pPr>
      <w:r>
        <w:rPr>
          <w:rFonts w:hint="eastAsia" w:ascii="宋体" w:hAnsi="Times New Roman" w:eastAsia="宋体" w:cs="Times New Roman"/>
          <w:lang w:val="en-US" w:eastAsia="zh-CN"/>
        </w:rPr>
        <w:t xml:space="preserve">2）评标标准中要求提供的证明文件及资料等在响应文件中提供扫描件；扫描件材料内容、印章必须完整、清晰可辨且在有效期内。评标委员会成员半数以上认定模糊无法辨认的不得分。</w:t>
      </w:r>
      <w:r>
        <w:rPr>
          <w:rFonts w:hint="eastAsia" w:ascii="宋体" w:hAnsi="Times New Roman" w:eastAsia="宋体" w:cs="Times New Roman"/>
          <w:lang w:val="en-US" w:eastAsia="zh-CN"/>
        </w:rPr>
      </w:r>
      <w:r/>
    </w:p>
    <w:p>
      <w:pPr>
        <w:pStyle w:val="1161"/>
        <w:numPr>
          <w:ilvl w:val="0"/>
          <w:numId w:val="0"/>
        </w:numPr>
        <w:ind w:firstLine="480"/>
        <w:keepLines w:val="0"/>
        <w:keepNext w:val="0"/>
        <w:pageBreakBefore w:val="0"/>
        <w:spacing w:line="360" w:lineRule="auto"/>
        <w:widowControl w:val="off"/>
        <w:rPr>
          <w:rFonts w:hint="eastAsia" w:ascii="宋体" w:hAnsi="Times New Roman" w:eastAsia="宋体" w:cs="Times New Roman"/>
          <w:lang w:val="en-US" w:eastAsia="zh-CN"/>
        </w:rPr>
      </w:pPr>
      <w:r>
        <w:rPr>
          <w:rFonts w:hint="eastAsia" w:ascii="宋体" w:hAnsi="Times New Roman" w:eastAsia="宋体" w:cs="Times New Roman"/>
          <w:lang w:val="en-US" w:eastAsia="zh-CN"/>
        </w:rPr>
        <w:t xml:space="preserve">3）评标时，未能按以上要求提供相应证明的，不作为评标依据，不得分。</w:t>
      </w:r>
      <w:r>
        <w:rPr>
          <w:rFonts w:hint="eastAsia" w:ascii="宋体" w:hAnsi="Times New Roman" w:eastAsia="宋体" w:cs="Times New Roman"/>
          <w:lang w:val="en-US" w:eastAsia="zh-CN"/>
        </w:rPr>
      </w:r>
      <w:r/>
    </w:p>
    <w:p>
      <w:pPr>
        <w:pStyle w:val="1161"/>
        <w:numPr>
          <w:ilvl w:val="0"/>
          <w:numId w:val="0"/>
        </w:numPr>
        <w:ind w:firstLine="480"/>
        <w:keepLines w:val="0"/>
        <w:keepNext w:val="0"/>
        <w:pageBreakBefore w:val="0"/>
        <w:spacing w:line="360" w:lineRule="auto"/>
        <w:widowControl w:val="off"/>
        <w:rPr>
          <w:rFonts w:hint="eastAsia" w:ascii="宋体" w:hAnsi="Times New Roman" w:eastAsia="宋体" w:cs="Times New Roman"/>
          <w:lang w:val="en-US" w:eastAsia="zh-CN"/>
        </w:rPr>
      </w:pPr>
      <w:r>
        <w:rPr>
          <w:rFonts w:hint="eastAsia" w:ascii="宋体" w:hAnsi="Times New Roman" w:eastAsia="宋体" w:cs="Times New Roman"/>
          <w:lang w:val="en-US" w:eastAsia="zh-CN"/>
        </w:rPr>
        <w:t xml:space="preserve">4）扫描件必须直接用原件扫描，要求字迹清晰，确保文字内容能看清无变形。</w:t>
      </w:r>
      <w:r>
        <w:rPr>
          <w:rFonts w:hint="eastAsia" w:ascii="宋体" w:hAnsi="Times New Roman" w:eastAsia="宋体" w:cs="Times New Roman"/>
          <w:lang w:val="en-US" w:eastAsia="zh-CN"/>
        </w:rPr>
      </w:r>
      <w:r/>
    </w:p>
    <w:p>
      <w:pPr>
        <w:pStyle w:val="1161"/>
        <w:numPr>
          <w:ilvl w:val="0"/>
          <w:numId w:val="0"/>
        </w:numPr>
        <w:ind w:firstLine="480"/>
        <w:keepLines w:val="0"/>
        <w:keepNext w:val="0"/>
        <w:pageBreakBefore w:val="0"/>
        <w:spacing w:line="360" w:lineRule="auto"/>
        <w:widowControl w:val="off"/>
        <w:rPr>
          <w:rFonts w:hint="eastAsia" w:ascii="宋体" w:hAnsi="Times New Roman" w:eastAsia="宋体" w:cs="Times New Roman"/>
          <w:lang w:val="en-US" w:eastAsia="zh-CN"/>
        </w:rPr>
      </w:pPr>
      <w:r>
        <w:rPr>
          <w:rFonts w:hint="eastAsia" w:ascii="宋体" w:hAnsi="Times New Roman" w:eastAsia="宋体" w:cs="Times New Roman"/>
          <w:lang w:val="en-US" w:eastAsia="zh-CN"/>
        </w:rPr>
        <w:t xml:space="preserve">5）响应人按评分细则所有得分项目均视为对本次招标的承诺，成交后均作为合同的组成部分。</w:t>
      </w:r>
      <w:r>
        <w:rPr>
          <w:rFonts w:hint="eastAsia" w:ascii="宋体" w:hAnsi="Times New Roman" w:eastAsia="宋体" w:cs="Times New Roman"/>
          <w:lang w:val="en-US" w:eastAsia="zh-CN"/>
        </w:rPr>
      </w:r>
      <w:r/>
    </w:p>
    <w:p>
      <w:pPr>
        <w:pStyle w:val="1147"/>
        <w:jc w:val="center"/>
        <w:spacing w:line="360" w:lineRule="auto"/>
        <w:rPr>
          <w:b/>
          <w:color w:val="000000"/>
          <w:sz w:val="36"/>
          <w:szCs w:val="36"/>
        </w:rPr>
        <w:outlineLvl w:val="0"/>
      </w:pPr>
      <w:r>
        <w:rPr>
          <w:b/>
          <w:color w:val="000000"/>
          <w:sz w:val="36"/>
          <w:szCs w:val="36"/>
        </w:rPr>
        <w:br w:type="page" w:clear="all"/>
      </w:r>
      <w:bookmarkStart w:id="669" w:name="_Toc104818928"/>
      <w:r>
        <w:rPr>
          <w:b/>
          <w:color w:val="000000"/>
          <w:sz w:val="36"/>
          <w:szCs w:val="36"/>
        </w:rPr>
        <w:t xml:space="preserve">第四章   采购需求</w:t>
      </w:r>
      <w:bookmarkEnd w:id="669"/>
      <w:r>
        <w:rPr>
          <w:b/>
          <w:color w:val="000000"/>
          <w:sz w:val="36"/>
          <w:szCs w:val="36"/>
        </w:rPr>
      </w:r>
      <w:r/>
    </w:p>
    <w:p>
      <w:pPr>
        <w:pStyle w:val="1243"/>
        <w:numPr>
          <w:ilvl w:val="0"/>
          <w:numId w:val="0"/>
        </w:numPr>
        <w:contextualSpacing/>
        <w:keepLines w:val="0"/>
        <w:keepNext w:val="0"/>
        <w:pageBreakBefore w:val="0"/>
        <w:spacing w:line="360" w:lineRule="auto"/>
        <w:widowControl w:val="off"/>
        <w:rPr>
          <w:rFonts w:ascii="Times New Roman" w:hAnsi="Times New Roman"/>
          <w:b/>
          <w:color w:val="000000"/>
          <w:sz w:val="24"/>
          <w:szCs w:val="24"/>
        </w:rPr>
      </w:pPr>
      <w:r>
        <w:rPr>
          <w:rFonts w:hint="eastAsia" w:ascii="Times New Roman" w:hAnsi="Times New Roman"/>
          <w:b/>
          <w:color w:val="000000"/>
          <w:sz w:val="24"/>
          <w:szCs w:val="24"/>
          <w:lang w:val="en-US" w:eastAsia="zh-CN"/>
        </w:rPr>
        <w:t xml:space="preserve">一、</w:t>
      </w:r>
      <w:r>
        <w:rPr>
          <w:rFonts w:ascii="Times New Roman" w:hAnsi="Times New Roman"/>
          <w:b/>
          <w:color w:val="000000"/>
          <w:sz w:val="24"/>
          <w:szCs w:val="24"/>
        </w:rPr>
        <w:t xml:space="preserve">采购标的</w:t>
      </w:r>
      <w:r>
        <w:rPr>
          <w:rFonts w:ascii="Times New Roman" w:hAnsi="Times New Roman"/>
          <w:b/>
          <w:color w:val="000000"/>
          <w:sz w:val="24"/>
          <w:szCs w:val="24"/>
        </w:rPr>
      </w:r>
      <w:r/>
    </w:p>
    <w:p>
      <w:pPr>
        <w:pStyle w:val="1147"/>
        <w:contextualSpacing/>
        <w:ind w:left="0"/>
        <w:keepLines w:val="0"/>
        <w:keepNext w:val="0"/>
        <w:pageBreakBefore w:val="0"/>
        <w:spacing w:line="360" w:lineRule="auto"/>
        <w:widowControl w:val="off"/>
        <w:rPr>
          <w:rFonts w:hint="eastAsia" w:eastAsia="宋体"/>
          <w:bCs/>
          <w:color w:val="000000"/>
          <w:sz w:val="24"/>
          <w:lang w:eastAsia="zh-CN"/>
        </w:rPr>
      </w:pPr>
      <w:r>
        <w:rPr>
          <w:rFonts w:hint="eastAsia"/>
          <w:bCs/>
          <w:color w:val="000000"/>
          <w:sz w:val="24"/>
        </w:rPr>
        <w:t xml:space="preserve">1、项目名称：</w:t>
      </w:r>
      <w:r>
        <w:rPr>
          <w:rFonts w:hint="eastAsia"/>
          <w:bCs/>
          <w:color w:val="000000"/>
          <w:sz w:val="24"/>
          <w:lang w:eastAsia="zh-CN"/>
        </w:rPr>
        <w:t xml:space="preserve">东城街道2026年度零星工程项目</w:t>
      </w:r>
      <w:r>
        <w:rPr>
          <w:rFonts w:hint="eastAsia" w:eastAsia="宋体"/>
          <w:bCs/>
          <w:color w:val="000000"/>
          <w:sz w:val="24"/>
          <w:lang w:eastAsia="zh-CN"/>
        </w:rPr>
      </w:r>
      <w:r/>
    </w:p>
    <w:p>
      <w:pPr>
        <w:pStyle w:val="1147"/>
        <w:contextualSpacing/>
        <w:ind w:left="0"/>
        <w:keepLines w:val="0"/>
        <w:keepNext w:val="0"/>
        <w:pageBreakBefore w:val="0"/>
        <w:spacing w:line="360" w:lineRule="auto"/>
        <w:widowControl w:val="off"/>
        <w:rPr>
          <w:bCs/>
          <w:color w:val="000000"/>
          <w:sz w:val="24"/>
          <w:lang w:val="en-US"/>
        </w:rPr>
      </w:pPr>
      <w:r>
        <w:rPr>
          <w:rFonts w:hint="eastAsia"/>
          <w:bCs/>
          <w:color w:val="000000"/>
          <w:sz w:val="24"/>
        </w:rPr>
        <w:t xml:space="preserve">2、项目地点：</w:t>
      </w:r>
      <w:r>
        <w:rPr>
          <w:rFonts w:hint="eastAsia"/>
          <w:bCs/>
          <w:color w:val="000000"/>
          <w:sz w:val="24"/>
          <w:lang w:val="en-US" w:eastAsia="zh-CN"/>
        </w:rPr>
        <w:t xml:space="preserve">常州市金坛区</w:t>
      </w:r>
      <w:r>
        <w:rPr>
          <w:bCs/>
          <w:color w:val="000000"/>
          <w:sz w:val="24"/>
          <w:lang w:val="en-US"/>
        </w:rPr>
      </w:r>
      <w:r/>
    </w:p>
    <w:p>
      <w:pPr>
        <w:pStyle w:val="1147"/>
        <w:contextualSpacing/>
        <w:ind w:left="0"/>
        <w:keepLines w:val="0"/>
        <w:keepNext w:val="0"/>
        <w:pageBreakBefore w:val="0"/>
        <w:spacing w:line="360" w:lineRule="auto"/>
        <w:widowControl w:val="off"/>
        <w:rPr>
          <w:rFonts w:hint="eastAsia"/>
          <w:bCs/>
          <w:color w:val="000000"/>
          <w:sz w:val="24"/>
          <w:highlight w:val="none"/>
        </w:rPr>
      </w:pPr>
      <w:r>
        <w:rPr>
          <w:rFonts w:hint="eastAsia"/>
          <w:bCs/>
          <w:color w:val="000000"/>
          <w:sz w:val="24"/>
          <w:highlight w:val="none"/>
        </w:rPr>
        <w:t xml:space="preserve">3、预算金额：</w:t>
      </w:r>
      <w:r>
        <w:rPr>
          <w:rFonts w:hint="eastAsia"/>
          <w:bCs/>
          <w:color w:val="000000"/>
          <w:sz w:val="24"/>
          <w:highlight w:val="none"/>
          <w:lang w:val="en-US" w:eastAsia="zh-CN"/>
        </w:rPr>
        <w:t xml:space="preserve">150万</w:t>
      </w:r>
      <w:r>
        <w:rPr>
          <w:rFonts w:hint="eastAsia"/>
          <w:bCs/>
          <w:color w:val="000000"/>
          <w:sz w:val="24"/>
          <w:highlight w:val="none"/>
        </w:rPr>
        <w:t xml:space="preserve">元              </w:t>
      </w:r>
      <w:r>
        <w:rPr>
          <w:rFonts w:hint="eastAsia"/>
          <w:bCs/>
          <w:color w:val="000000"/>
          <w:sz w:val="24"/>
          <w:highlight w:val="none"/>
        </w:rPr>
      </w:r>
      <w:r/>
    </w:p>
    <w:p>
      <w:pPr>
        <w:pStyle w:val="1147"/>
        <w:contextualSpacing/>
        <w:ind w:left="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4、</w:t>
      </w:r>
      <w:r>
        <w:rPr>
          <w:rFonts w:hint="eastAsia" w:ascii="Times New Roman" w:hAnsi="Times New Roman" w:eastAsia="宋体" w:cs="Times New Roman"/>
          <w:bCs/>
          <w:color w:val="000000"/>
          <w:sz w:val="24"/>
          <w:highlight w:val="none"/>
          <w:lang w:val="en-US" w:eastAsia="zh-CN"/>
        </w:rPr>
        <w:t xml:space="preserve">项目最高限价：150万元、控制优惠率0%，投标报价不得低于控制优惠率，否则作废标处理，合同价=工程送审价*（1-中标优惠率）。</w:t>
      </w:r>
      <w:r>
        <w:rPr>
          <w:rFonts w:hint="eastAsia" w:ascii="Times New Roman" w:hAnsi="Times New Roman" w:eastAsia="宋体" w:cs="Times New Roman"/>
          <w:bCs/>
          <w:color w:val="000000"/>
          <w:sz w:val="24"/>
          <w:highlight w:val="none"/>
          <w:lang w:val="en-US" w:eastAsia="zh-CN"/>
        </w:rPr>
      </w:r>
      <w:r/>
    </w:p>
    <w:p>
      <w:pPr>
        <w:pStyle w:val="1243"/>
        <w:numPr>
          <w:ilvl w:val="0"/>
          <w:numId w:val="0"/>
        </w:numPr>
        <w:contextualSpacing/>
        <w:ind w:left="-500" w:firstLine="482"/>
        <w:keepLines w:val="0"/>
        <w:keepNext w:val="0"/>
        <w:pageBreakBefore w:val="0"/>
        <w:spacing w:line="360" w:lineRule="auto"/>
        <w:widowControl w:val="off"/>
        <w:rPr>
          <w:rFonts w:ascii="Times New Roman" w:hAnsi="Times New Roman"/>
          <w:b/>
          <w:color w:val="000000"/>
          <w:sz w:val="24"/>
          <w:szCs w:val="24"/>
          <w:highlight w:val="none"/>
        </w:rPr>
      </w:pPr>
      <w:r>
        <w:rPr>
          <w:rFonts w:hint="eastAsia" w:ascii="Times New Roman" w:hAnsi="Times New Roman"/>
          <w:b/>
          <w:color w:val="000000"/>
          <w:sz w:val="24"/>
          <w:szCs w:val="24"/>
          <w:highlight w:val="none"/>
          <w:lang w:val="en-US" w:eastAsia="zh-CN"/>
        </w:rPr>
        <w:t xml:space="preserve">二、</w:t>
      </w:r>
      <w:r>
        <w:rPr>
          <w:rFonts w:ascii="Times New Roman" w:hAnsi="Times New Roman"/>
          <w:b/>
          <w:color w:val="000000"/>
          <w:sz w:val="24"/>
          <w:szCs w:val="24"/>
          <w:highlight w:val="none"/>
        </w:rPr>
        <w:t xml:space="preserve">商务要求</w:t>
      </w:r>
      <w:r>
        <w:rPr>
          <w:rFonts w:ascii="Times New Roman" w:hAnsi="Times New Roman"/>
          <w:b/>
          <w:color w:val="000000"/>
          <w:sz w:val="24"/>
          <w:szCs w:val="24"/>
          <w:highlight w:val="none"/>
        </w:rPr>
      </w:r>
      <w:r/>
    </w:p>
    <w:p>
      <w:pPr>
        <w:pStyle w:val="1147"/>
        <w:contextualSpacing/>
        <w:keepLines w:val="0"/>
        <w:keepNext w:val="0"/>
        <w:pageBreakBefore w:val="0"/>
        <w:spacing w:line="360" w:lineRule="auto"/>
        <w:widowControl w:val="off"/>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lang w:val="en-US" w:eastAsia="zh-CN"/>
        </w:rPr>
        <w:t xml:space="preserve">1.</w:t>
      </w:r>
      <w:r>
        <w:rPr>
          <w:rFonts w:hint="eastAsia" w:ascii="Times New Roman" w:hAnsi="Times New Roman" w:eastAsia="宋体" w:cs="Times New Roman"/>
          <w:bCs/>
          <w:color w:val="000000"/>
          <w:sz w:val="24"/>
          <w:highlight w:val="none"/>
          <w:lang w:eastAsia="zh-CN"/>
        </w:rPr>
        <w:t xml:space="preserve">付款方式：</w:t>
      </w:r>
      <w:r>
        <w:rPr>
          <w:rFonts w:hint="eastAsia" w:ascii="Times New Roman" w:hAnsi="Times New Roman" w:eastAsia="宋体" w:cs="Times New Roman"/>
          <w:bCs/>
          <w:color w:val="000000"/>
          <w:sz w:val="24"/>
          <w:highlight w:val="none"/>
          <w:lang w:eastAsia="zh-CN"/>
        </w:rPr>
      </w:r>
      <w:r/>
    </w:p>
    <w:p>
      <w:pPr>
        <w:pStyle w:val="1147"/>
        <w:contextualSpacing/>
        <w:keepLines w:val="0"/>
        <w:keepNext w:val="0"/>
        <w:pageBreakBefore w:val="0"/>
        <w:spacing w:line="360" w:lineRule="auto"/>
        <w:widowControl w:val="off"/>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lang w:eastAsia="zh-CN"/>
        </w:rPr>
        <w:t xml:space="preserve">工程竣工验收合格经审计后支付审定价的97%，余款在质保期满后一次性付清（不计息）。</w:t>
      </w:r>
      <w:r>
        <w:rPr>
          <w:rFonts w:hint="eastAsia" w:ascii="Times New Roman" w:hAnsi="Times New Roman" w:eastAsia="宋体" w:cs="Times New Roman"/>
          <w:bCs/>
          <w:color w:val="000000"/>
          <w:sz w:val="24"/>
          <w:highlight w:val="none"/>
          <w:lang w:eastAsia="zh-CN"/>
        </w:rPr>
      </w:r>
      <w:r/>
    </w:p>
    <w:p>
      <w:pPr>
        <w:pStyle w:val="1147"/>
        <w:contextualSpacing/>
        <w:keepLines w:val="0"/>
        <w:keepNext w:val="0"/>
        <w:pageBreakBefore w:val="0"/>
        <w:spacing w:line="360" w:lineRule="auto"/>
        <w:widowControl w:val="off"/>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lang w:eastAsia="zh-CN"/>
        </w:rPr>
        <w:t xml:space="preserve">注：（1）付款前中标人需向采购人提供等额增值税发票；</w:t>
      </w:r>
      <w:r>
        <w:rPr>
          <w:rFonts w:hint="eastAsia" w:ascii="Times New Roman" w:hAnsi="Times New Roman" w:eastAsia="宋体" w:cs="Times New Roman"/>
          <w:bCs/>
          <w:color w:val="000000"/>
          <w:sz w:val="24"/>
          <w:highlight w:val="none"/>
          <w:lang w:eastAsia="zh-CN"/>
        </w:rPr>
      </w:r>
      <w:r/>
    </w:p>
    <w:p>
      <w:pPr>
        <w:pStyle w:val="1147"/>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lang w:eastAsia="zh-CN"/>
        </w:rPr>
        <w:t xml:space="preserve">（2）如项目特殊可根据采购人要求调整支付方式。</w:t>
      </w:r>
      <w:r>
        <w:rPr>
          <w:rFonts w:hint="eastAsia" w:ascii="Times New Roman" w:hAnsi="Times New Roman" w:eastAsia="宋体" w:cs="Times New Roman"/>
          <w:bCs/>
          <w:color w:val="000000"/>
          <w:sz w:val="24"/>
          <w:highlight w:val="none"/>
          <w:lang w:eastAsia="zh-CN"/>
        </w:rPr>
      </w:r>
      <w:r/>
    </w:p>
    <w:p>
      <w:pPr>
        <w:pStyle w:val="1147"/>
        <w:contextualSpacing/>
        <w:keepLines w:val="0"/>
        <w:keepNext w:val="0"/>
        <w:pageBreakBefore w:val="0"/>
        <w:spacing w:line="360" w:lineRule="auto"/>
        <w:widowControl w:val="off"/>
        <w:rPr>
          <w:rFonts w:hint="eastAsia" w:ascii="Times New Roman" w:hAnsi="Times New Roman" w:eastAsia="宋体" w:cs="Times New Roman"/>
          <w:bCs/>
          <w:color w:val="000000"/>
          <w:sz w:val="24"/>
          <w:lang w:val="en-US" w:eastAsia="zh-CN"/>
        </w:rPr>
      </w:pPr>
      <w:r>
        <w:rPr>
          <w:rFonts w:hint="eastAsia" w:ascii="Times New Roman" w:hAnsi="Times New Roman" w:eastAsia="宋体" w:cs="Times New Roman"/>
          <w:bCs/>
          <w:color w:val="000000"/>
          <w:sz w:val="24"/>
          <w:lang w:val="en-US" w:eastAsia="zh-CN"/>
        </w:rPr>
        <w:t xml:space="preserve">2.质保期：详见工程质量保修书</w:t>
      </w:r>
      <w:r>
        <w:rPr>
          <w:rFonts w:hint="eastAsia" w:ascii="Times New Roman" w:hAnsi="Times New Roman" w:eastAsia="宋体" w:cs="Times New Roman"/>
          <w:bCs/>
          <w:color w:val="000000"/>
          <w:sz w:val="24"/>
          <w:lang w:val="en-US" w:eastAsia="zh-CN"/>
        </w:rPr>
      </w:r>
      <w:r/>
    </w:p>
    <w:p>
      <w:pPr>
        <w:pStyle w:val="1147"/>
        <w:contextualSpacing/>
        <w:keepLines w:val="0"/>
        <w:keepNext w:val="0"/>
        <w:pageBreakBefore w:val="0"/>
        <w:spacing w:line="360" w:lineRule="auto"/>
        <w:widowControl w:val="off"/>
        <w:rPr>
          <w:rFonts w:hint="eastAsia" w:ascii="Times New Roman" w:hAnsi="Times New Roman" w:eastAsia="宋体" w:cs="Times New Roman"/>
          <w:bCs/>
          <w:color w:val="000000"/>
          <w:sz w:val="24"/>
          <w:lang w:val="en-US" w:eastAsia="zh-CN"/>
        </w:rPr>
      </w:pPr>
      <w:r>
        <w:rPr>
          <w:rFonts w:hint="eastAsia" w:ascii="Times New Roman" w:hAnsi="Times New Roman" w:eastAsia="宋体" w:cs="Times New Roman"/>
          <w:bCs/>
          <w:color w:val="000000"/>
          <w:sz w:val="24"/>
          <w:lang w:val="en-US" w:eastAsia="zh-CN"/>
        </w:rPr>
        <w:t xml:space="preserve">3.质量标准：合格。</w:t>
      </w:r>
      <w:r>
        <w:rPr>
          <w:rFonts w:hint="eastAsia" w:ascii="Times New Roman" w:hAnsi="Times New Roman" w:eastAsia="宋体" w:cs="Times New Roman"/>
          <w:bCs/>
          <w:color w:val="000000"/>
          <w:sz w:val="24"/>
          <w:lang w:val="en-US" w:eastAsia="zh-CN"/>
        </w:rPr>
      </w:r>
      <w:r/>
    </w:p>
    <w:p>
      <w:pPr>
        <w:pStyle w:val="1147"/>
        <w:contextualSpacing/>
        <w:keepLines w:val="0"/>
        <w:keepNext w:val="0"/>
        <w:pageBreakBefore w:val="0"/>
        <w:spacing w:line="360" w:lineRule="auto"/>
        <w:widowControl w:val="off"/>
        <w:rPr>
          <w:rFonts w:ascii="Times New Roman" w:hAnsi="Times New Roman" w:eastAsia="宋体" w:cs="Times New Roman"/>
          <w:bCs/>
          <w:color w:val="0000ff"/>
          <w:sz w:val="24"/>
          <w:highlight w:val="none"/>
          <w:lang w:val="en-US" w:eastAsia="zh-CN"/>
        </w:rPr>
      </w:pPr>
      <w:r>
        <w:rPr>
          <w:rFonts w:hint="eastAsia" w:ascii="Times New Roman" w:hAnsi="Times New Roman" w:eastAsia="宋体" w:cs="Times New Roman"/>
          <w:bCs/>
          <w:color w:val="000000"/>
          <w:sz w:val="24"/>
          <w:lang w:val="en-US" w:eastAsia="zh-CN"/>
        </w:rPr>
        <w:t xml:space="preserve">4.验收标准：每个项目通过街道相关部门联合竣工验收。</w:t>
      </w:r>
      <w:r>
        <w:rPr>
          <w:rFonts w:ascii="Times New Roman" w:hAnsi="Times New Roman" w:eastAsia="宋体" w:cs="Times New Roman"/>
          <w:bCs/>
          <w:color w:val="0000ff"/>
          <w:sz w:val="24"/>
          <w:highlight w:val="none"/>
          <w:lang w:val="en-US" w:eastAsia="zh-CN"/>
        </w:rPr>
      </w:r>
      <w:r/>
    </w:p>
    <w:p>
      <w:pPr>
        <w:pStyle w:val="1243"/>
        <w:numPr>
          <w:ilvl w:val="0"/>
          <w:numId w:val="0"/>
        </w:numPr>
        <w:contextualSpacing/>
        <w:ind w:left="-500" w:firstLine="482"/>
        <w:keepLines w:val="0"/>
        <w:keepNext w:val="0"/>
        <w:pageBreakBefore w:val="0"/>
        <w:spacing w:line="360" w:lineRule="auto"/>
        <w:widowControl w:val="off"/>
        <w:rPr>
          <w:rFonts w:hint="eastAsia" w:ascii="Times New Roman" w:hAnsi="Times New Roman" w:eastAsia="宋体" w:cs="Times New Roman"/>
          <w:b/>
          <w:color w:val="000000"/>
          <w:sz w:val="24"/>
          <w:szCs w:val="24"/>
          <w:lang w:eastAsia="zh-CN"/>
        </w:rPr>
      </w:pPr>
      <w:r>
        <w:rPr>
          <w:rFonts w:hint="eastAsia" w:ascii="Times New Roman" w:hAnsi="Times New Roman" w:eastAsia="宋体" w:cs="Times New Roman"/>
          <w:b/>
          <w:color w:val="000000"/>
          <w:sz w:val="24"/>
          <w:szCs w:val="24"/>
          <w:lang w:val="en-US" w:eastAsia="zh-CN"/>
        </w:rPr>
        <w:t xml:space="preserve">三、</w:t>
      </w:r>
      <w:r>
        <w:rPr>
          <w:rFonts w:hint="eastAsia" w:ascii="Times New Roman" w:hAnsi="Times New Roman" w:eastAsia="宋体" w:cs="Times New Roman"/>
          <w:b/>
          <w:color w:val="000000"/>
          <w:sz w:val="24"/>
          <w:szCs w:val="24"/>
          <w:lang w:eastAsia="zh-CN"/>
        </w:rPr>
        <w:t xml:space="preserve">其它要求</w:t>
      </w:r>
      <w:r>
        <w:rPr>
          <w:rFonts w:hint="eastAsia" w:ascii="Times New Roman" w:hAnsi="Times New Roman" w:eastAsia="宋体" w:cs="Times New Roman"/>
          <w:b/>
          <w:color w:val="000000"/>
          <w:sz w:val="24"/>
          <w:szCs w:val="24"/>
          <w:lang w:eastAsia="zh-CN"/>
        </w:rPr>
      </w:r>
      <w:r/>
    </w:p>
    <w:p>
      <w:pPr>
        <w:pStyle w:val="1147"/>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lang w:eastAsia="zh-CN"/>
        </w:rPr>
      </w:pPr>
      <w:r>
        <w:rPr>
          <w:rFonts w:hint="eastAsia" w:ascii="Times New Roman" w:hAnsi="Times New Roman" w:eastAsia="宋体" w:cs="Times New Roman"/>
          <w:bCs/>
          <w:color w:val="000000"/>
          <w:sz w:val="24"/>
          <w:lang w:eastAsia="zh-CN"/>
        </w:rPr>
        <w:t xml:space="preserve">1、如出现成交供应商自身管理或沟通不利使员工通过各类渠道或以其他方式对采购人的声誉造成不利影响，以及因成交供应商服务质量或员工素质等原因有损采购人的社会公众形象、口碑等情况，成交供应商必须第一时间负责将不利影响降到最低并及时妥善处理，同时承担由此造成的声誉损失后果。采购人保留从经济、法律或其他形式向成交供应商追究责任的权利。</w:t>
      </w:r>
      <w:r>
        <w:rPr>
          <w:rFonts w:hint="eastAsia" w:ascii="Times New Roman" w:hAnsi="Times New Roman" w:eastAsia="宋体" w:cs="Times New Roman"/>
          <w:bCs/>
          <w:color w:val="000000"/>
          <w:sz w:val="24"/>
          <w:lang w:eastAsia="zh-CN"/>
        </w:rPr>
      </w:r>
      <w:r/>
    </w:p>
    <w:p>
      <w:pPr>
        <w:pStyle w:val="1147"/>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lang w:eastAsia="zh-CN"/>
        </w:rPr>
      </w:pPr>
      <w:r>
        <w:rPr>
          <w:rFonts w:hint="eastAsia" w:ascii="Times New Roman" w:hAnsi="Times New Roman" w:eastAsia="宋体" w:cs="Times New Roman"/>
          <w:bCs/>
          <w:color w:val="000000"/>
          <w:sz w:val="24"/>
          <w:lang w:eastAsia="zh-CN"/>
        </w:rPr>
        <w:t xml:space="preserve">2、成交供应商擅自将服务合同转包或分包给第三人的，以及成交供应商违反法律法规、规章或其他相关规范性文件的规定，影响合同履行的，采购人可以单方面解除合同而无须向成交供应商支付任何费用或承担其他任何责任，由此产生的经济损失和法律责任均由成交供应商承担。</w:t>
      </w:r>
      <w:r>
        <w:rPr>
          <w:rFonts w:hint="eastAsia" w:ascii="Times New Roman" w:hAnsi="Times New Roman" w:eastAsia="宋体" w:cs="Times New Roman"/>
          <w:bCs/>
          <w:color w:val="000000"/>
          <w:sz w:val="24"/>
          <w:lang w:eastAsia="zh-CN"/>
        </w:rPr>
      </w:r>
      <w:r/>
    </w:p>
    <w:p>
      <w:pPr>
        <w:pStyle w:val="1147"/>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lang w:eastAsia="zh-CN"/>
        </w:rPr>
      </w:pPr>
      <w:r>
        <w:rPr>
          <w:rFonts w:hint="eastAsia" w:ascii="Times New Roman" w:hAnsi="Times New Roman" w:eastAsia="宋体" w:cs="Times New Roman"/>
          <w:bCs/>
          <w:color w:val="000000"/>
          <w:sz w:val="24"/>
          <w:lang w:eastAsia="zh-CN"/>
        </w:rPr>
        <w:t xml:space="preserve">3、建筑垃圾、渣土清运施工时需配备必要的防尘抑尘设备，采取持续加压喷淋措施，禁止扬尘产生，现场运输车要封闭严密，不带泥土上路。</w:t>
      </w:r>
      <w:r>
        <w:rPr>
          <w:rFonts w:hint="eastAsia" w:ascii="Times New Roman" w:hAnsi="Times New Roman" w:eastAsia="宋体" w:cs="Times New Roman"/>
          <w:bCs/>
          <w:color w:val="000000"/>
          <w:sz w:val="24"/>
          <w:lang w:eastAsia="zh-CN"/>
        </w:rPr>
      </w:r>
      <w:r/>
    </w:p>
    <w:p>
      <w:pPr>
        <w:pStyle w:val="1147"/>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lang w:eastAsia="zh-CN"/>
        </w:rPr>
      </w:pPr>
      <w:r>
        <w:rPr>
          <w:rFonts w:hint="eastAsia" w:ascii="Times New Roman" w:hAnsi="Times New Roman" w:eastAsia="宋体" w:cs="Times New Roman"/>
          <w:bCs/>
          <w:color w:val="000000"/>
          <w:sz w:val="24"/>
          <w:lang w:eastAsia="zh-CN"/>
        </w:rPr>
        <w:t xml:space="preserve">4、严格控制作业噪音，作业时间按市环保等有关部门规定执行并以不影响周边第三人日常生活为准。</w:t>
      </w:r>
      <w:r>
        <w:rPr>
          <w:rFonts w:hint="eastAsia" w:ascii="Times New Roman" w:hAnsi="Times New Roman" w:eastAsia="宋体" w:cs="Times New Roman"/>
          <w:bCs/>
          <w:color w:val="000000"/>
          <w:sz w:val="24"/>
          <w:lang w:eastAsia="zh-CN"/>
        </w:rPr>
      </w:r>
      <w:r/>
    </w:p>
    <w:p>
      <w:pPr>
        <w:pStyle w:val="1147"/>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lang w:eastAsia="zh-CN"/>
        </w:rPr>
      </w:pPr>
      <w:r>
        <w:rPr>
          <w:rFonts w:hint="eastAsia" w:ascii="Times New Roman" w:hAnsi="Times New Roman" w:eastAsia="宋体" w:cs="Times New Roman"/>
          <w:bCs/>
          <w:color w:val="000000"/>
          <w:sz w:val="24"/>
          <w:lang w:eastAsia="zh-CN"/>
        </w:rPr>
        <w:t xml:space="preserve">5、作业期间要保持场地整洁卫生，建筑垃圾及时清理，做到工完场清。</w:t>
      </w:r>
      <w:r>
        <w:rPr>
          <w:rFonts w:hint="eastAsia" w:ascii="Times New Roman" w:hAnsi="Times New Roman" w:eastAsia="宋体" w:cs="Times New Roman"/>
          <w:bCs/>
          <w:color w:val="000000"/>
          <w:sz w:val="24"/>
          <w:lang w:eastAsia="zh-CN"/>
        </w:rPr>
      </w:r>
      <w:r/>
    </w:p>
    <w:p>
      <w:pPr>
        <w:pStyle w:val="1147"/>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ff"/>
          <w:sz w:val="24"/>
          <w:highlight w:val="none"/>
          <w:lang w:eastAsia="zh-CN"/>
        </w:rPr>
      </w:pPr>
      <w:r>
        <w:rPr>
          <w:rFonts w:hint="eastAsia" w:ascii="Times New Roman" w:hAnsi="Times New Roman" w:eastAsia="宋体" w:cs="Times New Roman"/>
          <w:bCs/>
          <w:color w:val="0000ff"/>
          <w:sz w:val="24"/>
          <w:highlight w:val="none"/>
          <w:lang w:eastAsia="zh-CN"/>
        </w:rPr>
        <w:t xml:space="preserve">★</w:t>
      </w:r>
      <w:r>
        <w:rPr>
          <w:rFonts w:hint="eastAsia" w:ascii="Times New Roman" w:hAnsi="Times New Roman" w:eastAsia="宋体" w:cs="Times New Roman"/>
          <w:bCs/>
          <w:color w:val="0000ff"/>
          <w:sz w:val="24"/>
          <w:highlight w:val="none"/>
          <w:lang w:val="en-US" w:eastAsia="zh-CN"/>
        </w:rPr>
        <w:t xml:space="preserve">6.</w:t>
      </w:r>
      <w:r>
        <w:rPr>
          <w:rFonts w:hint="eastAsia" w:ascii="Times New Roman" w:hAnsi="Times New Roman" w:eastAsia="宋体" w:cs="Times New Roman"/>
          <w:bCs/>
          <w:color w:val="0000ff"/>
          <w:sz w:val="24"/>
          <w:highlight w:val="none"/>
          <w:lang w:eastAsia="zh-CN"/>
        </w:rPr>
        <w:t xml:space="preserve">绿色建材要求</w:t>
      </w:r>
      <w:r>
        <w:rPr>
          <w:rFonts w:hint="eastAsia" w:ascii="Times New Roman" w:hAnsi="Times New Roman" w:eastAsia="宋体" w:cs="Times New Roman"/>
          <w:bCs/>
          <w:color w:val="0000ff"/>
          <w:sz w:val="24"/>
          <w:highlight w:val="none"/>
          <w:lang w:eastAsia="zh-CN"/>
        </w:rPr>
      </w:r>
      <w:r/>
    </w:p>
    <w:p>
      <w:pPr>
        <w:pStyle w:val="1147"/>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ff"/>
          <w:sz w:val="24"/>
          <w:highlight w:val="none"/>
          <w:lang w:eastAsia="zh-CN"/>
        </w:rPr>
      </w:pPr>
      <w:r>
        <w:rPr>
          <w:rFonts w:hint="eastAsia" w:ascii="Times New Roman" w:hAnsi="Times New Roman" w:eastAsia="宋体" w:cs="Times New Roman"/>
          <w:bCs/>
          <w:color w:val="0000ff"/>
          <w:sz w:val="24"/>
          <w:highlight w:val="none"/>
          <w:lang w:eastAsia="zh-CN"/>
        </w:rPr>
        <w:t xml:space="preserve">本项目严格执行《绿色建筑和绿色建材政府采购需求标准》，涉及使用《绿色建筑和绿色建材政府采购需求标准》中的绿色建材的，成交供应商须全部使用符合要求的绿色建材，并在材料进场时提供符合《绿色建筑和绿色建材政府采购需求标准》相关指标要求的绿色建材检测报告或绿色建材产品认证证书，</w:t>
      </w:r>
      <w:r>
        <w:rPr>
          <w:rFonts w:hint="eastAsia" w:ascii="Times New Roman" w:hAnsi="Times New Roman" w:eastAsia="宋体" w:cs="Times New Roman"/>
          <w:bCs/>
          <w:color w:val="0000ff"/>
          <w:sz w:val="24"/>
          <w:highlight w:val="none"/>
          <w:lang w:val="en-US" w:eastAsia="zh-CN"/>
        </w:rPr>
        <w:t xml:space="preserve">提供承诺函（格式自拟）上传至投标文件中，否则作无效响应处理</w:t>
      </w:r>
      <w:r>
        <w:rPr>
          <w:rFonts w:hint="eastAsia" w:ascii="Times New Roman" w:hAnsi="Times New Roman" w:eastAsia="宋体" w:cs="Times New Roman"/>
          <w:bCs/>
          <w:color w:val="0000ff"/>
          <w:sz w:val="24"/>
          <w:highlight w:val="none"/>
          <w:lang w:eastAsia="zh-CN"/>
        </w:rPr>
        <w:t xml:space="preserve">。</w:t>
      </w:r>
      <w:r>
        <w:rPr>
          <w:rFonts w:hint="eastAsia" w:ascii="Times New Roman" w:hAnsi="Times New Roman" w:eastAsia="宋体" w:cs="Times New Roman"/>
          <w:bCs/>
          <w:color w:val="0000ff"/>
          <w:sz w:val="24"/>
          <w:highlight w:val="none"/>
          <w:lang w:eastAsia="zh-CN"/>
        </w:rPr>
      </w:r>
      <w:r/>
    </w:p>
    <w:p>
      <w:pPr>
        <w:pStyle w:val="1147"/>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ff"/>
          <w:sz w:val="24"/>
          <w:highlight w:val="none"/>
          <w:lang w:eastAsia="zh-CN"/>
        </w:rPr>
      </w:pPr>
      <w:r>
        <w:rPr>
          <w:rFonts w:hint="eastAsia" w:ascii="Times New Roman" w:hAnsi="Times New Roman" w:eastAsia="宋体" w:cs="Times New Roman"/>
          <w:bCs/>
          <w:color w:val="0000ff"/>
          <w:sz w:val="24"/>
          <w:highlight w:val="none"/>
          <w:lang w:eastAsia="zh-CN"/>
        </w:rPr>
        <w:t xml:space="preserve">★</w:t>
      </w:r>
      <w:r>
        <w:rPr>
          <w:rFonts w:hint="eastAsia" w:ascii="Times New Roman" w:hAnsi="Times New Roman" w:eastAsia="宋体" w:cs="Times New Roman"/>
          <w:bCs/>
          <w:color w:val="0000ff"/>
          <w:sz w:val="24"/>
          <w:highlight w:val="none"/>
          <w:lang w:val="en-US" w:eastAsia="zh-CN"/>
        </w:rPr>
        <w:t xml:space="preserve">7.</w:t>
      </w:r>
      <w:r>
        <w:rPr>
          <w:rFonts w:hint="eastAsia" w:ascii="Times New Roman" w:hAnsi="Times New Roman" w:eastAsia="宋体" w:cs="Times New Roman"/>
          <w:bCs/>
          <w:color w:val="0000ff"/>
          <w:sz w:val="24"/>
          <w:highlight w:val="none"/>
          <w:lang w:eastAsia="zh-CN"/>
        </w:rPr>
        <w:t xml:space="preserve">优先使用低挥发性有机化合物产品</w:t>
      </w:r>
      <w:r>
        <w:rPr>
          <w:rFonts w:hint="eastAsia" w:ascii="Times New Roman" w:hAnsi="Times New Roman" w:eastAsia="宋体" w:cs="Times New Roman"/>
          <w:bCs/>
          <w:color w:val="0000ff"/>
          <w:sz w:val="24"/>
          <w:highlight w:val="none"/>
          <w:lang w:eastAsia="zh-CN"/>
        </w:rPr>
      </w:r>
      <w:r/>
    </w:p>
    <w:p>
      <w:pPr>
        <w:pStyle w:val="1147"/>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ff"/>
          <w:sz w:val="24"/>
          <w:highlight w:val="none"/>
          <w:lang w:eastAsia="zh-CN"/>
        </w:rPr>
      </w:pPr>
      <w:r>
        <w:rPr>
          <w:rFonts w:hint="eastAsia" w:ascii="Times New Roman" w:hAnsi="Times New Roman" w:eastAsia="宋体" w:cs="Times New Roman"/>
          <w:bCs/>
          <w:color w:val="0000ff"/>
          <w:sz w:val="24"/>
          <w:highlight w:val="none"/>
          <w:lang w:eastAsia="zh-CN"/>
        </w:rPr>
        <w:t xml:space="preserve">本项目落实挥发性有机化合物（VOCs）治理要求，若本项目中涉及涂料、胶黏剂、油墨、清洗剂等挥发性有机物产品的，属于强制性标准的，成交供应商须全部使用符合国家和江苏省相关VOCs 含量限制标准的产品，并在材料进场时提供符合要求的检测报告，</w:t>
      </w:r>
      <w:r>
        <w:rPr>
          <w:rFonts w:hint="eastAsia" w:ascii="Times New Roman" w:hAnsi="Times New Roman" w:eastAsia="宋体" w:cs="Times New Roman"/>
          <w:bCs/>
          <w:color w:val="0000ff"/>
          <w:sz w:val="24"/>
          <w:highlight w:val="none"/>
          <w:lang w:val="en-US" w:eastAsia="zh-CN"/>
        </w:rPr>
        <w:t xml:space="preserve">提供承诺函（格式自拟）上传至投标文件中，否则作无效响应处理</w:t>
      </w:r>
      <w:r>
        <w:rPr>
          <w:rFonts w:hint="eastAsia" w:ascii="Times New Roman" w:hAnsi="Times New Roman" w:eastAsia="宋体" w:cs="Times New Roman"/>
          <w:bCs/>
          <w:color w:val="0000ff"/>
          <w:sz w:val="24"/>
          <w:highlight w:val="none"/>
          <w:lang w:eastAsia="zh-CN"/>
        </w:rPr>
        <w:t xml:space="preserve">。</w:t>
      </w:r>
      <w:r>
        <w:rPr>
          <w:rFonts w:hint="eastAsia" w:ascii="Times New Roman" w:hAnsi="Times New Roman" w:eastAsia="宋体" w:cs="Times New Roman"/>
          <w:bCs/>
          <w:color w:val="0000ff"/>
          <w:sz w:val="24"/>
          <w:highlight w:val="none"/>
          <w:lang w:eastAsia="zh-CN"/>
        </w:rPr>
      </w:r>
      <w:r/>
    </w:p>
    <w:p>
      <w:pPr>
        <w:pStyle w:val="1225"/>
        <w:numPr>
          <w:ilvl w:val="0"/>
          <w:numId w:val="0"/>
        </w:numPr>
        <w:keepLines/>
        <w:keepNext/>
        <w:pageBreakBefore w:val="0"/>
        <w:spacing w:before="0" w:after="0" w:line="360" w:lineRule="auto"/>
        <w:widowControl w:val="off"/>
        <w:rPr>
          <w:rFonts w:hint="eastAsia" w:ascii="Times New Roman" w:hAnsi="Times New Roman" w:eastAsia="宋体" w:cs="Times New Roman"/>
          <w:b/>
          <w:color w:val="000000"/>
          <w:sz w:val="24"/>
          <w:szCs w:val="24"/>
          <w:highlight w:val="none"/>
          <w:u w:val="none"/>
          <w:lang w:val="en-US" w:eastAsia="zh-CN"/>
        </w:rPr>
      </w:pPr>
      <w:r>
        <w:rPr>
          <w:rFonts w:hint="eastAsia" w:ascii="Times New Roman" w:hAnsi="Times New Roman" w:eastAsia="宋体" w:cs="Times New Roman"/>
          <w:b/>
          <w:color w:val="000000"/>
          <w:sz w:val="24"/>
          <w:szCs w:val="24"/>
          <w:highlight w:val="none"/>
          <w:u w:val="none"/>
          <w:lang w:val="en-US" w:eastAsia="zh-CN"/>
        </w:rPr>
        <w:t xml:space="preserve">四、工作内容</w:t>
      </w:r>
      <w:r>
        <w:rPr>
          <w:rFonts w:hint="eastAsia" w:ascii="Times New Roman" w:hAnsi="Times New Roman" w:eastAsia="宋体" w:cs="Times New Roman"/>
          <w:b/>
          <w:color w:val="000000"/>
          <w:sz w:val="24"/>
          <w:szCs w:val="24"/>
          <w:highlight w:val="none"/>
          <w:u w:val="none"/>
          <w:lang w:val="en-US" w:eastAsia="zh-CN"/>
        </w:rPr>
      </w:r>
      <w:r/>
    </w:p>
    <w:p>
      <w:pPr>
        <w:pStyle w:val="1147"/>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为提高街道局部维修效率及质量，方便及时实施消除隐患、提升居民获得感的零星工程，进一步保障城市运行畅通，东城街道拟对辖区内2026年度可能发生的零星工程进行年度招标。主要实施内容包括但不限于年度内东城街道辖区范围内拟发包的预算在1万元(含)以上、10万元(不含)以下的项目，主要内容包括但不限于建筑(室内外)维修、零星装饰、门窗维修、屋顶墙面防水防漏维修、场地维修、围墙围挡维修、水电消防设施改造等及采购人要求其他维修内容。</w:t>
      </w:r>
      <w:r>
        <w:rPr>
          <w:rFonts w:hint="eastAsia" w:ascii="Times New Roman" w:hAnsi="Times New Roman" w:eastAsia="宋体" w:cs="Times New Roman"/>
          <w:bCs/>
          <w:color w:val="000000"/>
          <w:sz w:val="24"/>
          <w:highlight w:val="none"/>
          <w:lang w:val="en-US" w:eastAsia="zh-CN"/>
        </w:rPr>
      </w:r>
      <w:r/>
    </w:p>
    <w:p>
      <w:pPr>
        <w:pStyle w:val="1147"/>
        <w:contextualSpacing/>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
          <w:color w:val="000000"/>
          <w:sz w:val="24"/>
          <w:szCs w:val="24"/>
          <w:highlight w:val="none"/>
          <w:u w:val="none"/>
          <w:lang w:val="en-US" w:eastAsia="zh-CN" w:bidi="ar-SA"/>
        </w:rPr>
        <w:t xml:space="preserve">五、项目明细</w:t>
      </w:r>
      <w:r>
        <w:rPr>
          <w:rFonts w:hint="eastAsia" w:ascii="Times New Roman" w:hAnsi="Times New Roman" w:eastAsia="宋体" w:cs="Times New Roman"/>
          <w:bCs/>
          <w:color w:val="000000"/>
          <w:sz w:val="24"/>
          <w:highlight w:val="none"/>
          <w:lang w:val="en-US" w:eastAsia="zh-CN"/>
        </w:rPr>
      </w:r>
      <w:r/>
    </w:p>
    <w:tbl>
      <w:tblPr>
        <w:tblpPr w:horzAnchor="page" w:tblpX="1786" w:vertAnchor="text" w:tblpY="452" w:leftFromText="180" w:topFromText="0" w:rightFromText="180" w:bottomFromText="0"/>
        <w:tblW w:w="9258"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16"/>
        <w:gridCol w:w="1192"/>
        <w:gridCol w:w="4987"/>
        <w:gridCol w:w="604"/>
        <w:gridCol w:w="809"/>
        <w:gridCol w:w="1150"/>
      </w:tblGrid>
      <w:tr>
        <w:trPr>
          <w:trHeight w:val="285"/>
        </w:trPr>
        <w:tc>
          <w:tcPr>
            <w:tcW w:w="516" w:type="dxa"/>
            <w:vAlign w:val="center"/>
            <w:vMerge w:val="restart"/>
            <w:textDirection w:val="lrTb"/>
            <w:noWrap w:val="false"/>
          </w:tcPr>
          <w:p>
            <w:pPr>
              <w:pStyle w:val="1147"/>
              <w:jc w:val="center"/>
              <w:keepLines w:val="0"/>
              <w:keepNext w:val="0"/>
              <w:widowControl/>
              <w:rPr>
                <w:rFonts w:ascii="黑体" w:hAnsi="宋体" w:eastAsia="黑体" w:cs="黑体"/>
                <w:i w:val="0"/>
                <w:iCs w:val="0"/>
                <w:color w:val="000000"/>
                <w:sz w:val="24"/>
                <w:szCs w:val="24"/>
                <w:u w:val="none"/>
              </w:rPr>
              <w:framePr w:vAnchor="text" w:hAnchor="page" w:x="1786" w:y="452"/>
              <w:suppressLineNumbers w:val="0"/>
            </w:pPr>
            <w:r>
              <w:rPr>
                <w:rFonts w:hint="eastAsia" w:ascii="黑体" w:hAnsi="宋体" w:eastAsia="黑体" w:cs="黑体"/>
                <w:i w:val="0"/>
                <w:iCs w:val="0"/>
                <w:color w:val="000000"/>
                <w:sz w:val="24"/>
                <w:szCs w:val="24"/>
                <w:u w:val="none"/>
                <w:lang w:val="en-US" w:eastAsia="zh-CN" w:bidi="ar"/>
              </w:rPr>
              <w:t xml:space="preserve">序号</w:t>
            </w:r>
            <w:r>
              <w:rPr>
                <w:rFonts w:ascii="黑体" w:hAnsi="宋体" w:eastAsia="黑体" w:cs="黑体"/>
                <w:i w:val="0"/>
                <w:iCs w:val="0"/>
                <w:color w:val="000000"/>
                <w:sz w:val="24"/>
                <w:szCs w:val="24"/>
                <w:u w:val="none"/>
              </w:rPr>
            </w:r>
            <w:r/>
          </w:p>
        </w:tc>
        <w:tc>
          <w:tcPr>
            <w:tcW w:w="1192" w:type="dxa"/>
            <w:vAlign w:val="center"/>
            <w:vMerge w:val="restart"/>
            <w:textDirection w:val="lrTb"/>
            <w:noWrap/>
          </w:tcPr>
          <w:p>
            <w:pPr>
              <w:pStyle w:val="1147"/>
              <w:jc w:val="center"/>
              <w:keepLines w:val="0"/>
              <w:keepNext w:val="0"/>
              <w:widowControl/>
              <w:rPr>
                <w:rFonts w:hint="eastAsia" w:ascii="黑体" w:hAnsi="宋体" w:eastAsia="黑体" w:cs="黑体"/>
                <w:i w:val="0"/>
                <w:iCs w:val="0"/>
                <w:color w:val="000000"/>
                <w:sz w:val="24"/>
                <w:szCs w:val="24"/>
                <w:u w:val="none"/>
              </w:rPr>
              <w:framePr w:vAnchor="text" w:hAnchor="page" w:x="1786" w:y="452"/>
              <w:suppressLineNumbers w:val="0"/>
            </w:pPr>
            <w:r>
              <w:rPr>
                <w:rFonts w:hint="eastAsia" w:ascii="黑体" w:hAnsi="宋体" w:eastAsia="黑体" w:cs="黑体"/>
                <w:i w:val="0"/>
                <w:iCs w:val="0"/>
                <w:color w:val="000000"/>
                <w:sz w:val="24"/>
                <w:szCs w:val="24"/>
                <w:u w:val="none"/>
                <w:lang w:val="en-US" w:eastAsia="zh-CN" w:bidi="ar"/>
              </w:rPr>
              <w:t xml:space="preserve">编号</w:t>
            </w:r>
            <w:r>
              <w:rPr>
                <w:rFonts w:hint="eastAsia" w:ascii="黑体" w:hAnsi="宋体" w:eastAsia="黑体" w:cs="黑体"/>
                <w:i w:val="0"/>
                <w:iCs w:val="0"/>
                <w:color w:val="000000"/>
                <w:sz w:val="24"/>
                <w:szCs w:val="24"/>
                <w:u w:val="none"/>
              </w:rPr>
            </w:r>
            <w:r/>
          </w:p>
        </w:tc>
        <w:tc>
          <w:tcPr>
            <w:tcW w:w="4987" w:type="dxa"/>
            <w:vAlign w:val="center"/>
            <w:vMerge w:val="restart"/>
            <w:textDirection w:val="lrTb"/>
            <w:noWrap/>
          </w:tcPr>
          <w:p>
            <w:pPr>
              <w:pStyle w:val="1147"/>
              <w:jc w:val="center"/>
              <w:keepLines w:val="0"/>
              <w:keepNext w:val="0"/>
              <w:widowControl/>
              <w:rPr>
                <w:rFonts w:hint="eastAsia" w:ascii="黑体" w:hAnsi="宋体" w:eastAsia="黑体" w:cs="黑体"/>
                <w:i w:val="0"/>
                <w:iCs w:val="0"/>
                <w:color w:val="000000"/>
                <w:sz w:val="24"/>
                <w:szCs w:val="24"/>
                <w:u w:val="none"/>
              </w:rPr>
              <w:framePr w:vAnchor="text" w:hAnchor="page" w:x="1786" w:y="452"/>
              <w:suppressLineNumbers w:val="0"/>
            </w:pPr>
            <w:r>
              <w:rPr>
                <w:rFonts w:hint="eastAsia" w:ascii="黑体" w:hAnsi="宋体" w:eastAsia="黑体" w:cs="黑体"/>
                <w:i w:val="0"/>
                <w:iCs w:val="0"/>
                <w:color w:val="000000"/>
                <w:sz w:val="24"/>
                <w:szCs w:val="24"/>
                <w:u w:val="none"/>
                <w:lang w:val="en-US" w:eastAsia="zh-CN" w:bidi="ar"/>
              </w:rPr>
              <w:t xml:space="preserve">清单特征描述</w:t>
            </w:r>
            <w:r>
              <w:rPr>
                <w:rFonts w:hint="eastAsia" w:ascii="黑体" w:hAnsi="宋体" w:eastAsia="黑体" w:cs="黑体"/>
                <w:i w:val="0"/>
                <w:iCs w:val="0"/>
                <w:color w:val="000000"/>
                <w:sz w:val="24"/>
                <w:szCs w:val="24"/>
                <w:u w:val="none"/>
              </w:rPr>
            </w:r>
            <w:r/>
          </w:p>
        </w:tc>
        <w:tc>
          <w:tcPr>
            <w:tcW w:w="604" w:type="dxa"/>
            <w:vAlign w:val="center"/>
            <w:vMerge w:val="restart"/>
            <w:textDirection w:val="lrTb"/>
            <w:noWrap w:val="false"/>
          </w:tcPr>
          <w:p>
            <w:pPr>
              <w:pStyle w:val="1147"/>
              <w:jc w:val="center"/>
              <w:keepLines w:val="0"/>
              <w:keepNext w:val="0"/>
              <w:widowControl/>
              <w:rPr>
                <w:rFonts w:hint="eastAsia" w:ascii="黑体" w:hAnsi="宋体" w:eastAsia="黑体" w:cs="黑体"/>
                <w:i w:val="0"/>
                <w:iCs w:val="0"/>
                <w:color w:val="000000"/>
                <w:sz w:val="24"/>
                <w:szCs w:val="24"/>
                <w:u w:val="none"/>
              </w:rPr>
              <w:framePr w:vAnchor="text" w:hAnchor="page" w:x="1786" w:y="452"/>
              <w:suppressLineNumbers w:val="0"/>
            </w:pPr>
            <w:r>
              <w:rPr>
                <w:rFonts w:hint="eastAsia" w:ascii="黑体" w:hAnsi="宋体" w:eastAsia="黑体" w:cs="黑体"/>
                <w:i w:val="0"/>
                <w:iCs w:val="0"/>
                <w:color w:val="000000"/>
                <w:sz w:val="24"/>
                <w:szCs w:val="24"/>
                <w:u w:val="none"/>
                <w:lang w:val="en-US" w:eastAsia="zh-CN" w:bidi="ar"/>
              </w:rPr>
              <w:t xml:space="preserve">单位</w:t>
            </w:r>
            <w:r>
              <w:rPr>
                <w:rFonts w:hint="eastAsia" w:ascii="黑体" w:hAnsi="宋体" w:eastAsia="黑体" w:cs="黑体"/>
                <w:i w:val="0"/>
                <w:iCs w:val="0"/>
                <w:color w:val="000000"/>
                <w:sz w:val="24"/>
                <w:szCs w:val="24"/>
                <w:u w:val="none"/>
              </w:rPr>
            </w:r>
            <w:r/>
          </w:p>
        </w:tc>
        <w:tc>
          <w:tcPr>
            <w:tcW w:w="809" w:type="dxa"/>
            <w:vAlign w:val="center"/>
            <w:vMerge w:val="restart"/>
            <w:textDirection w:val="lrTb"/>
            <w:noWrap w:val="false"/>
          </w:tcPr>
          <w:p>
            <w:pPr>
              <w:pStyle w:val="1147"/>
              <w:jc w:val="center"/>
              <w:keepLines w:val="0"/>
              <w:keepNext w:val="0"/>
              <w:widowControl/>
              <w:rPr>
                <w:rFonts w:hint="eastAsia" w:ascii="黑体" w:hAnsi="宋体" w:eastAsia="黑体" w:cs="黑体"/>
                <w:i w:val="0"/>
                <w:iCs w:val="0"/>
                <w:color w:val="000000"/>
                <w:sz w:val="24"/>
                <w:szCs w:val="24"/>
                <w:u w:val="none"/>
              </w:rPr>
              <w:framePr w:vAnchor="text" w:hAnchor="page" w:x="1786" w:y="452"/>
              <w:suppressLineNumbers w:val="0"/>
            </w:pPr>
            <w:r>
              <w:rPr>
                <w:rFonts w:hint="eastAsia" w:ascii="黑体" w:hAnsi="宋体" w:eastAsia="黑体" w:cs="黑体"/>
                <w:i w:val="0"/>
                <w:iCs w:val="0"/>
                <w:color w:val="000000"/>
                <w:sz w:val="24"/>
                <w:szCs w:val="24"/>
                <w:u w:val="none"/>
                <w:lang w:val="en-US" w:eastAsia="zh-CN" w:bidi="ar"/>
              </w:rPr>
              <w:t xml:space="preserve">工程量</w:t>
            </w:r>
            <w:r>
              <w:rPr>
                <w:rFonts w:hint="eastAsia" w:ascii="黑体" w:hAnsi="宋体" w:eastAsia="黑体" w:cs="黑体"/>
                <w:i w:val="0"/>
                <w:iCs w:val="0"/>
                <w:color w:val="000000"/>
                <w:sz w:val="24"/>
                <w:szCs w:val="24"/>
                <w:u w:val="none"/>
              </w:rPr>
            </w:r>
            <w:r/>
          </w:p>
        </w:tc>
        <w:tc>
          <w:tcPr>
            <w:tcW w:w="1150" w:type="dxa"/>
            <w:vAlign w:val="center"/>
            <w:vMerge w:val="restart"/>
            <w:textDirection w:val="lrTb"/>
            <w:noWrap w:val="false"/>
          </w:tcPr>
          <w:p>
            <w:pPr>
              <w:pStyle w:val="1147"/>
              <w:jc w:val="center"/>
              <w:keepLines w:val="0"/>
              <w:keepNext w:val="0"/>
              <w:widowControl/>
              <w:rPr>
                <w:rFonts w:hint="eastAsia" w:ascii="黑体" w:hAnsi="宋体" w:eastAsia="黑体" w:cs="黑体"/>
                <w:i w:val="0"/>
                <w:iCs w:val="0"/>
                <w:color w:val="000000"/>
                <w:sz w:val="24"/>
                <w:szCs w:val="24"/>
                <w:u w:val="none"/>
              </w:rPr>
              <w:framePr w:vAnchor="text" w:hAnchor="page" w:x="1786" w:y="452"/>
              <w:suppressLineNumbers w:val="0"/>
            </w:pPr>
            <w:r>
              <w:rPr>
                <w:rFonts w:hint="eastAsia" w:ascii="黑体" w:hAnsi="宋体" w:eastAsia="黑体" w:cs="黑体"/>
                <w:i w:val="0"/>
                <w:iCs w:val="0"/>
                <w:color w:val="000000"/>
                <w:sz w:val="24"/>
                <w:szCs w:val="24"/>
                <w:u w:val="none"/>
                <w:lang w:val="en-US" w:eastAsia="zh-CN" w:bidi="ar"/>
              </w:rPr>
              <w:t xml:space="preserve">控制单价（元）</w:t>
            </w:r>
            <w:r>
              <w:rPr>
                <w:rFonts w:hint="eastAsia" w:ascii="黑体" w:hAnsi="宋体" w:eastAsia="黑体" w:cs="黑体"/>
                <w:i w:val="0"/>
                <w:iCs w:val="0"/>
                <w:color w:val="000000"/>
                <w:sz w:val="24"/>
                <w:szCs w:val="24"/>
                <w:u w:val="none"/>
              </w:rPr>
            </w:r>
            <w:r/>
          </w:p>
        </w:tc>
      </w:tr>
      <w:tr>
        <w:trPr>
          <w:trHeight w:val="28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一)</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rPr>
                <w:rFonts w:hint="eastAsia" w:ascii="宋体" w:hAnsi="宋体" w:eastAsia="宋体" w:cs="宋体"/>
                <w:i w:val="0"/>
                <w:iCs w:val="0"/>
                <w:color w:val="000000"/>
                <w:sz w:val="24"/>
                <w:szCs w:val="24"/>
                <w:u w:val="none"/>
              </w:rPr>
              <w:framePr w:vAnchor="text" w:hAnchor="page" w:x="1786" w:y="452"/>
            </w:pP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道路维修、硬化工程 </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rPr>
                <w:rFonts w:hint="eastAsia" w:ascii="宋体" w:hAnsi="宋体" w:eastAsia="宋体" w:cs="宋体"/>
                <w:i w:val="0"/>
                <w:iCs w:val="0"/>
                <w:color w:val="000000"/>
                <w:sz w:val="24"/>
                <w:szCs w:val="24"/>
                <w:u w:val="none"/>
              </w:rPr>
              <w:framePr w:vAnchor="text" w:hAnchor="page" w:x="1786" w:y="452"/>
            </w:pP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rPr>
                <w:rFonts w:hint="eastAsia" w:ascii="宋体" w:hAnsi="宋体" w:eastAsia="宋体" w:cs="宋体"/>
                <w:i w:val="0"/>
                <w:iCs w:val="0"/>
                <w:color w:val="000000"/>
                <w:sz w:val="24"/>
                <w:szCs w:val="24"/>
                <w:u w:val="none"/>
              </w:rPr>
              <w:framePr w:vAnchor="text" w:hAnchor="page" w:x="1786" w:y="452"/>
            </w:pP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rPr>
                <w:rFonts w:hint="eastAsia" w:ascii="宋体" w:hAnsi="宋体" w:eastAsia="宋体" w:cs="宋体"/>
                <w:i w:val="0"/>
                <w:iCs w:val="0"/>
                <w:color w:val="000000"/>
                <w:sz w:val="24"/>
                <w:szCs w:val="24"/>
                <w:u w:val="none"/>
              </w:rPr>
              <w:framePr w:vAnchor="text" w:hAnchor="page" w:x="1786" w:y="452"/>
            </w:pPr>
            <w:r>
              <w:rPr>
                <w:rFonts w:hint="eastAsia" w:ascii="宋体" w:hAnsi="宋体" w:eastAsia="宋体" w:cs="宋体"/>
                <w:i w:val="0"/>
                <w:iCs w:val="0"/>
                <w:color w:val="000000"/>
                <w:sz w:val="24"/>
                <w:szCs w:val="24"/>
                <w:u w:val="none"/>
              </w:rPr>
            </w:r>
            <w:r/>
          </w:p>
        </w:tc>
      </w:tr>
      <w:tr>
        <w:trPr>
          <w:trHeight w:val="144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041001001001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拆除路面 道路维修破除原砼面层及基层（含砼路面切割），拆除物（砼、碎石、垃圾、杂土等）挖除、装车外运、弃置场及运距等自行考虑，工程量按拆除体积计算，具体拆除工程量以甲方现场签证为准【建筑垃圾外运措施必须满足城管及相关部分的要求，费用考虑在投标报价中】</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m3</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132.65</w:t>
            </w:r>
            <w:r>
              <w:rPr>
                <w:rFonts w:hint="eastAsia" w:ascii="宋体" w:hAnsi="宋体" w:eastAsia="宋体" w:cs="宋体"/>
                <w:i w:val="0"/>
                <w:iCs w:val="0"/>
                <w:color w:val="000000"/>
                <w:sz w:val="24"/>
                <w:szCs w:val="24"/>
                <w:u w:val="none"/>
              </w:rPr>
            </w:r>
            <w:r/>
          </w:p>
        </w:tc>
      </w:tr>
      <w:tr>
        <w:trPr>
          <w:trHeight w:val="120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041001002001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拆除人行道 道路维修拆除原部分人行道板砖、花岗岩道板、植草砖面层及结合层，垃圾装车外运，弃置点及相关费用自行考虑，具体拆除工程量以甲方现场签证为准【建筑垃圾外运措施必须满足城管及相关部分的要求，费用考虑在投标报价中】</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7.38</w:t>
            </w:r>
            <w:r>
              <w:rPr>
                <w:rFonts w:hint="eastAsia" w:ascii="宋体" w:hAnsi="宋体" w:eastAsia="宋体" w:cs="宋体"/>
                <w:i w:val="0"/>
                <w:iCs w:val="0"/>
                <w:color w:val="000000"/>
                <w:sz w:val="24"/>
                <w:szCs w:val="24"/>
                <w:u w:val="none"/>
              </w:rPr>
            </w:r>
            <w:r/>
          </w:p>
        </w:tc>
      </w:tr>
      <w:tr>
        <w:trPr>
          <w:trHeight w:val="144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041001005001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拆除侧、平（缘）石 道路维修拆除原道路侧、平石拆除（侧平石材质综合考虑），垃圾清理外运，弃置点及相关费用自行考虑，按拆除侧、平石总长计算具体，拆除工程量以甲方现场签证为准【建筑垃圾外运措施必须满足城管及相关部分的要求，费用考虑在投标报价中】</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4.84</w:t>
            </w:r>
            <w:r>
              <w:rPr>
                <w:rFonts w:hint="eastAsia" w:ascii="宋体" w:hAnsi="宋体" w:eastAsia="宋体" w:cs="宋体"/>
                <w:i w:val="0"/>
                <w:iCs w:val="0"/>
                <w:color w:val="000000"/>
                <w:sz w:val="24"/>
                <w:szCs w:val="24"/>
                <w:u w:val="none"/>
              </w:rPr>
            </w:r>
            <w:r/>
          </w:p>
        </w:tc>
      </w:tr>
      <w:tr>
        <w:trPr>
          <w:trHeight w:val="48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040204001001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人行道整形碾压 路床(槽)整形 路床碾压检验，计算规则同2014市政定额</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2.27</w:t>
            </w:r>
            <w:r>
              <w:rPr>
                <w:rFonts w:hint="eastAsia" w:ascii="宋体" w:hAnsi="宋体" w:eastAsia="宋体" w:cs="宋体"/>
                <w:i w:val="0"/>
                <w:iCs w:val="0"/>
                <w:color w:val="000000"/>
                <w:sz w:val="24"/>
                <w:szCs w:val="24"/>
                <w:u w:val="none"/>
              </w:rPr>
            </w:r>
            <w:r/>
          </w:p>
        </w:tc>
      </w:tr>
      <w:tr>
        <w:trPr>
          <w:trHeight w:val="48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040202011001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碎石 5cm厚碎石垫层，人机配合摊铺、整平，计算规则同2014市政定额</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28.26</w:t>
            </w:r>
            <w:r>
              <w:rPr>
                <w:rFonts w:hint="eastAsia" w:ascii="宋体" w:hAnsi="宋体" w:eastAsia="宋体" w:cs="宋体"/>
                <w:i w:val="0"/>
                <w:iCs w:val="0"/>
                <w:color w:val="000000"/>
                <w:sz w:val="24"/>
                <w:szCs w:val="24"/>
                <w:u w:val="none"/>
              </w:rPr>
            </w:r>
            <w:r/>
          </w:p>
        </w:tc>
      </w:tr>
      <w:tr>
        <w:trPr>
          <w:trHeight w:val="48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040202011002</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碎石 10cm厚碎石垫层，人机配合摊铺、整平，计算规则同2014市政定额</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28.26</w:t>
            </w:r>
            <w:r>
              <w:rPr>
                <w:rFonts w:hint="eastAsia" w:ascii="宋体" w:hAnsi="宋体" w:eastAsia="宋体" w:cs="宋体"/>
                <w:i w:val="0"/>
                <w:iCs w:val="0"/>
                <w:color w:val="000000"/>
                <w:sz w:val="24"/>
                <w:szCs w:val="24"/>
                <w:u w:val="none"/>
              </w:rPr>
            </w:r>
            <w:r/>
          </w:p>
        </w:tc>
      </w:tr>
      <w:tr>
        <w:trPr>
          <w:trHeight w:val="7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040203007001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水泥混凝土 20cm厚C30商品非泵送砼道路面层，工作内容：含模板制作、安装，路面割缝、刻痕、养护等所有工序，按铺设混凝土体积计算</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m3</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742.48</w:t>
            </w:r>
            <w:r>
              <w:rPr>
                <w:rFonts w:hint="eastAsia" w:ascii="宋体" w:hAnsi="宋体" w:eastAsia="宋体" w:cs="宋体"/>
                <w:i w:val="0"/>
                <w:iCs w:val="0"/>
                <w:color w:val="000000"/>
                <w:sz w:val="24"/>
                <w:szCs w:val="24"/>
                <w:u w:val="none"/>
              </w:rPr>
            </w:r>
            <w:r/>
          </w:p>
        </w:tc>
      </w:tr>
      <w:tr>
        <w:trPr>
          <w:trHeight w:val="7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040203007002</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水泥混凝土 20cm厚C25商品非泵送砼道路基层，工作内容：浇筑、养护等完成所有工作，按铺设混凝土体积计算</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m3</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638.55</w:t>
            </w:r>
            <w:r>
              <w:rPr>
                <w:rFonts w:hint="eastAsia" w:ascii="宋体" w:hAnsi="宋体" w:eastAsia="宋体" w:cs="宋体"/>
                <w:i w:val="0"/>
                <w:iCs w:val="0"/>
                <w:color w:val="000000"/>
                <w:sz w:val="24"/>
                <w:szCs w:val="24"/>
                <w:u w:val="none"/>
              </w:rPr>
            </w:r>
            <w:r/>
          </w:p>
        </w:tc>
      </w:tr>
      <w:tr>
        <w:trPr>
          <w:trHeight w:val="7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040204002001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人行道块料铺设 60厚舒布洛克砖面层（含盲道板），30厚干硬性水泥砂浆结合层,,计算规则同2014市政工程计价定额</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113.87</w:t>
            </w:r>
            <w:r>
              <w:rPr>
                <w:rFonts w:hint="eastAsia" w:ascii="宋体" w:hAnsi="宋体" w:eastAsia="宋体" w:cs="宋体"/>
                <w:i w:val="0"/>
                <w:iCs w:val="0"/>
                <w:color w:val="000000"/>
                <w:sz w:val="24"/>
                <w:szCs w:val="24"/>
                <w:u w:val="none"/>
              </w:rPr>
            </w:r>
            <w:r/>
          </w:p>
        </w:tc>
      </w:tr>
      <w:tr>
        <w:trPr>
          <w:trHeight w:val="7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040204002002</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人行道块料铺设 60厚人行道板砖面层（含盲道板），30厚干硬性水泥砂浆结合层,,计算规则同2014市政工程计价定额</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131.29</w:t>
            </w:r>
            <w:r>
              <w:rPr>
                <w:rFonts w:hint="eastAsia" w:ascii="宋体" w:hAnsi="宋体" w:eastAsia="宋体" w:cs="宋体"/>
                <w:i w:val="0"/>
                <w:iCs w:val="0"/>
                <w:color w:val="000000"/>
                <w:sz w:val="24"/>
                <w:szCs w:val="24"/>
                <w:u w:val="none"/>
              </w:rPr>
            </w:r>
            <w:r/>
          </w:p>
        </w:tc>
      </w:tr>
      <w:tr>
        <w:trPr>
          <w:trHeight w:val="48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040204002003</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人行道块料铺设 60厚植草砖面层，30厚干硬性水泥砂浆结合层,,计算规则同2014市政工程计价定额</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104.11</w:t>
            </w:r>
            <w:r>
              <w:rPr>
                <w:rFonts w:hint="eastAsia" w:ascii="宋体" w:hAnsi="宋体" w:eastAsia="宋体" w:cs="宋体"/>
                <w:i w:val="0"/>
                <w:iCs w:val="0"/>
                <w:color w:val="000000"/>
                <w:sz w:val="24"/>
                <w:szCs w:val="24"/>
                <w:u w:val="none"/>
              </w:rPr>
            </w:r>
            <w:r/>
          </w:p>
        </w:tc>
      </w:tr>
      <w:tr>
        <w:trPr>
          <w:trHeight w:val="7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040204002004</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人行道块料铺设 30厚花岗岩石材面层（具体颜色及品种同现场原石材），30厚干硬性水泥砂浆结合层,,计算规则同2014市政工程计价定额</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201.93</w:t>
            </w:r>
            <w:r>
              <w:rPr>
                <w:rFonts w:hint="eastAsia" w:ascii="宋体" w:hAnsi="宋体" w:eastAsia="宋体" w:cs="宋体"/>
                <w:i w:val="0"/>
                <w:iCs w:val="0"/>
                <w:color w:val="000000"/>
                <w:sz w:val="24"/>
                <w:szCs w:val="24"/>
                <w:u w:val="none"/>
              </w:rPr>
            </w:r>
            <w:r/>
          </w:p>
        </w:tc>
      </w:tr>
      <w:tr>
        <w:trPr>
          <w:trHeight w:val="7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040204004001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安砌侧（平、缘）石 C15砼基础、C30预制混凝土平石，具体规格同现场原平石，计算规则同2014市政工程计价定额</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65.53</w:t>
            </w:r>
            <w:r>
              <w:rPr>
                <w:rFonts w:hint="eastAsia" w:ascii="宋体" w:hAnsi="宋体" w:eastAsia="宋体" w:cs="宋体"/>
                <w:i w:val="0"/>
                <w:iCs w:val="0"/>
                <w:color w:val="000000"/>
                <w:sz w:val="24"/>
                <w:szCs w:val="24"/>
                <w:u w:val="none"/>
              </w:rPr>
            </w:r>
            <w:r/>
          </w:p>
        </w:tc>
      </w:tr>
      <w:tr>
        <w:trPr>
          <w:trHeight w:val="7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040204004002</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安砌侧（平、缘）石 C15砼基础、C30预制混凝土侧石（抛高150）,具体规格同现场原侧石，计算规则同2014市政工程计价定额</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106.27</w:t>
            </w:r>
            <w:r>
              <w:rPr>
                <w:rFonts w:hint="eastAsia" w:ascii="宋体" w:hAnsi="宋体" w:eastAsia="宋体" w:cs="宋体"/>
                <w:i w:val="0"/>
                <w:iCs w:val="0"/>
                <w:color w:val="000000"/>
                <w:sz w:val="24"/>
                <w:szCs w:val="24"/>
                <w:u w:val="none"/>
              </w:rPr>
            </w:r>
            <w:r/>
          </w:p>
        </w:tc>
      </w:tr>
      <w:tr>
        <w:trPr>
          <w:trHeight w:val="7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040204004003</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安砌侧（平、缘）石 C15砼基础、C30仿花岗岩混凝土平石，具体规格及式样同现场原平石，计算规则同2014市政工程计价定额</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77.00</w:t>
            </w:r>
            <w:r>
              <w:rPr>
                <w:rFonts w:hint="eastAsia" w:ascii="宋体" w:hAnsi="宋体" w:eastAsia="宋体" w:cs="宋体"/>
                <w:i w:val="0"/>
                <w:iCs w:val="0"/>
                <w:color w:val="000000"/>
                <w:sz w:val="24"/>
                <w:szCs w:val="24"/>
                <w:u w:val="none"/>
              </w:rPr>
            </w:r>
            <w:r/>
          </w:p>
        </w:tc>
      </w:tr>
      <w:tr>
        <w:trPr>
          <w:trHeight w:val="7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040204004004</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安砌侧（平、缘）石 C15砼基础、C30仿花岗岩混凝土侧石（抛高150），具体规格及式样同现场原侧石,计算规则同2014市政工程计价定额</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121.50</w:t>
            </w:r>
            <w:r>
              <w:rPr>
                <w:rFonts w:hint="eastAsia" w:ascii="宋体" w:hAnsi="宋体" w:eastAsia="宋体" w:cs="宋体"/>
                <w:i w:val="0"/>
                <w:iCs w:val="0"/>
                <w:color w:val="000000"/>
                <w:sz w:val="24"/>
                <w:szCs w:val="24"/>
                <w:u w:val="none"/>
              </w:rPr>
            </w:r>
            <w:r/>
          </w:p>
        </w:tc>
      </w:tr>
      <w:tr>
        <w:trPr>
          <w:trHeight w:val="7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040204004005</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安砌侧（平、缘）石 C15砼基础、花岗岩平石，具体花岗岩品种详见现场原侧石，计算规则同2014市政工程计价定额</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110.16</w:t>
            </w:r>
            <w:r>
              <w:rPr>
                <w:rFonts w:hint="eastAsia" w:ascii="宋体" w:hAnsi="宋体" w:eastAsia="宋体" w:cs="宋体"/>
                <w:i w:val="0"/>
                <w:iCs w:val="0"/>
                <w:color w:val="000000"/>
                <w:sz w:val="24"/>
                <w:szCs w:val="24"/>
                <w:u w:val="none"/>
              </w:rPr>
            </w:r>
            <w:r/>
          </w:p>
        </w:tc>
      </w:tr>
      <w:tr>
        <w:trPr>
          <w:trHeight w:val="7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040204004006</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安砌侧（平、缘）石 C15砼基础、花岗岩侧石（抛高150），具体花岗岩品种详见现场原侧石,计算规则同2014市政工程计价定额</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135.82</w:t>
            </w:r>
            <w:r>
              <w:rPr>
                <w:rFonts w:hint="eastAsia" w:ascii="宋体" w:hAnsi="宋体" w:eastAsia="宋体" w:cs="宋体"/>
                <w:i w:val="0"/>
                <w:iCs w:val="0"/>
                <w:color w:val="000000"/>
                <w:sz w:val="24"/>
                <w:szCs w:val="24"/>
                <w:u w:val="none"/>
              </w:rPr>
            </w:r>
            <w:r/>
          </w:p>
        </w:tc>
      </w:tr>
      <w:tr>
        <w:trPr>
          <w:trHeight w:val="96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04B001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补充清单项目 拆除部分损坏的钢纤维井座、井盖，拆除工程量以甲方现场签证为准【建筑垃圾外运措施必须满足城管及相关部分的要求，费用考虑在投标报价中】</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座</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58.13</w:t>
            </w:r>
            <w:r>
              <w:rPr>
                <w:rFonts w:hint="eastAsia" w:ascii="宋体" w:hAnsi="宋体" w:eastAsia="宋体" w:cs="宋体"/>
                <w:i w:val="0"/>
                <w:iCs w:val="0"/>
                <w:color w:val="000000"/>
                <w:sz w:val="24"/>
                <w:szCs w:val="24"/>
                <w:u w:val="none"/>
              </w:rPr>
            </w:r>
            <w:r/>
          </w:p>
        </w:tc>
      </w:tr>
      <w:tr>
        <w:trPr>
          <w:trHeight w:val="28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04B002</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补充清单项目 更换φ700mmC250钢纤维砼框盖</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座</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394.28</w:t>
            </w:r>
            <w:r>
              <w:rPr>
                <w:rFonts w:hint="eastAsia" w:ascii="宋体" w:hAnsi="宋体" w:eastAsia="宋体" w:cs="宋体"/>
                <w:i w:val="0"/>
                <w:iCs w:val="0"/>
                <w:color w:val="000000"/>
                <w:sz w:val="24"/>
                <w:szCs w:val="24"/>
                <w:u w:val="none"/>
              </w:rPr>
            </w:r>
            <w:r/>
          </w:p>
        </w:tc>
      </w:tr>
      <w:tr>
        <w:trPr>
          <w:trHeight w:val="48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01B001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施工围栏 临时绿幕彩钢板围挡搭、拆，高度满足规范要求，具体搭设工程量以甲方现场签证为准</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31.07</w:t>
            </w:r>
            <w:r>
              <w:rPr>
                <w:rFonts w:hint="eastAsia" w:ascii="宋体" w:hAnsi="宋体" w:eastAsia="宋体" w:cs="宋体"/>
                <w:i w:val="0"/>
                <w:iCs w:val="0"/>
                <w:color w:val="000000"/>
                <w:sz w:val="24"/>
                <w:szCs w:val="24"/>
                <w:u w:val="none"/>
              </w:rPr>
            </w:r>
            <w:r/>
          </w:p>
        </w:tc>
      </w:tr>
      <w:tr>
        <w:trPr>
          <w:trHeight w:val="28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二)</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rPr>
                <w:rFonts w:hint="eastAsia" w:ascii="宋体" w:hAnsi="宋体" w:eastAsia="宋体" w:cs="宋体"/>
                <w:i w:val="0"/>
                <w:iCs w:val="0"/>
                <w:color w:val="000000"/>
                <w:sz w:val="24"/>
                <w:szCs w:val="24"/>
                <w:u w:val="none"/>
              </w:rPr>
              <w:framePr w:vAnchor="text" w:hAnchor="page" w:x="1786" w:y="452"/>
            </w:pP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排水维修改造工程 </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rPr>
                <w:rFonts w:hint="eastAsia" w:ascii="宋体" w:hAnsi="宋体" w:eastAsia="宋体" w:cs="宋体"/>
                <w:i w:val="0"/>
                <w:iCs w:val="0"/>
                <w:color w:val="000000"/>
                <w:sz w:val="24"/>
                <w:szCs w:val="24"/>
                <w:u w:val="none"/>
              </w:rPr>
              <w:framePr w:vAnchor="text" w:hAnchor="page" w:x="1786" w:y="452"/>
            </w:pP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rPr>
                <w:rFonts w:hint="eastAsia" w:ascii="宋体" w:hAnsi="宋体" w:eastAsia="宋体" w:cs="宋体"/>
                <w:i w:val="0"/>
                <w:iCs w:val="0"/>
                <w:color w:val="000000"/>
                <w:sz w:val="24"/>
                <w:szCs w:val="24"/>
                <w:u w:val="none"/>
              </w:rPr>
              <w:framePr w:vAnchor="text" w:hAnchor="page" w:x="1786" w:y="452"/>
            </w:pP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rPr>
                <w:rFonts w:hint="eastAsia" w:ascii="宋体" w:hAnsi="宋体" w:eastAsia="宋体" w:cs="宋体"/>
                <w:i w:val="0"/>
                <w:iCs w:val="0"/>
                <w:color w:val="000000"/>
                <w:sz w:val="24"/>
                <w:szCs w:val="24"/>
                <w:u w:val="none"/>
              </w:rPr>
              <w:framePr w:vAnchor="text" w:hAnchor="page" w:x="1786" w:y="452"/>
            </w:pPr>
            <w:r>
              <w:rPr>
                <w:rFonts w:hint="eastAsia" w:ascii="宋体" w:hAnsi="宋体" w:eastAsia="宋体" w:cs="宋体"/>
                <w:i w:val="0"/>
                <w:iCs w:val="0"/>
                <w:color w:val="000000"/>
                <w:sz w:val="24"/>
                <w:szCs w:val="24"/>
                <w:u w:val="none"/>
              </w:rPr>
            </w:r>
            <w:r/>
          </w:p>
        </w:tc>
      </w:tr>
      <w:tr>
        <w:trPr>
          <w:trHeight w:val="48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040101002001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挖沟槽土方 人工开挖沟槽土方，不装车，土方堆于基槽外，计算规则同2014市政计价定额</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m3</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75.47</w:t>
            </w:r>
            <w:r>
              <w:rPr>
                <w:rFonts w:hint="eastAsia" w:ascii="宋体" w:hAnsi="宋体" w:eastAsia="宋体" w:cs="宋体"/>
                <w:i w:val="0"/>
                <w:iCs w:val="0"/>
                <w:color w:val="000000"/>
                <w:sz w:val="24"/>
                <w:szCs w:val="24"/>
                <w:u w:val="none"/>
              </w:rPr>
            </w:r>
            <w:r/>
          </w:p>
        </w:tc>
      </w:tr>
      <w:tr>
        <w:trPr>
          <w:trHeight w:val="48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040103001001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回填方 沟槽素土回填土、压实，计算规则同2014市政计价定额</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m3</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20.48</w:t>
            </w:r>
            <w:r>
              <w:rPr>
                <w:rFonts w:hint="eastAsia" w:ascii="宋体" w:hAnsi="宋体" w:eastAsia="宋体" w:cs="宋体"/>
                <w:i w:val="0"/>
                <w:iCs w:val="0"/>
                <w:color w:val="000000"/>
                <w:sz w:val="24"/>
                <w:szCs w:val="24"/>
                <w:u w:val="none"/>
              </w:rPr>
            </w:r>
            <w:r/>
          </w:p>
        </w:tc>
      </w:tr>
      <w:tr>
        <w:trPr>
          <w:trHeight w:val="96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040504009001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雨水口 道路雨水口,甲型单篦雨水口(净尺寸0.45*0.68m),钢纤维水篦子井座盖(450*750,B125),参见苏S01-2021/287,井深1.0m,计算规则同2014市政工程计价定额定额</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座</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809.58</w:t>
            </w:r>
            <w:r>
              <w:rPr>
                <w:rFonts w:hint="eastAsia" w:ascii="宋体" w:hAnsi="宋体" w:eastAsia="宋体" w:cs="宋体"/>
                <w:i w:val="0"/>
                <w:iCs w:val="0"/>
                <w:color w:val="000000"/>
                <w:sz w:val="24"/>
                <w:szCs w:val="24"/>
                <w:u w:val="none"/>
              </w:rPr>
            </w:r>
            <w:r/>
          </w:p>
        </w:tc>
      </w:tr>
      <w:tr>
        <w:trPr>
          <w:trHeight w:val="48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04B001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补充清单项目 管道砂包封,砂回填至管道顶部,计算规则同2014市政工程计价定额</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m3</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359.29</w:t>
            </w:r>
            <w:r>
              <w:rPr>
                <w:rFonts w:hint="eastAsia" w:ascii="宋体" w:hAnsi="宋体" w:eastAsia="宋体" w:cs="宋体"/>
                <w:i w:val="0"/>
                <w:iCs w:val="0"/>
                <w:color w:val="000000"/>
                <w:sz w:val="24"/>
                <w:szCs w:val="24"/>
                <w:u w:val="none"/>
              </w:rPr>
            </w:r>
            <w:r/>
          </w:p>
        </w:tc>
      </w:tr>
      <w:tr>
        <w:trPr>
          <w:trHeight w:val="96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040501004001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塑料管 DN225 HDPE双壁波纹管,环刚度≥8000N/m2，承插式橡胶圈连接、检查及清扫管材、安装管道、上胶圈、调直，工程量计算规则同2014计价表</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79.04</w:t>
            </w:r>
            <w:r>
              <w:rPr>
                <w:rFonts w:hint="eastAsia" w:ascii="宋体" w:hAnsi="宋体" w:eastAsia="宋体" w:cs="宋体"/>
                <w:i w:val="0"/>
                <w:iCs w:val="0"/>
                <w:color w:val="000000"/>
                <w:sz w:val="24"/>
                <w:szCs w:val="24"/>
                <w:u w:val="none"/>
              </w:rPr>
            </w:r>
            <w:r/>
          </w:p>
        </w:tc>
      </w:tr>
      <w:tr>
        <w:trPr>
          <w:trHeight w:val="96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040501004002</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塑料管 DN400 HDPE双壁波纹管,环刚度≥8000N/m2，承插式橡胶圈连接、检查及清扫管材、安装管道、上胶圈、调直，工程量计算规则同2014计价表</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204.51</w:t>
            </w:r>
            <w:r>
              <w:rPr>
                <w:rFonts w:hint="eastAsia" w:ascii="宋体" w:hAnsi="宋体" w:eastAsia="宋体" w:cs="宋体"/>
                <w:i w:val="0"/>
                <w:iCs w:val="0"/>
                <w:color w:val="000000"/>
                <w:sz w:val="24"/>
                <w:szCs w:val="24"/>
                <w:u w:val="none"/>
              </w:rPr>
            </w:r>
            <w:r/>
          </w:p>
        </w:tc>
      </w:tr>
      <w:tr>
        <w:trPr>
          <w:trHeight w:val="48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04B003</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补充清单项目 DN400及以下管道气囊临时封堵，按封堵洞口数量计算</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处</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1743.71</w:t>
            </w:r>
            <w:r>
              <w:rPr>
                <w:rFonts w:hint="eastAsia" w:ascii="宋体" w:hAnsi="宋体" w:eastAsia="宋体" w:cs="宋体"/>
                <w:i w:val="0"/>
                <w:iCs w:val="0"/>
                <w:color w:val="000000"/>
                <w:sz w:val="24"/>
                <w:szCs w:val="24"/>
                <w:u w:val="none"/>
              </w:rPr>
            </w:r>
            <w:r/>
          </w:p>
        </w:tc>
      </w:tr>
      <w:tr>
        <w:trPr>
          <w:trHeight w:val="19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04B004</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点状原位固化修复 1.启闭井盖、强制通风、有毒气体检测、原管道疏通及清洗 2.摊铺垫布、配料搅拌、玻璃纤维布涂刷树脂并缠绕在修复气囊上、CCTV定位、气囊置于修复点、充气、固化、拆除气囊 3.CCTV检测修复效果、清理现场、编辑修复前、后对比资料 4.所有垃圾外运，运距及弃置点施工单位自行考虑 5.点位长度综合考虑【做法满足规范、设计及甲方等有关部分的验收要求】</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处</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906.73</w:t>
            </w:r>
            <w:r>
              <w:rPr>
                <w:rFonts w:hint="eastAsia" w:ascii="宋体" w:hAnsi="宋体" w:eastAsia="宋体" w:cs="宋体"/>
                <w:i w:val="0"/>
                <w:iCs w:val="0"/>
                <w:color w:val="000000"/>
                <w:sz w:val="24"/>
                <w:szCs w:val="24"/>
                <w:u w:val="none"/>
              </w:rPr>
            </w:r>
            <w:r/>
          </w:p>
        </w:tc>
      </w:tr>
      <w:tr>
        <w:trPr>
          <w:trHeight w:val="7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041001009001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拆除井 拆除砖砌井,垃圾清理外运，拆除工程量以甲方现场签证为准【建筑垃圾外运措施必须满足城管及相关部分的要求，费用考虑在投标报价中】</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座</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506.82</w:t>
            </w:r>
            <w:r>
              <w:rPr>
                <w:rFonts w:hint="eastAsia" w:ascii="宋体" w:hAnsi="宋体" w:eastAsia="宋体" w:cs="宋体"/>
                <w:i w:val="0"/>
                <w:iCs w:val="0"/>
                <w:color w:val="000000"/>
                <w:sz w:val="24"/>
                <w:szCs w:val="24"/>
                <w:u w:val="none"/>
              </w:rPr>
            </w:r>
            <w:r/>
          </w:p>
        </w:tc>
      </w:tr>
      <w:tr>
        <w:trPr>
          <w:trHeight w:val="7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040504001001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砌筑井 M7.5水泥浆MU10砖砌φ700收口式雨水检查井,φ700 C250钢纤维砼框盖,参见06MS201-3-9,井深2.0m,窨井防坠落网</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座</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2259.35</w:t>
            </w:r>
            <w:r>
              <w:rPr>
                <w:rFonts w:hint="eastAsia" w:ascii="宋体" w:hAnsi="宋体" w:eastAsia="宋体" w:cs="宋体"/>
                <w:i w:val="0"/>
                <w:iCs w:val="0"/>
                <w:color w:val="000000"/>
                <w:sz w:val="24"/>
                <w:szCs w:val="24"/>
                <w:u w:val="none"/>
              </w:rPr>
            </w:r>
            <w:r/>
          </w:p>
        </w:tc>
      </w:tr>
      <w:tr>
        <w:trPr>
          <w:trHeight w:val="7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040504001002</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砌筑井 M7.5水泥浆MU10砖砌φ700收口式污水检查井,φ700 C250钢纤维砼框盖,参见06MS201-3-18,井深2.0m,窨井防坠落网</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座</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2637.21</w:t>
            </w:r>
            <w:r>
              <w:rPr>
                <w:rFonts w:hint="eastAsia" w:ascii="宋体" w:hAnsi="宋体" w:eastAsia="宋体" w:cs="宋体"/>
                <w:i w:val="0"/>
                <w:iCs w:val="0"/>
                <w:color w:val="000000"/>
                <w:sz w:val="24"/>
                <w:szCs w:val="24"/>
                <w:u w:val="none"/>
              </w:rPr>
            </w:r>
            <w:r/>
          </w:p>
        </w:tc>
      </w:tr>
      <w:tr>
        <w:trPr>
          <w:trHeight w:val="7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040504001003</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砌筑井 M7.5水泥浆MU10砖砌φ1000收口式雨水检查井,φ700 C250钢纤维砼框盖,参见06MS201-3-10,井深2.0m,窨井防坠落网</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座</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2927.15</w:t>
            </w:r>
            <w:r>
              <w:rPr>
                <w:rFonts w:hint="eastAsia" w:ascii="宋体" w:hAnsi="宋体" w:eastAsia="宋体" w:cs="宋体"/>
                <w:i w:val="0"/>
                <w:iCs w:val="0"/>
                <w:color w:val="000000"/>
                <w:sz w:val="24"/>
                <w:szCs w:val="24"/>
                <w:u w:val="none"/>
              </w:rPr>
            </w:r>
            <w:r/>
          </w:p>
        </w:tc>
      </w:tr>
      <w:tr>
        <w:trPr>
          <w:trHeight w:val="7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040504001004</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砌筑井 M7.5水泥浆MU10砖砌φ1000收口式污水检查井,φ700 C250钢纤维砼框盖,参见06MS201-3-19,井深2.0m,窨井防坠落网</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座</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3824.64</w:t>
            </w:r>
            <w:r>
              <w:rPr>
                <w:rFonts w:hint="eastAsia" w:ascii="宋体" w:hAnsi="宋体" w:eastAsia="宋体" w:cs="宋体"/>
                <w:i w:val="0"/>
                <w:iCs w:val="0"/>
                <w:color w:val="000000"/>
                <w:sz w:val="24"/>
                <w:szCs w:val="24"/>
                <w:u w:val="none"/>
              </w:rPr>
            </w:r>
            <w:r/>
          </w:p>
        </w:tc>
      </w:tr>
      <w:tr>
        <w:trPr>
          <w:trHeight w:val="28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040504001005</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砌筑井 砌筑井筒每增减0.1米。</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座</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94.52</w:t>
            </w:r>
            <w:r>
              <w:rPr>
                <w:rFonts w:hint="eastAsia" w:ascii="宋体" w:hAnsi="宋体" w:eastAsia="宋体" w:cs="宋体"/>
                <w:i w:val="0"/>
                <w:iCs w:val="0"/>
                <w:color w:val="000000"/>
                <w:sz w:val="24"/>
                <w:szCs w:val="24"/>
                <w:u w:val="none"/>
              </w:rPr>
            </w:r>
            <w:r/>
          </w:p>
        </w:tc>
      </w:tr>
      <w:tr>
        <w:trPr>
          <w:trHeight w:val="28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三)</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rPr>
                <w:rFonts w:hint="eastAsia" w:ascii="宋体" w:hAnsi="宋体" w:eastAsia="宋体" w:cs="宋体"/>
                <w:i w:val="0"/>
                <w:iCs w:val="0"/>
                <w:color w:val="000000"/>
                <w:sz w:val="24"/>
                <w:szCs w:val="24"/>
                <w:u w:val="none"/>
              </w:rPr>
              <w:framePr w:vAnchor="text" w:hAnchor="page" w:x="1786" w:y="452"/>
            </w:pP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道路交通安全隐患改造 </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rPr>
                <w:rFonts w:hint="eastAsia" w:ascii="宋体" w:hAnsi="宋体" w:eastAsia="宋体" w:cs="宋体"/>
                <w:i w:val="0"/>
                <w:iCs w:val="0"/>
                <w:color w:val="000000"/>
                <w:sz w:val="24"/>
                <w:szCs w:val="24"/>
                <w:u w:val="none"/>
              </w:rPr>
              <w:framePr w:vAnchor="text" w:hAnchor="page" w:x="1786" w:y="452"/>
            </w:pP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rPr>
                <w:rFonts w:hint="eastAsia" w:ascii="宋体" w:hAnsi="宋体" w:eastAsia="宋体" w:cs="宋体"/>
                <w:i w:val="0"/>
                <w:iCs w:val="0"/>
                <w:color w:val="000000"/>
                <w:sz w:val="24"/>
                <w:szCs w:val="24"/>
                <w:u w:val="none"/>
              </w:rPr>
              <w:framePr w:vAnchor="text" w:hAnchor="page" w:x="1786" w:y="452"/>
            </w:pP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rPr>
                <w:rFonts w:hint="eastAsia" w:ascii="宋体" w:hAnsi="宋体" w:eastAsia="宋体" w:cs="宋体"/>
                <w:i w:val="0"/>
                <w:iCs w:val="0"/>
                <w:color w:val="000000"/>
                <w:sz w:val="24"/>
                <w:szCs w:val="24"/>
                <w:u w:val="none"/>
              </w:rPr>
              <w:framePr w:vAnchor="text" w:hAnchor="page" w:x="1786" w:y="452"/>
            </w:pPr>
            <w:r>
              <w:rPr>
                <w:rFonts w:hint="eastAsia" w:ascii="宋体" w:hAnsi="宋体" w:eastAsia="宋体" w:cs="宋体"/>
                <w:i w:val="0"/>
                <w:iCs w:val="0"/>
                <w:color w:val="000000"/>
                <w:sz w:val="24"/>
                <w:szCs w:val="24"/>
                <w:u w:val="none"/>
              </w:rPr>
            </w:r>
            <w:r/>
          </w:p>
        </w:tc>
      </w:tr>
      <w:tr>
        <w:trPr>
          <w:trHeight w:val="48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040205012001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隔离护栏 镀锌波形护栏,H=80cm，含砼基础、护栏制作、安装等全部工序</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133.68</w:t>
            </w:r>
            <w:r>
              <w:rPr>
                <w:rFonts w:hint="eastAsia" w:ascii="宋体" w:hAnsi="宋体" w:eastAsia="宋体" w:cs="宋体"/>
                <w:i w:val="0"/>
                <w:iCs w:val="0"/>
                <w:color w:val="000000"/>
                <w:sz w:val="24"/>
                <w:szCs w:val="24"/>
                <w:u w:val="none"/>
              </w:rPr>
            </w:r>
            <w:r/>
          </w:p>
        </w:tc>
      </w:tr>
      <w:tr>
        <w:trPr>
          <w:trHeight w:val="120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37</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04B005</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反光镜 直径800mm,单立柱φ76*4.5*3000mm 立杆及基础：工作内容：基坑土方开挖、回填、钢筋砼基础（含钢筋、模板），预埋件及配件制作安装，所有钢构件经除锈处理之后采用热浸镀锌后再涂塑防腐处理，涂塑层厚度 60～80μm</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1162.47</w:t>
            </w:r>
            <w:r>
              <w:rPr>
                <w:rFonts w:hint="eastAsia" w:ascii="宋体" w:hAnsi="宋体" w:eastAsia="宋体" w:cs="宋体"/>
                <w:i w:val="0"/>
                <w:iCs w:val="0"/>
                <w:color w:val="000000"/>
                <w:sz w:val="24"/>
                <w:szCs w:val="24"/>
                <w:u w:val="none"/>
              </w:rPr>
            </w:r>
            <w:r/>
          </w:p>
        </w:tc>
      </w:tr>
      <w:tr>
        <w:trPr>
          <w:trHeight w:val="417"/>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040205003001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标杆 减速慢行标志牌(版面规格按交通要求),单立柱φ114*4.5*3700mm 立杆及基础：工作内容：基坑土方开挖、回填、钢筋砼基础（含钢筋、模板），预埋件及配件制作安装，所有钢构件经除锈处理之后采用热浸镀锌后再涂塑防腐处理，涂塑层厚度 60～80μm</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根</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2092.44</w:t>
            </w:r>
            <w:r>
              <w:rPr>
                <w:rFonts w:hint="eastAsia" w:ascii="宋体" w:hAnsi="宋体" w:eastAsia="宋体" w:cs="宋体"/>
                <w:i w:val="0"/>
                <w:iCs w:val="0"/>
                <w:color w:val="000000"/>
                <w:sz w:val="24"/>
                <w:szCs w:val="24"/>
                <w:u w:val="none"/>
              </w:rPr>
            </w:r>
            <w:r/>
          </w:p>
        </w:tc>
      </w:tr>
      <w:tr>
        <w:trPr>
          <w:trHeight w:val="168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39</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040205003002</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标杆 路面凸起标志牌、右转必停标志牌、八边形停车让行标志牌(版面规格按交通要求),单立柱φ114*4.5*3700mm 立杆及基础：工作内容：基坑土方开挖、回填、钢筋砼基础（含钢筋、模板），预埋件及配件制作安装，所有钢构件经除锈处理之后采用热浸镀锌后再涂塑防腐处理，涂塑层厚度 60～80μm</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根</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2092.44</w:t>
            </w:r>
            <w:r>
              <w:rPr>
                <w:rFonts w:hint="eastAsia" w:ascii="宋体" w:hAnsi="宋体" w:eastAsia="宋体" w:cs="宋体"/>
                <w:i w:val="0"/>
                <w:iCs w:val="0"/>
                <w:color w:val="000000"/>
                <w:sz w:val="24"/>
                <w:szCs w:val="24"/>
                <w:u w:val="none"/>
              </w:rPr>
            </w:r>
            <w:r/>
          </w:p>
        </w:tc>
      </w:tr>
      <w:tr>
        <w:trPr>
          <w:trHeight w:val="48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04B006</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拆除杆件 拆除慢标志牌2根、拆除凸面镜2根，拆除并运走，残值施工单位回收</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根</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139.50</w:t>
            </w:r>
            <w:r>
              <w:rPr>
                <w:rFonts w:hint="eastAsia" w:ascii="宋体" w:hAnsi="宋体" w:eastAsia="宋体" w:cs="宋体"/>
                <w:i w:val="0"/>
                <w:iCs w:val="0"/>
                <w:color w:val="000000"/>
                <w:sz w:val="24"/>
                <w:szCs w:val="24"/>
                <w:u w:val="none"/>
              </w:rPr>
            </w:r>
            <w:r/>
          </w:p>
        </w:tc>
      </w:tr>
      <w:tr>
        <w:trPr>
          <w:trHeight w:val="28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41</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04B007</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维修爆闪灯 更换爆闪灯</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174.38</w:t>
            </w:r>
            <w:r>
              <w:rPr>
                <w:rFonts w:hint="eastAsia" w:ascii="宋体" w:hAnsi="宋体" w:eastAsia="宋体" w:cs="宋体"/>
                <w:i w:val="0"/>
                <w:iCs w:val="0"/>
                <w:color w:val="000000"/>
                <w:sz w:val="24"/>
                <w:szCs w:val="24"/>
                <w:u w:val="none"/>
              </w:rPr>
            </w:r>
            <w:r/>
          </w:p>
        </w:tc>
      </w:tr>
      <w:tr>
        <w:trPr>
          <w:trHeight w:val="28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四)</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rPr>
                <w:rFonts w:hint="eastAsia" w:ascii="宋体" w:hAnsi="宋体" w:eastAsia="宋体" w:cs="宋体"/>
                <w:i w:val="0"/>
                <w:iCs w:val="0"/>
                <w:color w:val="000000"/>
                <w:sz w:val="24"/>
                <w:szCs w:val="24"/>
                <w:u w:val="none"/>
              </w:rPr>
              <w:framePr w:vAnchor="text" w:hAnchor="page" w:x="1786" w:y="452"/>
            </w:pP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公园、休闲广场维修改造 </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rPr>
                <w:rFonts w:hint="eastAsia" w:ascii="宋体" w:hAnsi="宋体" w:eastAsia="宋体" w:cs="宋体"/>
                <w:i w:val="0"/>
                <w:iCs w:val="0"/>
                <w:color w:val="000000"/>
                <w:sz w:val="24"/>
                <w:szCs w:val="24"/>
                <w:u w:val="none"/>
              </w:rPr>
              <w:framePr w:vAnchor="text" w:hAnchor="page" w:x="1786" w:y="452"/>
            </w:pP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rPr>
                <w:rFonts w:hint="eastAsia" w:ascii="宋体" w:hAnsi="宋体" w:eastAsia="宋体" w:cs="宋体"/>
                <w:i w:val="0"/>
                <w:iCs w:val="0"/>
                <w:color w:val="000000"/>
                <w:sz w:val="24"/>
                <w:szCs w:val="24"/>
                <w:u w:val="none"/>
              </w:rPr>
              <w:framePr w:vAnchor="text" w:hAnchor="page" w:x="1786" w:y="452"/>
            </w:pP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rPr>
                <w:rFonts w:hint="eastAsia" w:ascii="宋体" w:hAnsi="宋体" w:eastAsia="宋体" w:cs="宋体"/>
                <w:i w:val="0"/>
                <w:iCs w:val="0"/>
                <w:color w:val="000000"/>
                <w:sz w:val="24"/>
                <w:szCs w:val="24"/>
                <w:u w:val="none"/>
              </w:rPr>
              <w:framePr w:vAnchor="text" w:hAnchor="page" w:x="1786" w:y="452"/>
            </w:pPr>
            <w:r>
              <w:rPr>
                <w:rFonts w:hint="eastAsia" w:ascii="宋体" w:hAnsi="宋体" w:eastAsia="宋体" w:cs="宋体"/>
                <w:i w:val="0"/>
                <w:iCs w:val="0"/>
                <w:color w:val="000000"/>
                <w:sz w:val="24"/>
                <w:szCs w:val="24"/>
                <w:u w:val="none"/>
              </w:rPr>
            </w:r>
            <w:r/>
          </w:p>
        </w:tc>
      </w:tr>
      <w:tr>
        <w:trPr>
          <w:trHeight w:val="28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011404007001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其他木材面 木廊亭表面砂纸打磨刷清漆2遍出新</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23.14</w:t>
            </w:r>
            <w:r>
              <w:rPr>
                <w:rFonts w:hint="eastAsia" w:ascii="宋体" w:hAnsi="宋体" w:eastAsia="宋体" w:cs="宋体"/>
                <w:i w:val="0"/>
                <w:iCs w:val="0"/>
                <w:color w:val="000000"/>
                <w:sz w:val="24"/>
                <w:szCs w:val="24"/>
                <w:u w:val="none"/>
              </w:rPr>
            </w:r>
            <w:r/>
          </w:p>
        </w:tc>
      </w:tr>
      <w:tr>
        <w:trPr>
          <w:trHeight w:val="48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020603001001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玻璃屋面 更换休息亭夹胶钢化玻璃屋面，含原破损玻璃拆除及清运</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294.76</w:t>
            </w:r>
            <w:r>
              <w:rPr>
                <w:rFonts w:hint="eastAsia" w:ascii="宋体" w:hAnsi="宋体" w:eastAsia="宋体" w:cs="宋体"/>
                <w:i w:val="0"/>
                <w:iCs w:val="0"/>
                <w:color w:val="000000"/>
                <w:sz w:val="24"/>
                <w:szCs w:val="24"/>
                <w:u w:val="none"/>
              </w:rPr>
            </w:r>
            <w:r/>
          </w:p>
        </w:tc>
      </w:tr>
      <w:tr>
        <w:trPr>
          <w:trHeight w:val="48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44</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011608002001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铲除瓦面 凿除休息亭瓦屋面含砂浆粘结层,垃圾清运</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27.09</w:t>
            </w:r>
            <w:r>
              <w:rPr>
                <w:rFonts w:hint="eastAsia" w:ascii="宋体" w:hAnsi="宋体" w:eastAsia="宋体" w:cs="宋体"/>
                <w:i w:val="0"/>
                <w:iCs w:val="0"/>
                <w:color w:val="000000"/>
                <w:sz w:val="24"/>
                <w:szCs w:val="24"/>
                <w:u w:val="none"/>
              </w:rPr>
            </w:r>
            <w:r/>
          </w:p>
        </w:tc>
      </w:tr>
      <w:tr>
        <w:trPr>
          <w:trHeight w:val="28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45</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011203003001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屋面砂浆找平 屋面瓦凿除部位水泥砂浆找平</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91.26</w:t>
            </w:r>
            <w:r>
              <w:rPr>
                <w:rFonts w:hint="eastAsia" w:ascii="宋体" w:hAnsi="宋体" w:eastAsia="宋体" w:cs="宋体"/>
                <w:i w:val="0"/>
                <w:iCs w:val="0"/>
                <w:color w:val="000000"/>
                <w:sz w:val="24"/>
                <w:szCs w:val="24"/>
                <w:u w:val="none"/>
              </w:rPr>
            </w:r>
            <w:r/>
          </w:p>
        </w:tc>
      </w:tr>
      <w:tr>
        <w:trPr>
          <w:trHeight w:val="48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46</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01B002</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健身器材 原健身器材移位，含器材搬移、混凝土基础</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359.33</w:t>
            </w:r>
            <w:r>
              <w:rPr>
                <w:rFonts w:hint="eastAsia" w:ascii="宋体" w:hAnsi="宋体" w:eastAsia="宋体" w:cs="宋体"/>
                <w:i w:val="0"/>
                <w:iCs w:val="0"/>
                <w:color w:val="000000"/>
                <w:sz w:val="24"/>
                <w:szCs w:val="24"/>
                <w:u w:val="none"/>
              </w:rPr>
            </w:r>
            <w:r/>
          </w:p>
        </w:tc>
      </w:tr>
      <w:tr>
        <w:trPr>
          <w:trHeight w:val="48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47</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040203007003</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水泥混凝土 场地硬化,10cmC30混凝土场地,含养护、锯缝</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76.83</w:t>
            </w:r>
            <w:r>
              <w:rPr>
                <w:rFonts w:hint="eastAsia" w:ascii="宋体" w:hAnsi="宋体" w:eastAsia="宋体" w:cs="宋体"/>
                <w:i w:val="0"/>
                <w:iCs w:val="0"/>
                <w:color w:val="000000"/>
                <w:sz w:val="24"/>
                <w:szCs w:val="24"/>
                <w:u w:val="none"/>
              </w:rPr>
            </w:r>
            <w:r/>
          </w:p>
        </w:tc>
      </w:tr>
      <w:tr>
        <w:trPr>
          <w:trHeight w:val="96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040203009001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弹性面层 基层清理、打磨、嵌缝、封底胶处理，新做不小于6mm厚层压式EPDM塑胶面层，EPDM颗粒粒径为1-3mm,高聚物含量≥20%，胶水与颗粒比为1:5.5，EPDM颗粒,颜色按甲方要求</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186.00</w:t>
            </w:r>
            <w:r>
              <w:rPr>
                <w:rFonts w:hint="eastAsia" w:ascii="宋体" w:hAnsi="宋体" w:eastAsia="宋体" w:cs="宋体"/>
                <w:i w:val="0"/>
                <w:iCs w:val="0"/>
                <w:color w:val="000000"/>
                <w:sz w:val="24"/>
                <w:szCs w:val="24"/>
                <w:u w:val="none"/>
              </w:rPr>
            </w:r>
            <w:r/>
          </w:p>
        </w:tc>
      </w:tr>
      <w:tr>
        <w:trPr>
          <w:trHeight w:val="28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五)</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rPr>
                <w:rFonts w:hint="eastAsia" w:ascii="宋体" w:hAnsi="宋体" w:eastAsia="宋体" w:cs="宋体"/>
                <w:i w:val="0"/>
                <w:iCs w:val="0"/>
                <w:color w:val="000000"/>
                <w:sz w:val="24"/>
                <w:szCs w:val="24"/>
                <w:u w:val="none"/>
              </w:rPr>
              <w:framePr w:vAnchor="text" w:hAnchor="page" w:x="1786" w:y="452"/>
            </w:pP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土建零星改造 </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rPr>
                <w:rFonts w:hint="eastAsia" w:ascii="宋体" w:hAnsi="宋体" w:eastAsia="宋体" w:cs="宋体"/>
                <w:i w:val="0"/>
                <w:iCs w:val="0"/>
                <w:color w:val="000000"/>
                <w:sz w:val="24"/>
                <w:szCs w:val="24"/>
                <w:u w:val="none"/>
              </w:rPr>
              <w:framePr w:vAnchor="text" w:hAnchor="page" w:x="1786" w:y="452"/>
            </w:pP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rPr>
                <w:rFonts w:hint="eastAsia" w:ascii="宋体" w:hAnsi="宋体" w:eastAsia="宋体" w:cs="宋体"/>
                <w:i w:val="0"/>
                <w:iCs w:val="0"/>
                <w:color w:val="000000"/>
                <w:sz w:val="24"/>
                <w:szCs w:val="24"/>
                <w:u w:val="none"/>
              </w:rPr>
              <w:framePr w:vAnchor="text" w:hAnchor="page" w:x="1786" w:y="452"/>
            </w:pP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rPr>
                <w:rFonts w:hint="eastAsia" w:ascii="宋体" w:hAnsi="宋体" w:eastAsia="宋体" w:cs="宋体"/>
                <w:i w:val="0"/>
                <w:iCs w:val="0"/>
                <w:color w:val="000000"/>
                <w:sz w:val="24"/>
                <w:szCs w:val="24"/>
                <w:u w:val="none"/>
              </w:rPr>
              <w:framePr w:vAnchor="text" w:hAnchor="page" w:x="1786" w:y="452"/>
            </w:pPr>
            <w:r>
              <w:rPr>
                <w:rFonts w:hint="eastAsia" w:ascii="宋体" w:hAnsi="宋体" w:eastAsia="宋体" w:cs="宋体"/>
                <w:i w:val="0"/>
                <w:iCs w:val="0"/>
                <w:color w:val="000000"/>
                <w:sz w:val="24"/>
                <w:szCs w:val="24"/>
                <w:u w:val="none"/>
              </w:rPr>
            </w:r>
            <w:r/>
          </w:p>
        </w:tc>
      </w:tr>
      <w:tr>
        <w:trPr>
          <w:trHeight w:val="7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49</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011610001001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木门窗拆除 原单扇木门拆除（含门套拆除），门洞修补达到新装门要求，垃圾装车外运弃置点及相关费用自行考虑，具体拆除数量由甲方签证为准</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樘</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62.55</w:t>
            </w:r>
            <w:r>
              <w:rPr>
                <w:rFonts w:hint="eastAsia" w:ascii="宋体" w:hAnsi="宋体" w:eastAsia="宋体" w:cs="宋体"/>
                <w:i w:val="0"/>
                <w:iCs w:val="0"/>
                <w:color w:val="000000"/>
                <w:sz w:val="24"/>
                <w:szCs w:val="24"/>
                <w:u w:val="none"/>
              </w:rPr>
            </w:r>
            <w:r/>
          </w:p>
        </w:tc>
      </w:tr>
      <w:tr>
        <w:trPr>
          <w:trHeight w:val="7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011610001002</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木门窗拆除 原双扇木门拆除（含门套拆除），门洞修补达到新装门要求，垃圾装车外运弃置点及相关费用自行考虑，具体拆除数量由甲方签证为准</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樘</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76.47</w:t>
            </w:r>
            <w:r>
              <w:rPr>
                <w:rFonts w:hint="eastAsia" w:ascii="宋体" w:hAnsi="宋体" w:eastAsia="宋体" w:cs="宋体"/>
                <w:i w:val="0"/>
                <w:iCs w:val="0"/>
                <w:color w:val="000000"/>
                <w:sz w:val="24"/>
                <w:szCs w:val="24"/>
                <w:u w:val="none"/>
              </w:rPr>
            </w:r>
            <w:r/>
          </w:p>
        </w:tc>
      </w:tr>
      <w:tr>
        <w:trPr>
          <w:trHeight w:val="7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51</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010801002001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木质门带套 成品定制单扇木门（含配套木门套），含铰链、执手锁、等配套五金件，具体颜色及式样由甲方确定</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796.29</w:t>
            </w:r>
            <w:r>
              <w:rPr>
                <w:rFonts w:hint="eastAsia" w:ascii="宋体" w:hAnsi="宋体" w:eastAsia="宋体" w:cs="宋体"/>
                <w:i w:val="0"/>
                <w:iCs w:val="0"/>
                <w:color w:val="000000"/>
                <w:sz w:val="24"/>
                <w:szCs w:val="24"/>
                <w:u w:val="none"/>
              </w:rPr>
            </w:r>
            <w:r/>
          </w:p>
        </w:tc>
      </w:tr>
      <w:tr>
        <w:trPr>
          <w:trHeight w:val="7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52</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010801002002</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木质门带套 成品定制双扇木门（含配套木门套），含铰链、执手锁、等配套五金件，具体颜色及式样由甲方确定</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796.29</w:t>
            </w:r>
            <w:r>
              <w:rPr>
                <w:rFonts w:hint="eastAsia" w:ascii="宋体" w:hAnsi="宋体" w:eastAsia="宋体" w:cs="宋体"/>
                <w:i w:val="0"/>
                <w:iCs w:val="0"/>
                <w:color w:val="000000"/>
                <w:sz w:val="24"/>
                <w:szCs w:val="24"/>
                <w:u w:val="none"/>
              </w:rPr>
            </w:r>
            <w:r/>
          </w:p>
        </w:tc>
      </w:tr>
      <w:tr>
        <w:trPr>
          <w:trHeight w:val="31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53</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01B003</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补充清单项目 原铝合金窗、塑钢窗整修，更换损坏的锁具、轨道、滑轮、铰链等五金配件，保证窗户顺利开启，按整修窗户面积，具体工程量以甲方现场签证为准</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23.25</w:t>
            </w:r>
            <w:r>
              <w:rPr>
                <w:rFonts w:hint="eastAsia" w:ascii="宋体" w:hAnsi="宋体" w:eastAsia="宋体" w:cs="宋体"/>
                <w:i w:val="0"/>
                <w:iCs w:val="0"/>
                <w:color w:val="000000"/>
                <w:sz w:val="24"/>
                <w:szCs w:val="24"/>
                <w:u w:val="none"/>
              </w:rPr>
            </w:r>
            <w:r/>
          </w:p>
        </w:tc>
      </w:tr>
      <w:tr>
        <w:trPr>
          <w:trHeight w:val="48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54</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01B004</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补充清单项目 更换窗户玻璃，拆除原破损玻璃，更换5厚钢化玻璃，按更换玻璃面积计算</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0.00</w:t>
            </w:r>
            <w:r>
              <w:rPr>
                <w:rFonts w:hint="eastAsia" w:ascii="宋体" w:hAnsi="宋体" w:eastAsia="宋体" w:cs="宋体"/>
                <w:i w:val="0"/>
                <w:iCs w:val="0"/>
                <w:color w:val="000000"/>
                <w:sz w:val="24"/>
                <w:szCs w:val="24"/>
                <w:u w:val="none"/>
              </w:rPr>
            </w:r>
            <w:r/>
          </w:p>
        </w:tc>
      </w:tr>
      <w:tr>
        <w:trPr>
          <w:trHeight w:val="48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55</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01B005</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补充清单项目 更换窗户玻璃，拆除原破损玻璃，更换5+9A+6厚中空钢化玻璃，按更换玻璃面积计算</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0.00</w:t>
            </w:r>
            <w:r>
              <w:rPr>
                <w:rFonts w:hint="eastAsia" w:ascii="宋体" w:hAnsi="宋体" w:eastAsia="宋体" w:cs="宋体"/>
                <w:i w:val="0"/>
                <w:iCs w:val="0"/>
                <w:color w:val="000000"/>
                <w:sz w:val="24"/>
                <w:szCs w:val="24"/>
                <w:u w:val="none"/>
              </w:rPr>
            </w:r>
            <w:r/>
          </w:p>
        </w:tc>
      </w:tr>
      <w:tr>
        <w:trPr>
          <w:trHeight w:val="7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56</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01B006</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补充清单项目 更换窗户玻璃，拆除原破损玻璃，更换6+12A+6厚中空钢化玻璃，按更换玻璃面积计算</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0.00</w:t>
            </w:r>
            <w:r>
              <w:rPr>
                <w:rFonts w:hint="eastAsia" w:ascii="宋体" w:hAnsi="宋体" w:eastAsia="宋体" w:cs="宋体"/>
                <w:i w:val="0"/>
                <w:iCs w:val="0"/>
                <w:color w:val="000000"/>
                <w:sz w:val="24"/>
                <w:szCs w:val="24"/>
                <w:u w:val="none"/>
              </w:rPr>
            </w:r>
            <w:r/>
          </w:p>
        </w:tc>
      </w:tr>
      <w:tr>
        <w:trPr>
          <w:trHeight w:val="7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57</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011610002001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金属门窗拆除 原损坏的金属窗拆除，垃圾清理外运，弃置点及相关费用自行考虑，具体拆除数量由甲方签证为准</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12.92</w:t>
            </w:r>
            <w:r>
              <w:rPr>
                <w:rFonts w:hint="eastAsia" w:ascii="宋体" w:hAnsi="宋体" w:eastAsia="宋体" w:cs="宋体"/>
                <w:i w:val="0"/>
                <w:iCs w:val="0"/>
                <w:color w:val="000000"/>
                <w:sz w:val="24"/>
                <w:szCs w:val="24"/>
                <w:u w:val="none"/>
              </w:rPr>
            </w:r>
            <w:r/>
          </w:p>
        </w:tc>
      </w:tr>
      <w:tr>
        <w:trPr>
          <w:trHeight w:val="48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58</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010807001001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金属窗 铝合金推拉窗，5厚钢化玻璃，型材壁厚满足规范要求，具体颜色及式样同现场原窗户</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464.98</w:t>
            </w:r>
            <w:r>
              <w:rPr>
                <w:rFonts w:hint="eastAsia" w:ascii="宋体" w:hAnsi="宋体" w:eastAsia="宋体" w:cs="宋体"/>
                <w:i w:val="0"/>
                <w:iCs w:val="0"/>
                <w:color w:val="000000"/>
                <w:sz w:val="24"/>
                <w:szCs w:val="24"/>
                <w:u w:val="none"/>
              </w:rPr>
            </w:r>
            <w:r/>
          </w:p>
        </w:tc>
      </w:tr>
      <w:tr>
        <w:trPr>
          <w:trHeight w:val="7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59</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010807001002</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金属窗 铝合金平开窗，5厚钢化玻璃，具体做法必须符合国家规范及质量验收要求，具体颜色及式样同现场原窗户</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523.11</w:t>
            </w:r>
            <w:r>
              <w:rPr>
                <w:rFonts w:hint="eastAsia" w:ascii="宋体" w:hAnsi="宋体" w:eastAsia="宋体" w:cs="宋体"/>
                <w:i w:val="0"/>
                <w:iCs w:val="0"/>
                <w:color w:val="000000"/>
                <w:sz w:val="24"/>
                <w:szCs w:val="24"/>
                <w:u w:val="none"/>
              </w:rPr>
            </w:r>
            <w:r/>
          </w:p>
        </w:tc>
      </w:tr>
      <w:tr>
        <w:trPr>
          <w:trHeight w:val="7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010807001003</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金属窗 铝合金推拉窗，5+9A+5中空钢化玻璃，型材壁厚满足规范要求，具体颜色及式样同现场原窗户</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523.11</w:t>
            </w:r>
            <w:r>
              <w:rPr>
                <w:rFonts w:hint="eastAsia" w:ascii="宋体" w:hAnsi="宋体" w:eastAsia="宋体" w:cs="宋体"/>
                <w:i w:val="0"/>
                <w:iCs w:val="0"/>
                <w:color w:val="000000"/>
                <w:sz w:val="24"/>
                <w:szCs w:val="24"/>
                <w:u w:val="none"/>
              </w:rPr>
            </w:r>
            <w:r/>
          </w:p>
        </w:tc>
      </w:tr>
      <w:tr>
        <w:trPr>
          <w:trHeight w:val="7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61</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010807001004</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金属窗 铝合金平开窗，5+9A+5中空钢化玻璃，型材壁厚满足规范要求，具体颜色及式样同现场原窗户</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581.23</w:t>
            </w:r>
            <w:r>
              <w:rPr>
                <w:rFonts w:hint="eastAsia" w:ascii="宋体" w:hAnsi="宋体" w:eastAsia="宋体" w:cs="宋体"/>
                <w:i w:val="0"/>
                <w:iCs w:val="0"/>
                <w:color w:val="000000"/>
                <w:sz w:val="24"/>
                <w:szCs w:val="24"/>
                <w:u w:val="none"/>
              </w:rPr>
            </w:r>
            <w:r/>
          </w:p>
        </w:tc>
      </w:tr>
      <w:tr>
        <w:trPr>
          <w:trHeight w:val="7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62</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010807001005</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金属窗 铝合金推拉窗，6+12A+6中空钢化玻璃，型材壁厚满足规范要求，具体颜色及式样同现场原窗户</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557.98</w:t>
            </w:r>
            <w:r>
              <w:rPr>
                <w:rFonts w:hint="eastAsia" w:ascii="宋体" w:hAnsi="宋体" w:eastAsia="宋体" w:cs="宋体"/>
                <w:i w:val="0"/>
                <w:iCs w:val="0"/>
                <w:color w:val="000000"/>
                <w:sz w:val="24"/>
                <w:szCs w:val="24"/>
                <w:u w:val="none"/>
              </w:rPr>
            </w:r>
            <w:r/>
          </w:p>
        </w:tc>
      </w:tr>
      <w:tr>
        <w:trPr>
          <w:trHeight w:val="7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63</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010807001006</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金属窗 铝合金平开窗，6+12A+6中空钢化玻璃，型材壁厚满足规范要求，具体颜色及式样同现场原窗户</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616.10</w:t>
            </w:r>
            <w:r>
              <w:rPr>
                <w:rFonts w:hint="eastAsia" w:ascii="宋体" w:hAnsi="宋体" w:eastAsia="宋体" w:cs="宋体"/>
                <w:i w:val="0"/>
                <w:iCs w:val="0"/>
                <w:color w:val="000000"/>
                <w:sz w:val="24"/>
                <w:szCs w:val="24"/>
                <w:u w:val="none"/>
              </w:rPr>
            </w:r>
            <w:r/>
          </w:p>
        </w:tc>
      </w:tr>
      <w:tr>
        <w:trPr>
          <w:trHeight w:val="48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64</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011501020001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窗台板 18mm厚人造石窗台板，专用粘接剂粘贴，具体式样及颜色要求由甲方确定</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449.86</w:t>
            </w:r>
            <w:r>
              <w:rPr>
                <w:rFonts w:hint="eastAsia" w:ascii="宋体" w:hAnsi="宋体" w:eastAsia="宋体" w:cs="宋体"/>
                <w:i w:val="0"/>
                <w:iCs w:val="0"/>
                <w:color w:val="000000"/>
                <w:sz w:val="24"/>
                <w:szCs w:val="24"/>
                <w:u w:val="none"/>
              </w:rPr>
            </w:r>
            <w:r/>
          </w:p>
        </w:tc>
      </w:tr>
      <w:tr>
        <w:trPr>
          <w:trHeight w:val="48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65</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010802004001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防盗窗 新装成品304不锈钢防盗窗，具体式样由甲方确定</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267.37</w:t>
            </w:r>
            <w:r>
              <w:rPr>
                <w:rFonts w:hint="eastAsia" w:ascii="宋体" w:hAnsi="宋体" w:eastAsia="宋体" w:cs="宋体"/>
                <w:i w:val="0"/>
                <w:iCs w:val="0"/>
                <w:color w:val="000000"/>
                <w:sz w:val="24"/>
                <w:szCs w:val="24"/>
                <w:u w:val="none"/>
              </w:rPr>
            </w:r>
            <w:r/>
          </w:p>
        </w:tc>
      </w:tr>
      <w:tr>
        <w:trPr>
          <w:trHeight w:val="28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66</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010810001001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窗帘 办公室新增遮光布窗帘,含罗马杆及安装</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46.50</w:t>
            </w:r>
            <w:r>
              <w:rPr>
                <w:rFonts w:hint="eastAsia" w:ascii="宋体" w:hAnsi="宋体" w:eastAsia="宋体" w:cs="宋体"/>
                <w:i w:val="0"/>
                <w:iCs w:val="0"/>
                <w:color w:val="000000"/>
                <w:sz w:val="24"/>
                <w:szCs w:val="24"/>
                <w:u w:val="none"/>
              </w:rPr>
            </w:r>
            <w:r/>
          </w:p>
        </w:tc>
      </w:tr>
      <w:tr>
        <w:trPr>
          <w:trHeight w:val="28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67</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010807004001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金属纱窗 新增铝合金纱窗</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174.38</w:t>
            </w:r>
            <w:r>
              <w:rPr>
                <w:rFonts w:hint="eastAsia" w:ascii="宋体" w:hAnsi="宋体" w:eastAsia="宋体" w:cs="宋体"/>
                <w:i w:val="0"/>
                <w:iCs w:val="0"/>
                <w:color w:val="000000"/>
                <w:sz w:val="24"/>
                <w:szCs w:val="24"/>
                <w:u w:val="none"/>
              </w:rPr>
            </w:r>
            <w:r/>
          </w:p>
        </w:tc>
      </w:tr>
      <w:tr>
        <w:trPr>
          <w:trHeight w:val="28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68</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010801006001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门锁安装 更换门锁及五金</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211.26</w:t>
            </w:r>
            <w:r>
              <w:rPr>
                <w:rFonts w:hint="eastAsia" w:ascii="宋体" w:hAnsi="宋体" w:eastAsia="宋体" w:cs="宋体"/>
                <w:i w:val="0"/>
                <w:iCs w:val="0"/>
                <w:color w:val="000000"/>
                <w:sz w:val="24"/>
                <w:szCs w:val="24"/>
                <w:u w:val="none"/>
              </w:rPr>
            </w:r>
            <w:r/>
          </w:p>
        </w:tc>
      </w:tr>
      <w:tr>
        <w:trPr>
          <w:trHeight w:val="7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69</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041001007001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拆除砖石结构 拆除部分砖砌围墙（含金属围墙栏杆）及砖砌体障碍物，垃圾装车外运，弃置点及相关费用自行考虑，按拆除砖砌体积计算</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m3</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180.03</w:t>
            </w:r>
            <w:r>
              <w:rPr>
                <w:rFonts w:hint="eastAsia" w:ascii="宋体" w:hAnsi="宋体" w:eastAsia="宋体" w:cs="宋体"/>
                <w:i w:val="0"/>
                <w:iCs w:val="0"/>
                <w:color w:val="000000"/>
                <w:sz w:val="24"/>
                <w:szCs w:val="24"/>
                <w:u w:val="none"/>
              </w:rPr>
            </w:r>
            <w:r/>
          </w:p>
        </w:tc>
      </w:tr>
      <w:tr>
        <w:trPr>
          <w:trHeight w:val="7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70</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010401003001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实心砖墙 围墙墙体恢复：MU15混凝土实心砖，M7.5水泥砂浆砌筑，具体尺寸及式样详见现场原围墙</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m3</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988.52</w:t>
            </w:r>
            <w:r>
              <w:rPr>
                <w:rFonts w:hint="eastAsia" w:ascii="宋体" w:hAnsi="宋体" w:eastAsia="宋体" w:cs="宋体"/>
                <w:i w:val="0"/>
                <w:iCs w:val="0"/>
                <w:color w:val="000000"/>
                <w:sz w:val="24"/>
                <w:szCs w:val="24"/>
                <w:u w:val="none"/>
              </w:rPr>
            </w:r>
            <w:r/>
          </w:p>
        </w:tc>
      </w:tr>
      <w:tr>
        <w:trPr>
          <w:trHeight w:val="7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71</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010401003002</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实心砖墙 围墙砖柱恢复：MU15混凝土实心砖，M7.5水泥砂浆砌筑，具体尺寸及式样详见现场原砖柱</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m3</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1079.48</w:t>
            </w:r>
            <w:r>
              <w:rPr>
                <w:rFonts w:hint="eastAsia" w:ascii="宋体" w:hAnsi="宋体" w:eastAsia="宋体" w:cs="宋体"/>
                <w:i w:val="0"/>
                <w:iCs w:val="0"/>
                <w:color w:val="000000"/>
                <w:sz w:val="24"/>
                <w:szCs w:val="24"/>
                <w:u w:val="none"/>
              </w:rPr>
            </w:r>
            <w:r/>
          </w:p>
        </w:tc>
      </w:tr>
      <w:tr>
        <w:trPr>
          <w:trHeight w:val="48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72</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011608002002</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铲除涂料面 原墙面、天棚涂料及腻子层铲除，具体工程量以甲方现场签证为准</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5.03</w:t>
            </w:r>
            <w:r>
              <w:rPr>
                <w:rFonts w:hint="eastAsia" w:ascii="宋体" w:hAnsi="宋体" w:eastAsia="宋体" w:cs="宋体"/>
                <w:i w:val="0"/>
                <w:iCs w:val="0"/>
                <w:color w:val="000000"/>
                <w:sz w:val="24"/>
                <w:szCs w:val="24"/>
                <w:u w:val="none"/>
              </w:rPr>
            </w:r>
            <w:r/>
          </w:p>
        </w:tc>
      </w:tr>
      <w:tr>
        <w:trPr>
          <w:trHeight w:val="7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73</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011604002001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立面抹灰层拆除 原局部墙面粉刷空鼓、损坏部位拆除，垃圾装车外运，弃置点及相关费用自行考虑，具体工程量以甲方现场签证为准</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16.10</w:t>
            </w:r>
            <w:r>
              <w:rPr>
                <w:rFonts w:hint="eastAsia" w:ascii="宋体" w:hAnsi="宋体" w:eastAsia="宋体" w:cs="宋体"/>
                <w:i w:val="0"/>
                <w:iCs w:val="0"/>
                <w:color w:val="000000"/>
                <w:sz w:val="24"/>
                <w:szCs w:val="24"/>
                <w:u w:val="none"/>
              </w:rPr>
            </w:r>
            <w:r/>
          </w:p>
        </w:tc>
      </w:tr>
      <w:tr>
        <w:trPr>
          <w:trHeight w:val="48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74</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011406001001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抹灰面油漆 铲除室内墙面涂料区域：满批耐水腻子两遍，刷乳胶漆两遍出新，具体颜色由甲方确定</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23.96</w:t>
            </w:r>
            <w:r>
              <w:rPr>
                <w:rFonts w:hint="eastAsia" w:ascii="宋体" w:hAnsi="宋体" w:eastAsia="宋体" w:cs="宋体"/>
                <w:i w:val="0"/>
                <w:iCs w:val="0"/>
                <w:color w:val="000000"/>
                <w:sz w:val="24"/>
                <w:szCs w:val="24"/>
                <w:u w:val="none"/>
              </w:rPr>
            </w:r>
            <w:r/>
          </w:p>
        </w:tc>
      </w:tr>
      <w:tr>
        <w:trPr>
          <w:trHeight w:val="48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75</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011406001002</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抹灰面油漆 铲除室内天棚涂料区域：满批耐水腻子两遍，刷乳胶漆两遍出新，具体颜色由甲方确定</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25.81</w:t>
            </w:r>
            <w:r>
              <w:rPr>
                <w:rFonts w:hint="eastAsia" w:ascii="宋体" w:hAnsi="宋体" w:eastAsia="宋体" w:cs="宋体"/>
                <w:i w:val="0"/>
                <w:iCs w:val="0"/>
                <w:color w:val="000000"/>
                <w:sz w:val="24"/>
                <w:szCs w:val="24"/>
                <w:u w:val="none"/>
              </w:rPr>
            </w:r>
            <w:r/>
          </w:p>
        </w:tc>
      </w:tr>
      <w:tr>
        <w:trPr>
          <w:trHeight w:val="7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76</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011406001003</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抹灰面油漆 不铲除室内墙面涂料区域:原涂料表面砂纸打磨（铲除广告贴纸、广告印章等）、刷乳胶漆两遍出新，具体颜色由甲方确定</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12.03</w:t>
            </w:r>
            <w:r>
              <w:rPr>
                <w:rFonts w:hint="eastAsia" w:ascii="宋体" w:hAnsi="宋体" w:eastAsia="宋体" w:cs="宋体"/>
                <w:i w:val="0"/>
                <w:iCs w:val="0"/>
                <w:color w:val="000000"/>
                <w:sz w:val="24"/>
                <w:szCs w:val="24"/>
                <w:u w:val="none"/>
              </w:rPr>
            </w:r>
            <w:r/>
          </w:p>
        </w:tc>
      </w:tr>
      <w:tr>
        <w:trPr>
          <w:trHeight w:val="7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77</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011406001004</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抹灰面油漆 不铲除室内天棚涂料区域:原涂料表面砂纸打磨（铲除广告贴纸、广告印章等）、刷乳胶漆两遍出新，具体颜色由甲方确定</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12.80</w:t>
            </w:r>
            <w:r>
              <w:rPr>
                <w:rFonts w:hint="eastAsia" w:ascii="宋体" w:hAnsi="宋体" w:eastAsia="宋体" w:cs="宋体"/>
                <w:i w:val="0"/>
                <w:iCs w:val="0"/>
                <w:color w:val="000000"/>
                <w:sz w:val="24"/>
                <w:szCs w:val="24"/>
                <w:u w:val="none"/>
              </w:rPr>
            </w:r>
            <w:r/>
          </w:p>
        </w:tc>
      </w:tr>
      <w:tr>
        <w:trPr>
          <w:trHeight w:val="7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78</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011201001001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墙面一般抹灰 铲除内墙粉刷部位：基层清理、12厚1:1:6混合砂浆打底，8厚1:0.3:3混合砂浆抹面(压入耐碱玻纤网格布一道）</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35.98</w:t>
            </w:r>
            <w:r>
              <w:rPr>
                <w:rFonts w:hint="eastAsia" w:ascii="宋体" w:hAnsi="宋体" w:eastAsia="宋体" w:cs="宋体"/>
                <w:i w:val="0"/>
                <w:iCs w:val="0"/>
                <w:color w:val="000000"/>
                <w:sz w:val="24"/>
                <w:szCs w:val="24"/>
                <w:u w:val="none"/>
              </w:rPr>
            </w:r>
            <w:r/>
          </w:p>
        </w:tc>
      </w:tr>
      <w:tr>
        <w:trPr>
          <w:trHeight w:val="72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79</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011201001002</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墙面一般抹灰 铲除外墙粉刷及围墙恢复部位：基层清理、12厚1:3防水砂浆打底，6厚抗裂砂浆抹面(压入耐碱玻纤网格布一道）</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51.80</w:t>
            </w:r>
            <w:r>
              <w:rPr>
                <w:rFonts w:hint="eastAsia" w:ascii="宋体" w:hAnsi="宋体" w:eastAsia="宋体" w:cs="宋体"/>
                <w:i w:val="0"/>
                <w:iCs w:val="0"/>
                <w:color w:val="000000"/>
                <w:sz w:val="24"/>
                <w:szCs w:val="24"/>
                <w:u w:val="none"/>
              </w:rPr>
            </w:r>
            <w:r/>
          </w:p>
        </w:tc>
      </w:tr>
      <w:tr>
        <w:trPr>
          <w:trHeight w:val="48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80</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011407001001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墙面喷刷涂料 外墙弹性涂料，一底两面，具体颜色同现场原涂料</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52.31</w:t>
            </w:r>
            <w:r>
              <w:rPr>
                <w:rFonts w:hint="eastAsia" w:ascii="宋体" w:hAnsi="宋体" w:eastAsia="宋体" w:cs="宋体"/>
                <w:i w:val="0"/>
                <w:iCs w:val="0"/>
                <w:color w:val="000000"/>
                <w:sz w:val="24"/>
                <w:szCs w:val="24"/>
                <w:u w:val="none"/>
              </w:rPr>
            </w:r>
            <w:r/>
          </w:p>
        </w:tc>
      </w:tr>
      <w:tr>
        <w:trPr>
          <w:trHeight w:val="96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81</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011407001002</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墙面喷刷涂料 外墙真石漆，柔性耐水专用腻子二遍，外墙专用抗碱封闭底漆，喷涂2遍真石漆，喷涂外墙专用罩面漆（真石漆均采用天然岩片），具体颜色同现场原外墙真石漆</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98.81</w:t>
            </w:r>
            <w:r>
              <w:rPr>
                <w:rFonts w:hint="eastAsia" w:ascii="宋体" w:hAnsi="宋体" w:eastAsia="宋体" w:cs="宋体"/>
                <w:i w:val="0"/>
                <w:iCs w:val="0"/>
                <w:color w:val="000000"/>
                <w:sz w:val="24"/>
                <w:szCs w:val="24"/>
                <w:u w:val="none"/>
              </w:rPr>
            </w:r>
            <w:r/>
          </w:p>
        </w:tc>
      </w:tr>
      <w:tr>
        <w:trPr>
          <w:trHeight w:val="48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82</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011204003001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块料墙面 12厚1:3水泥砂浆打底，5厚素水泥浆粘贴，外墙条砖，具体颜色及式样同现场原条砖</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142.94</w:t>
            </w:r>
            <w:r>
              <w:rPr>
                <w:rFonts w:hint="eastAsia" w:ascii="宋体" w:hAnsi="宋体" w:eastAsia="宋体" w:cs="宋体"/>
                <w:i w:val="0"/>
                <w:iCs w:val="0"/>
                <w:color w:val="000000"/>
                <w:sz w:val="24"/>
                <w:szCs w:val="24"/>
                <w:u w:val="none"/>
              </w:rPr>
            </w:r>
            <w:r/>
          </w:p>
        </w:tc>
      </w:tr>
      <w:tr>
        <w:trPr>
          <w:trHeight w:val="28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六)</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rPr>
                <w:rFonts w:hint="eastAsia" w:ascii="宋体" w:hAnsi="宋体" w:eastAsia="宋体" w:cs="宋体"/>
                <w:i w:val="0"/>
                <w:iCs w:val="0"/>
                <w:color w:val="000000"/>
                <w:sz w:val="24"/>
                <w:szCs w:val="24"/>
                <w:u w:val="none"/>
              </w:rPr>
              <w:framePr w:vAnchor="text" w:hAnchor="page" w:x="1786" w:y="452"/>
            </w:pP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安装零星改造 </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rPr>
                <w:rFonts w:hint="eastAsia" w:ascii="宋体" w:hAnsi="宋体" w:eastAsia="宋体" w:cs="宋体"/>
                <w:i w:val="0"/>
                <w:iCs w:val="0"/>
                <w:color w:val="000000"/>
                <w:sz w:val="24"/>
                <w:szCs w:val="24"/>
                <w:u w:val="none"/>
              </w:rPr>
              <w:framePr w:vAnchor="text" w:hAnchor="page" w:x="1786" w:y="452"/>
            </w:pP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rPr>
                <w:rFonts w:hint="eastAsia" w:ascii="宋体" w:hAnsi="宋体" w:eastAsia="宋体" w:cs="宋体"/>
                <w:i w:val="0"/>
                <w:iCs w:val="0"/>
                <w:color w:val="000000"/>
                <w:sz w:val="24"/>
                <w:szCs w:val="24"/>
                <w:u w:val="none"/>
              </w:rPr>
              <w:framePr w:vAnchor="text" w:hAnchor="page" w:x="1786" w:y="452"/>
            </w:pP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rPr>
                <w:rFonts w:hint="eastAsia" w:ascii="宋体" w:hAnsi="宋体" w:eastAsia="宋体" w:cs="宋体"/>
                <w:i w:val="0"/>
                <w:iCs w:val="0"/>
                <w:color w:val="000000"/>
                <w:sz w:val="24"/>
                <w:szCs w:val="24"/>
                <w:u w:val="none"/>
              </w:rPr>
              <w:framePr w:vAnchor="text" w:hAnchor="page" w:x="1786" w:y="452"/>
            </w:pPr>
            <w:r>
              <w:rPr>
                <w:rFonts w:hint="eastAsia" w:ascii="宋体" w:hAnsi="宋体" w:eastAsia="宋体" w:cs="宋体"/>
                <w:i w:val="0"/>
                <w:iCs w:val="0"/>
                <w:color w:val="000000"/>
                <w:sz w:val="24"/>
                <w:szCs w:val="24"/>
                <w:u w:val="none"/>
              </w:rPr>
            </w:r>
            <w:r/>
          </w:p>
        </w:tc>
      </w:tr>
      <w:tr>
        <w:trPr>
          <w:trHeight w:val="48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83</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01B007</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刨沟 原办公室电源及网络插座位置不符合工位使用要求需重新布置开槽</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12.70</w:t>
            </w:r>
            <w:r>
              <w:rPr>
                <w:rFonts w:hint="eastAsia" w:ascii="宋体" w:hAnsi="宋体" w:eastAsia="宋体" w:cs="宋体"/>
                <w:i w:val="0"/>
                <w:iCs w:val="0"/>
                <w:color w:val="000000"/>
                <w:sz w:val="24"/>
                <w:szCs w:val="24"/>
                <w:u w:val="none"/>
              </w:rPr>
            </w:r>
            <w:r/>
          </w:p>
        </w:tc>
      </w:tr>
      <w:tr>
        <w:trPr>
          <w:trHeight w:val="28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84</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030412005001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荧光灯 日光灯更换</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180.28</w:t>
            </w:r>
            <w:r>
              <w:rPr>
                <w:rFonts w:hint="eastAsia" w:ascii="宋体" w:hAnsi="宋体" w:eastAsia="宋体" w:cs="宋体"/>
                <w:i w:val="0"/>
                <w:iCs w:val="0"/>
                <w:color w:val="000000"/>
                <w:sz w:val="24"/>
                <w:szCs w:val="24"/>
                <w:u w:val="none"/>
              </w:rPr>
            </w:r>
            <w:r/>
          </w:p>
        </w:tc>
      </w:tr>
      <w:tr>
        <w:trPr>
          <w:trHeight w:val="28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85</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040801029001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照明开关 更换开关面板</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29.33</w:t>
            </w:r>
            <w:r>
              <w:rPr>
                <w:rFonts w:hint="eastAsia" w:ascii="宋体" w:hAnsi="宋体" w:eastAsia="宋体" w:cs="宋体"/>
                <w:i w:val="0"/>
                <w:iCs w:val="0"/>
                <w:color w:val="000000"/>
                <w:sz w:val="24"/>
                <w:szCs w:val="24"/>
                <w:u w:val="none"/>
              </w:rPr>
            </w:r>
            <w:r/>
          </w:p>
        </w:tc>
      </w:tr>
      <w:tr>
        <w:trPr>
          <w:trHeight w:val="28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86</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040801030001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插座 更换插座面板</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41.77</w:t>
            </w:r>
            <w:r>
              <w:rPr>
                <w:rFonts w:hint="eastAsia" w:ascii="宋体" w:hAnsi="宋体" w:eastAsia="宋体" w:cs="宋体"/>
                <w:i w:val="0"/>
                <w:iCs w:val="0"/>
                <w:color w:val="000000"/>
                <w:sz w:val="24"/>
                <w:szCs w:val="24"/>
                <w:u w:val="none"/>
              </w:rPr>
            </w:r>
            <w:r/>
          </w:p>
        </w:tc>
      </w:tr>
      <w:tr>
        <w:trPr>
          <w:trHeight w:val="28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87</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040801030002</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插座 新增插座面板</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41.77</w:t>
            </w:r>
            <w:r>
              <w:rPr>
                <w:rFonts w:hint="eastAsia" w:ascii="宋体" w:hAnsi="宋体" w:eastAsia="宋体" w:cs="宋体"/>
                <w:i w:val="0"/>
                <w:iCs w:val="0"/>
                <w:color w:val="000000"/>
                <w:sz w:val="24"/>
                <w:szCs w:val="24"/>
                <w:u w:val="none"/>
              </w:rPr>
            </w:r>
            <w:r/>
          </w:p>
        </w:tc>
      </w:tr>
      <w:tr>
        <w:trPr>
          <w:trHeight w:val="28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88</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030411001001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配管 PVC20刚性阻燃管</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15.65</w:t>
            </w:r>
            <w:r>
              <w:rPr>
                <w:rFonts w:hint="eastAsia" w:ascii="宋体" w:hAnsi="宋体" w:eastAsia="宋体" w:cs="宋体"/>
                <w:i w:val="0"/>
                <w:iCs w:val="0"/>
                <w:color w:val="000000"/>
                <w:sz w:val="24"/>
                <w:szCs w:val="24"/>
                <w:u w:val="none"/>
              </w:rPr>
            </w:r>
            <w:r/>
          </w:p>
        </w:tc>
      </w:tr>
      <w:tr>
        <w:trPr>
          <w:trHeight w:val="28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89</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030411004001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配线 BV-2.5mm2电线;管线敷设</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4.53</w:t>
            </w:r>
            <w:r>
              <w:rPr>
                <w:rFonts w:hint="eastAsia" w:ascii="宋体" w:hAnsi="宋体" w:eastAsia="宋体" w:cs="宋体"/>
                <w:i w:val="0"/>
                <w:iCs w:val="0"/>
                <w:color w:val="000000"/>
                <w:sz w:val="24"/>
                <w:szCs w:val="24"/>
                <w:u w:val="none"/>
              </w:rPr>
            </w:r>
            <w:r/>
          </w:p>
        </w:tc>
      </w:tr>
      <w:tr>
        <w:trPr>
          <w:trHeight w:val="28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90</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030411006001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接线盒 开关盒安装</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8.73</w:t>
            </w:r>
            <w:r>
              <w:rPr>
                <w:rFonts w:hint="eastAsia" w:ascii="宋体" w:hAnsi="宋体" w:eastAsia="宋体" w:cs="宋体"/>
                <w:i w:val="0"/>
                <w:iCs w:val="0"/>
                <w:color w:val="000000"/>
                <w:sz w:val="24"/>
                <w:szCs w:val="24"/>
                <w:u w:val="none"/>
              </w:rPr>
            </w:r>
            <w:r/>
          </w:p>
        </w:tc>
      </w:tr>
      <w:tr>
        <w:trPr>
          <w:trHeight w:val="28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91</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030411004002</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配线 六类网线;管线敷设</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5.15</w:t>
            </w:r>
            <w:r>
              <w:rPr>
                <w:rFonts w:hint="eastAsia" w:ascii="宋体" w:hAnsi="宋体" w:eastAsia="宋体" w:cs="宋体"/>
                <w:i w:val="0"/>
                <w:iCs w:val="0"/>
                <w:color w:val="000000"/>
                <w:sz w:val="24"/>
                <w:szCs w:val="24"/>
                <w:u w:val="none"/>
              </w:rPr>
            </w:r>
            <w:r/>
          </w:p>
        </w:tc>
      </w:tr>
      <w:tr>
        <w:trPr>
          <w:trHeight w:val="28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92</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030501012001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交换机 16口千兆交换机</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987.18</w:t>
            </w:r>
            <w:r>
              <w:rPr>
                <w:rFonts w:hint="eastAsia" w:ascii="宋体" w:hAnsi="宋体" w:eastAsia="宋体" w:cs="宋体"/>
                <w:i w:val="0"/>
                <w:iCs w:val="0"/>
                <w:color w:val="000000"/>
                <w:sz w:val="24"/>
                <w:szCs w:val="24"/>
                <w:u w:val="none"/>
              </w:rPr>
            </w:r>
            <w:r/>
          </w:p>
        </w:tc>
      </w:tr>
      <w:tr>
        <w:trPr>
          <w:trHeight w:val="28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93</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03B001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补充清单项目 无线面板</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232.50</w:t>
            </w:r>
            <w:r>
              <w:rPr>
                <w:rFonts w:hint="eastAsia" w:ascii="宋体" w:hAnsi="宋体" w:eastAsia="宋体" w:cs="宋体"/>
                <w:i w:val="0"/>
                <w:iCs w:val="0"/>
                <w:color w:val="000000"/>
                <w:sz w:val="24"/>
                <w:szCs w:val="24"/>
                <w:u w:val="none"/>
              </w:rPr>
            </w:r>
            <w:r/>
          </w:p>
        </w:tc>
      </w:tr>
      <w:tr>
        <w:trPr>
          <w:trHeight w:val="28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94</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030502001001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机柜、机架 无线机柜</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983.77</w:t>
            </w:r>
            <w:r>
              <w:rPr>
                <w:rFonts w:hint="eastAsia" w:ascii="宋体" w:hAnsi="宋体" w:eastAsia="宋体" w:cs="宋体"/>
                <w:i w:val="0"/>
                <w:iCs w:val="0"/>
                <w:color w:val="000000"/>
                <w:sz w:val="24"/>
                <w:szCs w:val="24"/>
                <w:u w:val="none"/>
              </w:rPr>
            </w:r>
            <w:r/>
          </w:p>
        </w:tc>
      </w:tr>
      <w:tr>
        <w:trPr>
          <w:trHeight w:val="28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95</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030502012001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信息插座 普通网络面板</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38.64</w:t>
            </w:r>
            <w:r>
              <w:rPr>
                <w:rFonts w:hint="eastAsia" w:ascii="宋体" w:hAnsi="宋体" w:eastAsia="宋体" w:cs="宋体"/>
                <w:i w:val="0"/>
                <w:iCs w:val="0"/>
                <w:color w:val="000000"/>
                <w:sz w:val="24"/>
                <w:szCs w:val="24"/>
                <w:u w:val="none"/>
              </w:rPr>
            </w:r>
            <w:r/>
          </w:p>
        </w:tc>
      </w:tr>
      <w:tr>
        <w:trPr>
          <w:trHeight w:val="28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96</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011615001001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开孔（打洞） 空调打孔</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58.13</w:t>
            </w:r>
            <w:r>
              <w:rPr>
                <w:rFonts w:hint="eastAsia" w:ascii="宋体" w:hAnsi="宋体" w:eastAsia="宋体" w:cs="宋体"/>
                <w:i w:val="0"/>
                <w:iCs w:val="0"/>
                <w:color w:val="000000"/>
                <w:sz w:val="24"/>
                <w:szCs w:val="24"/>
                <w:u w:val="none"/>
              </w:rPr>
            </w:r>
            <w:r/>
          </w:p>
        </w:tc>
      </w:tr>
      <w:tr>
        <w:trPr>
          <w:trHeight w:val="28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97</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011615001002</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开孔（打洞） 网线打孔</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58.13</w:t>
            </w:r>
            <w:r>
              <w:rPr>
                <w:rFonts w:hint="eastAsia" w:ascii="宋体" w:hAnsi="宋体" w:eastAsia="宋体" w:cs="宋体"/>
                <w:i w:val="0"/>
                <w:iCs w:val="0"/>
                <w:color w:val="000000"/>
                <w:sz w:val="24"/>
                <w:szCs w:val="24"/>
                <w:u w:val="none"/>
              </w:rPr>
            </w:r>
            <w:r/>
          </w:p>
        </w:tc>
      </w:tr>
      <w:tr>
        <w:trPr>
          <w:trHeight w:val="28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98</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01B008</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灯孔修补 原灯孔改小</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12.98</w:t>
            </w:r>
            <w:r>
              <w:rPr>
                <w:rFonts w:hint="eastAsia" w:ascii="宋体" w:hAnsi="宋体" w:eastAsia="宋体" w:cs="宋体"/>
                <w:i w:val="0"/>
                <w:iCs w:val="0"/>
                <w:color w:val="000000"/>
                <w:sz w:val="24"/>
                <w:szCs w:val="24"/>
                <w:u w:val="none"/>
              </w:rPr>
            </w:r>
            <w:r/>
          </w:p>
        </w:tc>
      </w:tr>
      <w:tr>
        <w:trPr>
          <w:trHeight w:val="28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99</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040501004003</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塑料管 Φ160PE管,含管件</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134.10</w:t>
            </w:r>
            <w:r>
              <w:rPr>
                <w:rFonts w:hint="eastAsia" w:ascii="宋体" w:hAnsi="宋体" w:eastAsia="宋体" w:cs="宋体"/>
                <w:i w:val="0"/>
                <w:iCs w:val="0"/>
                <w:color w:val="000000"/>
                <w:sz w:val="24"/>
                <w:szCs w:val="24"/>
                <w:u w:val="none"/>
              </w:rPr>
            </w:r>
            <w:r/>
          </w:p>
        </w:tc>
      </w:tr>
      <w:tr>
        <w:trPr>
          <w:trHeight w:val="28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030413004001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管道包封 C30商品砼包封</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m3</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720.55</w:t>
            </w:r>
            <w:r>
              <w:rPr>
                <w:rFonts w:hint="eastAsia" w:ascii="宋体" w:hAnsi="宋体" w:eastAsia="宋体" w:cs="宋体"/>
                <w:i w:val="0"/>
                <w:iCs w:val="0"/>
                <w:color w:val="000000"/>
                <w:sz w:val="24"/>
                <w:szCs w:val="24"/>
                <w:u w:val="none"/>
              </w:rPr>
            </w:r>
            <w:r/>
          </w:p>
        </w:tc>
      </w:tr>
      <w:tr>
        <w:trPr>
          <w:trHeight w:val="28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101</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030109001001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污水泵 污水泵，功率5.5千瓦（含浮球控制装置）</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2699.25</w:t>
            </w:r>
            <w:r>
              <w:rPr>
                <w:rFonts w:hint="eastAsia" w:ascii="宋体" w:hAnsi="宋体" w:eastAsia="宋体" w:cs="宋体"/>
                <w:i w:val="0"/>
                <w:iCs w:val="0"/>
                <w:color w:val="000000"/>
                <w:sz w:val="24"/>
                <w:szCs w:val="24"/>
                <w:u w:val="none"/>
              </w:rPr>
            </w:r>
            <w:r/>
          </w:p>
        </w:tc>
      </w:tr>
      <w:tr>
        <w:trPr>
          <w:trHeight w:val="28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102</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030408001001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电力电缆 电缆 YJV-4*4</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32.00</w:t>
            </w:r>
            <w:r>
              <w:rPr>
                <w:rFonts w:hint="eastAsia" w:ascii="宋体" w:hAnsi="宋体" w:eastAsia="宋体" w:cs="宋体"/>
                <w:i w:val="0"/>
                <w:iCs w:val="0"/>
                <w:color w:val="000000"/>
                <w:sz w:val="24"/>
                <w:szCs w:val="24"/>
                <w:u w:val="none"/>
              </w:rPr>
            </w:r>
            <w:r/>
          </w:p>
        </w:tc>
      </w:tr>
      <w:tr>
        <w:trPr>
          <w:trHeight w:val="28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103</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030404017001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配电箱 控制配电箱</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1175.48</w:t>
            </w:r>
            <w:r>
              <w:rPr>
                <w:rFonts w:hint="eastAsia" w:ascii="宋体" w:hAnsi="宋体" w:eastAsia="宋体" w:cs="宋体"/>
                <w:i w:val="0"/>
                <w:iCs w:val="0"/>
                <w:color w:val="000000"/>
                <w:sz w:val="24"/>
                <w:szCs w:val="24"/>
                <w:u w:val="none"/>
              </w:rPr>
            </w:r>
            <w:r/>
          </w:p>
        </w:tc>
      </w:tr>
      <w:tr>
        <w:trPr>
          <w:trHeight w:val="48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104</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030411001002</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配管 砖、混凝土结构明配 公称直径(20mm以内) 紧定式镀锌电线管敷设</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17.33</w:t>
            </w:r>
            <w:r>
              <w:rPr>
                <w:rFonts w:hint="eastAsia" w:ascii="宋体" w:hAnsi="宋体" w:eastAsia="宋体" w:cs="宋体"/>
                <w:i w:val="0"/>
                <w:iCs w:val="0"/>
                <w:color w:val="000000"/>
                <w:sz w:val="24"/>
                <w:szCs w:val="24"/>
                <w:u w:val="none"/>
              </w:rPr>
            </w:r>
            <w:r/>
          </w:p>
        </w:tc>
      </w:tr>
      <w:tr>
        <w:trPr>
          <w:trHeight w:val="285"/>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七)</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rPr>
                <w:rFonts w:hint="eastAsia" w:ascii="宋体" w:hAnsi="宋体" w:eastAsia="宋体" w:cs="宋体"/>
                <w:i w:val="0"/>
                <w:iCs w:val="0"/>
                <w:color w:val="000000"/>
                <w:sz w:val="24"/>
                <w:szCs w:val="24"/>
                <w:u w:val="none"/>
              </w:rPr>
              <w:framePr w:vAnchor="text" w:hAnchor="page" w:x="1786" w:y="452"/>
            </w:pP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屋面防水改造 </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rPr>
                <w:rFonts w:hint="eastAsia" w:ascii="宋体" w:hAnsi="宋体" w:eastAsia="宋体" w:cs="宋体"/>
                <w:i w:val="0"/>
                <w:iCs w:val="0"/>
                <w:color w:val="000000"/>
                <w:sz w:val="24"/>
                <w:szCs w:val="24"/>
                <w:u w:val="none"/>
              </w:rPr>
              <w:framePr w:vAnchor="text" w:hAnchor="page" w:x="1786" w:y="452"/>
            </w:pP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rPr>
                <w:rFonts w:hint="eastAsia" w:ascii="宋体" w:hAnsi="宋体" w:eastAsia="宋体" w:cs="宋体"/>
                <w:i w:val="0"/>
                <w:iCs w:val="0"/>
                <w:color w:val="000000"/>
                <w:sz w:val="24"/>
                <w:szCs w:val="24"/>
                <w:u w:val="none"/>
              </w:rPr>
              <w:framePr w:vAnchor="text" w:hAnchor="page" w:x="1786" w:y="452"/>
            </w:pP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rPr>
                <w:rFonts w:hint="eastAsia" w:ascii="宋体" w:hAnsi="宋体" w:eastAsia="宋体" w:cs="宋体"/>
                <w:i w:val="0"/>
                <w:iCs w:val="0"/>
                <w:color w:val="000000"/>
                <w:sz w:val="24"/>
                <w:szCs w:val="24"/>
                <w:u w:val="none"/>
              </w:rPr>
              <w:framePr w:vAnchor="text" w:hAnchor="page" w:x="1786" w:y="452"/>
            </w:pPr>
            <w:r>
              <w:rPr>
                <w:rFonts w:hint="eastAsia" w:ascii="宋体" w:hAnsi="宋体" w:eastAsia="宋体" w:cs="宋体"/>
                <w:i w:val="0"/>
                <w:iCs w:val="0"/>
                <w:color w:val="000000"/>
                <w:sz w:val="24"/>
                <w:szCs w:val="24"/>
                <w:u w:val="none"/>
              </w:rPr>
            </w:r>
            <w:r/>
          </w:p>
        </w:tc>
      </w:tr>
      <w:tr>
        <w:trPr>
          <w:trHeight w:val="48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105</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011607002001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防水层拆除 铲除屋面防水层卷材，卷材垃圾清运、销纳处理</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15.60</w:t>
            </w:r>
            <w:r>
              <w:rPr>
                <w:rFonts w:hint="eastAsia" w:ascii="宋体" w:hAnsi="宋体" w:eastAsia="宋体" w:cs="宋体"/>
                <w:i w:val="0"/>
                <w:iCs w:val="0"/>
                <w:color w:val="000000"/>
                <w:sz w:val="24"/>
                <w:szCs w:val="24"/>
                <w:u w:val="none"/>
              </w:rPr>
            </w:r>
            <w:r/>
          </w:p>
        </w:tc>
      </w:tr>
      <w:tr>
        <w:trPr>
          <w:trHeight w:val="960"/>
        </w:trPr>
        <w:tc>
          <w:tcPr>
            <w:tcW w:w="516"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106</w:t>
            </w:r>
            <w:r>
              <w:rPr>
                <w:rFonts w:hint="eastAsia" w:ascii="宋体" w:hAnsi="宋体" w:eastAsia="宋体" w:cs="宋体"/>
                <w:i w:val="0"/>
                <w:iCs w:val="0"/>
                <w:color w:val="000000"/>
                <w:sz w:val="24"/>
                <w:szCs w:val="24"/>
                <w:u w:val="none"/>
              </w:rPr>
            </w:r>
            <w:r/>
          </w:p>
        </w:tc>
        <w:tc>
          <w:tcPr>
            <w:tcW w:w="1192"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010902001001</w:t>
            </w:r>
            <w:r>
              <w:rPr>
                <w:rFonts w:hint="eastAsia" w:ascii="宋体" w:hAnsi="宋体" w:eastAsia="宋体" w:cs="宋体"/>
                <w:i w:val="0"/>
                <w:iCs w:val="0"/>
                <w:color w:val="000000"/>
                <w:sz w:val="24"/>
                <w:szCs w:val="24"/>
                <w:u w:val="none"/>
              </w:rPr>
            </w:r>
            <w:r/>
          </w:p>
        </w:tc>
        <w:tc>
          <w:tcPr>
            <w:tcW w:w="4987" w:type="dxa"/>
            <w:vAlign w:val="center"/>
            <w:textDirection w:val="lrTb"/>
            <w:noWrap w:val="false"/>
          </w:tcPr>
          <w:p>
            <w:pPr>
              <w:pStyle w:val="1147"/>
              <w:jc w:val="left"/>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屋面卷材防水 基层处理刷冷底子油一道；3厚弹性体SBS改性沥青防水卷材，聚酯胎，国标I型-20℃,单层热熔满铺法(含天沟、上翻、附加层及其它构造细部处理等全部工作内容）</w:t>
            </w:r>
            <w:r>
              <w:rPr>
                <w:rFonts w:hint="eastAsia" w:ascii="宋体" w:hAnsi="宋体" w:eastAsia="宋体" w:cs="宋体"/>
                <w:i w:val="0"/>
                <w:iCs w:val="0"/>
                <w:color w:val="000000"/>
                <w:sz w:val="24"/>
                <w:szCs w:val="24"/>
                <w:u w:val="none"/>
              </w:rPr>
            </w:r>
            <w:r/>
          </w:p>
        </w:tc>
        <w:tc>
          <w:tcPr>
            <w:tcW w:w="604"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809"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0" w:type="dxa"/>
            <w:vAlign w:val="center"/>
            <w:textDirection w:val="lrTb"/>
            <w:noWrap/>
          </w:tcPr>
          <w:p>
            <w:pPr>
              <w:pStyle w:val="1147"/>
              <w:jc w:val="center"/>
              <w:keepLines w:val="0"/>
              <w:keepNext w:val="0"/>
              <w:widowControl/>
              <w:rPr>
                <w:rFonts w:hint="eastAsia" w:ascii="宋体" w:hAnsi="宋体" w:eastAsia="宋体" w:cs="宋体"/>
                <w:i w:val="0"/>
                <w:iCs w:val="0"/>
                <w:color w:val="000000"/>
                <w:sz w:val="24"/>
                <w:szCs w:val="24"/>
                <w:u w:val="none"/>
              </w:rPr>
              <w:framePr w:vAnchor="text" w:hAnchor="page" w:x="1786" w:y="452"/>
              <w:suppressLineNumbers w:val="0"/>
            </w:pPr>
            <w:r>
              <w:rPr>
                <w:rFonts w:hint="eastAsia" w:ascii="宋体" w:hAnsi="宋体" w:eastAsia="宋体" w:cs="宋体"/>
                <w:i w:val="0"/>
                <w:iCs w:val="0"/>
                <w:color w:val="000000"/>
                <w:sz w:val="24"/>
                <w:szCs w:val="24"/>
                <w:u w:val="none"/>
                <w:lang w:val="en-US" w:eastAsia="zh-CN" w:bidi="ar"/>
              </w:rPr>
              <w:t xml:space="preserve">59.72</w:t>
            </w:r>
            <w:r>
              <w:rPr>
                <w:rFonts w:hint="eastAsia" w:ascii="宋体" w:hAnsi="宋体" w:eastAsia="宋体" w:cs="宋体"/>
                <w:i w:val="0"/>
                <w:iCs w:val="0"/>
                <w:color w:val="000000"/>
                <w:sz w:val="24"/>
                <w:szCs w:val="24"/>
                <w:u w:val="none"/>
              </w:rPr>
            </w:r>
            <w:r/>
          </w:p>
        </w:tc>
      </w:tr>
    </w:tbl>
    <w:p>
      <w:pPr>
        <w:pStyle w:val="1147"/>
        <w:numPr>
          <w:ilvl w:val="0"/>
          <w:numId w:val="0"/>
        </w:numPr>
        <w:contextualSpacing/>
        <w:keepLines w:val="0"/>
        <w:keepNext w:val="0"/>
        <w:pageBreakBefore w:val="0"/>
        <w:spacing w:line="360" w:lineRule="auto"/>
        <w:widowControl w:val="off"/>
        <w:rPr>
          <w:rFonts w:ascii="Times New Roman" w:hAnsi="Times New Roman" w:eastAsia="宋体" w:cs="Times New Roman"/>
          <w:bCs/>
          <w:color w:val="000000"/>
          <w:sz w:val="24"/>
          <w:highlight w:val="none"/>
          <w:lang w:val="en-US" w:eastAsia="zh-CN"/>
        </w:rPr>
      </w:pPr>
      <w:r>
        <w:rPr>
          <w:rFonts w:ascii="Times New Roman" w:hAnsi="Times New Roman" w:eastAsia="宋体" w:cs="Times New Roman"/>
          <w:bCs/>
          <w:color w:val="000000"/>
          <w:sz w:val="24"/>
          <w:highlight w:val="none"/>
          <w:lang w:val="en-US" w:eastAsia="zh-CN"/>
        </w:rPr>
      </w:r>
      <w:r/>
    </w:p>
    <w:p>
      <w:pPr>
        <w:pStyle w:val="1147"/>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bookmarkStart w:id="670" w:name="_Toc104818929"/>
      <w:r>
        <w:rPr>
          <w:rFonts w:hint="eastAsia" w:ascii="Times New Roman" w:hAnsi="Times New Roman" w:eastAsia="宋体" w:cs="Times New Roman"/>
          <w:bCs/>
          <w:color w:val="000000"/>
          <w:sz w:val="24"/>
          <w:highlight w:val="none"/>
          <w:lang w:val="en-US" w:eastAsia="zh-CN"/>
        </w:rPr>
        <w:t xml:space="preserve">说明:</w:t>
      </w:r>
      <w:r>
        <w:rPr>
          <w:rFonts w:hint="eastAsia" w:ascii="Times New Roman" w:hAnsi="Times New Roman" w:eastAsia="宋体" w:cs="Times New Roman"/>
          <w:bCs/>
          <w:color w:val="000000"/>
          <w:sz w:val="24"/>
          <w:highlight w:val="none"/>
          <w:lang w:val="en-US" w:eastAsia="zh-CN"/>
        </w:rPr>
      </w:r>
      <w:r/>
    </w:p>
    <w:p>
      <w:pPr>
        <w:pStyle w:val="1147"/>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以上内容为项目估算内容，投标人报价时需综合考虑各项费用，包括但不限于以下内容：人工、机械、材料、管理费、利润、规费、税金、机械进出场及安拆费、措施费(降噪、防尘、水土保持、安全生产与文明工地、施工降排水、供水供电等临时工程、施工进场道路施工期养护、维修和补偿；施工场内交通道路修建与维护、拆除；承包人认为工程必需的其它交通措施费、保险费等)等一切可见和不可预见、直接和间接费用、风险等；各清单项目均需按规范及要求施工。</w:t>
      </w:r>
      <w:r>
        <w:rPr>
          <w:rFonts w:hint="eastAsia" w:ascii="Times New Roman" w:hAnsi="Times New Roman" w:eastAsia="宋体" w:cs="Times New Roman"/>
          <w:bCs/>
          <w:color w:val="000000"/>
          <w:sz w:val="24"/>
          <w:highlight w:val="none"/>
          <w:lang w:val="en-US" w:eastAsia="zh-CN"/>
        </w:rPr>
      </w:r>
      <w:r/>
    </w:p>
    <w:p>
      <w:pPr>
        <w:pStyle w:val="1147"/>
        <w:jc w:val="center"/>
        <w:spacing w:line="360" w:lineRule="auto"/>
        <w:rPr>
          <w:b/>
          <w:color w:val="000000"/>
          <w:sz w:val="36"/>
          <w:szCs w:val="36"/>
        </w:rPr>
        <w:outlineLvl w:val="0"/>
      </w:pPr>
      <w:r>
        <w:rPr>
          <w:b/>
          <w:color w:val="000000"/>
          <w:sz w:val="36"/>
          <w:szCs w:val="36"/>
        </w:rPr>
      </w:r>
      <w:r/>
    </w:p>
    <w:p>
      <w:pPr>
        <w:pStyle w:val="1147"/>
        <w:jc w:val="center"/>
        <w:spacing w:line="360" w:lineRule="auto"/>
        <w:rPr>
          <w:b/>
          <w:color w:val="000000"/>
          <w:sz w:val="36"/>
          <w:szCs w:val="36"/>
        </w:rPr>
        <w:outlineLvl w:val="0"/>
      </w:pPr>
      <w:r>
        <w:rPr>
          <w:b/>
          <w:color w:val="000000"/>
          <w:sz w:val="36"/>
          <w:szCs w:val="36"/>
        </w:rPr>
      </w:r>
      <w:r/>
    </w:p>
    <w:p>
      <w:pPr>
        <w:pStyle w:val="1147"/>
        <w:jc w:val="center"/>
        <w:spacing w:line="360" w:lineRule="auto"/>
        <w:rPr>
          <w:b/>
          <w:color w:val="000000"/>
          <w:sz w:val="36"/>
          <w:szCs w:val="36"/>
        </w:rPr>
        <w:outlineLvl w:val="0"/>
      </w:pPr>
      <w:r>
        <w:rPr>
          <w:b/>
          <w:color w:val="000000"/>
          <w:sz w:val="36"/>
          <w:szCs w:val="36"/>
        </w:rPr>
      </w:r>
      <w:r/>
    </w:p>
    <w:p>
      <w:pPr>
        <w:pStyle w:val="1147"/>
        <w:jc w:val="both"/>
        <w:spacing w:line="360" w:lineRule="auto"/>
        <w:rPr>
          <w:b/>
          <w:color w:val="000000"/>
          <w:sz w:val="36"/>
          <w:szCs w:val="36"/>
        </w:rPr>
        <w:outlineLvl w:val="0"/>
      </w:pPr>
      <w:r>
        <w:rPr>
          <w:b/>
          <w:color w:val="000000"/>
          <w:sz w:val="36"/>
          <w:szCs w:val="36"/>
        </w:rPr>
      </w:r>
      <w:r/>
    </w:p>
    <w:p>
      <w:pPr>
        <w:pStyle w:val="1147"/>
        <w:jc w:val="center"/>
        <w:spacing w:line="360" w:lineRule="auto"/>
        <w:rPr>
          <w:b/>
          <w:color w:val="000000"/>
          <w:sz w:val="36"/>
          <w:szCs w:val="36"/>
        </w:rPr>
        <w:outlineLvl w:val="0"/>
      </w:pPr>
      <w:r>
        <w:rPr>
          <w:b/>
          <w:color w:val="000000"/>
          <w:sz w:val="36"/>
          <w:szCs w:val="36"/>
        </w:rPr>
      </w:r>
      <w:r/>
    </w:p>
    <w:p>
      <w:pPr>
        <w:pStyle w:val="1147"/>
        <w:jc w:val="center"/>
        <w:spacing w:line="360" w:lineRule="auto"/>
        <w:rPr>
          <w:b/>
          <w:color w:val="000000"/>
          <w:sz w:val="36"/>
          <w:szCs w:val="36"/>
        </w:rPr>
        <w:outlineLvl w:val="0"/>
      </w:pPr>
      <w:r>
        <w:rPr>
          <w:b/>
          <w:color w:val="000000"/>
          <w:sz w:val="36"/>
          <w:szCs w:val="36"/>
        </w:rPr>
      </w:r>
      <w:r/>
    </w:p>
    <w:p>
      <w:pPr>
        <w:pStyle w:val="1147"/>
        <w:jc w:val="center"/>
        <w:spacing w:line="360" w:lineRule="auto"/>
        <w:rPr>
          <w:b/>
          <w:color w:val="000000"/>
          <w:sz w:val="36"/>
          <w:szCs w:val="36"/>
        </w:rPr>
        <w:outlineLvl w:val="0"/>
      </w:pPr>
      <w:r>
        <w:rPr>
          <w:b/>
          <w:color w:val="000000"/>
          <w:sz w:val="36"/>
          <w:szCs w:val="36"/>
        </w:rPr>
      </w:r>
      <w:r/>
    </w:p>
    <w:p>
      <w:pPr>
        <w:pStyle w:val="1147"/>
        <w:jc w:val="center"/>
        <w:spacing w:line="360" w:lineRule="auto"/>
        <w:rPr>
          <w:b/>
          <w:color w:val="000000"/>
          <w:sz w:val="36"/>
          <w:szCs w:val="36"/>
        </w:rPr>
        <w:outlineLvl w:val="0"/>
      </w:pPr>
      <w:r>
        <w:rPr>
          <w:b/>
          <w:color w:val="000000"/>
          <w:sz w:val="36"/>
          <w:szCs w:val="36"/>
        </w:rPr>
      </w:r>
      <w:r/>
    </w:p>
    <w:p>
      <w:pPr>
        <w:pStyle w:val="1147"/>
        <w:jc w:val="center"/>
        <w:spacing w:line="360" w:lineRule="auto"/>
        <w:rPr>
          <w:b/>
          <w:color w:val="000000"/>
          <w:sz w:val="36"/>
          <w:szCs w:val="36"/>
        </w:rPr>
        <w:outlineLvl w:val="0"/>
      </w:pPr>
      <w:r>
        <w:rPr>
          <w:b/>
          <w:color w:val="000000"/>
          <w:sz w:val="36"/>
          <w:szCs w:val="36"/>
        </w:rPr>
      </w:r>
      <w:r/>
    </w:p>
    <w:p>
      <w:pPr>
        <w:pStyle w:val="1147"/>
        <w:jc w:val="center"/>
        <w:spacing w:line="360" w:lineRule="auto"/>
        <w:rPr>
          <w:b/>
          <w:color w:val="000000"/>
          <w:sz w:val="36"/>
          <w:szCs w:val="36"/>
        </w:rPr>
        <w:outlineLvl w:val="0"/>
      </w:pPr>
      <w:r>
        <w:rPr>
          <w:b/>
          <w:color w:val="000000"/>
          <w:sz w:val="36"/>
          <w:szCs w:val="36"/>
        </w:rPr>
      </w:r>
      <w:r/>
    </w:p>
    <w:p>
      <w:pPr>
        <w:pStyle w:val="1147"/>
        <w:jc w:val="center"/>
        <w:spacing w:line="360" w:lineRule="auto"/>
        <w:rPr>
          <w:b/>
          <w:color w:val="000000"/>
          <w:sz w:val="36"/>
          <w:szCs w:val="36"/>
        </w:rPr>
        <w:outlineLvl w:val="0"/>
      </w:pPr>
      <w:r>
        <w:rPr>
          <w:b/>
          <w:color w:val="000000"/>
          <w:sz w:val="36"/>
          <w:szCs w:val="36"/>
        </w:rPr>
      </w:r>
      <w:r/>
    </w:p>
    <w:p>
      <w:pPr>
        <w:pStyle w:val="1147"/>
        <w:jc w:val="both"/>
        <w:spacing w:line="360" w:lineRule="auto"/>
        <w:rPr>
          <w:b/>
          <w:color w:val="000000"/>
          <w:sz w:val="36"/>
          <w:szCs w:val="36"/>
        </w:rPr>
        <w:outlineLvl w:val="0"/>
      </w:pPr>
      <w:r>
        <w:rPr>
          <w:b/>
          <w:color w:val="000000"/>
          <w:sz w:val="36"/>
          <w:szCs w:val="36"/>
        </w:rPr>
      </w:r>
      <w:r/>
    </w:p>
    <w:p>
      <w:pPr>
        <w:pStyle w:val="1147"/>
        <w:jc w:val="both"/>
        <w:spacing w:line="360" w:lineRule="auto"/>
        <w:rPr>
          <w:b/>
          <w:color w:val="000000"/>
          <w:sz w:val="36"/>
          <w:szCs w:val="36"/>
        </w:rPr>
        <w:outlineLvl w:val="0"/>
      </w:pPr>
      <w:r>
        <w:rPr>
          <w:b/>
          <w:color w:val="000000"/>
          <w:sz w:val="36"/>
          <w:szCs w:val="36"/>
        </w:rPr>
      </w:r>
      <w:r/>
    </w:p>
    <w:p>
      <w:pPr>
        <w:pStyle w:val="1147"/>
        <w:jc w:val="center"/>
        <w:spacing w:line="360" w:lineRule="auto"/>
        <w:rPr>
          <w:b/>
          <w:color w:val="000000"/>
          <w:sz w:val="36"/>
          <w:szCs w:val="36"/>
        </w:rPr>
        <w:outlineLvl w:val="0"/>
      </w:pPr>
      <w:r>
        <w:rPr>
          <w:b/>
          <w:color w:val="000000"/>
          <w:sz w:val="36"/>
          <w:szCs w:val="36"/>
        </w:rPr>
      </w:r>
      <w:r/>
    </w:p>
    <w:p>
      <w:pPr>
        <w:pStyle w:val="1147"/>
        <w:jc w:val="center"/>
        <w:spacing w:line="360" w:lineRule="auto"/>
        <w:rPr>
          <w:b/>
          <w:color w:val="000000"/>
          <w:sz w:val="36"/>
          <w:szCs w:val="36"/>
        </w:rPr>
        <w:outlineLvl w:val="0"/>
      </w:pPr>
      <w:r>
        <w:rPr>
          <w:b/>
          <w:color w:val="000000"/>
          <w:sz w:val="36"/>
          <w:szCs w:val="36"/>
        </w:rPr>
        <w:t xml:space="preserve">第五章   合同草案条款</w:t>
      </w:r>
      <w:bookmarkEnd w:id="670"/>
      <w:r>
        <w:rPr>
          <w:b/>
          <w:color w:val="000000"/>
          <w:sz w:val="36"/>
          <w:szCs w:val="36"/>
        </w:rPr>
      </w:r>
      <w:r/>
    </w:p>
    <w:p>
      <w:pPr>
        <w:pStyle w:val="1147"/>
        <w:numPr>
          <w:ilvl w:val="0"/>
          <w:numId w:val="0"/>
        </w:numPr>
        <w:jc w:val="both"/>
        <w:widowControl w:val="off"/>
        <w:rPr>
          <w:rFonts w:hint="eastAsia" w:ascii="宋体" w:hAnsi="宋体" w:eastAsia="宋体" w:cs="宋体"/>
          <w:color w:val="000000"/>
        </w:rPr>
      </w:pPr>
      <w:r/>
      <w:bookmarkStart w:id="671" w:name="_Hlk69047648"/>
      <w:r/>
      <w:bookmarkStart w:id="672" w:name="_Toc14901"/>
      <w:r/>
      <w:bookmarkStart w:id="673" w:name="_Toc104818930"/>
      <w:r>
        <w:rPr>
          <w:rFonts w:hint="eastAsia" w:ascii="宋体" w:hAnsi="宋体" w:eastAsia="宋体" w:cs="宋体"/>
          <w:color w:val="000000"/>
        </w:rPr>
      </w:r>
      <w:r/>
    </w:p>
    <w:p>
      <w:pPr>
        <w:pStyle w:val="1147"/>
        <w:pageBreakBefore w:val="0"/>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1147"/>
        <w:pageBreakBefore w:val="0"/>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1147"/>
        <w:pageBreakBefore w:val="0"/>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1147"/>
        <w:ind w:firstLine="1446"/>
        <w:pageBreakBefore w:val="0"/>
        <w:rPr>
          <w:rFonts w:hint="eastAsia" w:ascii="宋体" w:hAnsi="宋体" w:eastAsia="宋体" w:cs="宋体"/>
          <w:b/>
          <w:color w:val="000000"/>
          <w:sz w:val="72"/>
          <w:szCs w:val="52"/>
          <w:highlight w:val="none"/>
          <w:lang w:eastAsia="zh-CN"/>
        </w:rPr>
      </w:pPr>
      <w:r>
        <w:rPr>
          <w:rFonts w:hint="eastAsia" w:ascii="宋体" w:hAnsi="宋体" w:eastAsia="宋体" w:cs="宋体"/>
          <w:b/>
          <w:color w:val="000000"/>
          <w:sz w:val="72"/>
          <w:szCs w:val="52"/>
          <w:highlight w:val="none"/>
          <w:u w:val="single"/>
          <w:lang w:val="en-US" w:eastAsia="zh-CN"/>
        </w:rPr>
        <w:t xml:space="preserve">           </w:t>
      </w:r>
      <w:r>
        <w:rPr>
          <w:rFonts w:hint="eastAsia" w:ascii="宋体" w:hAnsi="宋体" w:eastAsia="宋体" w:cs="宋体"/>
          <w:b/>
          <w:color w:val="000000"/>
          <w:sz w:val="72"/>
          <w:szCs w:val="52"/>
          <w:highlight w:val="none"/>
        </w:rPr>
        <w:t xml:space="preserve">合同</w:t>
      </w:r>
      <w:r>
        <w:rPr>
          <w:rFonts w:hint="eastAsia" w:ascii="宋体" w:hAnsi="宋体" w:eastAsia="宋体" w:cs="宋体"/>
          <w:b/>
          <w:color w:val="000000"/>
          <w:sz w:val="72"/>
          <w:szCs w:val="52"/>
          <w:highlight w:val="none"/>
          <w:lang w:eastAsia="zh-CN"/>
        </w:rPr>
      </w:r>
      <w:r/>
    </w:p>
    <w:p>
      <w:pPr>
        <w:pStyle w:val="1225"/>
        <w:rPr>
          <w:rFonts w:hint="eastAsia"/>
          <w:color w:val="000000"/>
          <w:lang w:eastAsia="zh-CN"/>
        </w:rPr>
      </w:pPr>
      <w:r>
        <w:rPr>
          <w:rFonts w:hint="eastAsia"/>
          <w:color w:val="000000"/>
          <w:lang w:eastAsia="zh-CN"/>
        </w:rPr>
      </w:r>
      <w:r/>
    </w:p>
    <w:p>
      <w:pPr>
        <w:pStyle w:val="1147"/>
        <w:pageBreakBefore w:val="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1147"/>
        <w:pageBreakBefore w:val="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1147"/>
        <w:ind w:left="1151" w:hanging="74"/>
        <w:jc w:val="left"/>
        <w:spacing w:line="360" w:lineRule="auto"/>
        <w:rPr>
          <w:rFonts w:ascii="宋体" w:hAnsi="宋体" w:eastAsia="宋体" w:cs="宋体"/>
          <w:spacing w:val="-2"/>
          <w:sz w:val="30"/>
          <w:szCs w:val="30"/>
          <w:u w:val="single"/>
          <w:lang w:val="en-US" w:eastAsia="zh-CN" w:bidi="ar-SA"/>
        </w:rPr>
      </w:pPr>
      <w:r>
        <w:rPr>
          <w:rFonts w:ascii="宋体" w:hAnsi="宋体" w:eastAsia="宋体" w:cs="宋体"/>
          <w:spacing w:val="-2"/>
          <w:sz w:val="30"/>
          <w:szCs w:val="30"/>
          <w:lang w:val="en-US" w:eastAsia="zh-CN" w:bidi="ar-SA"/>
        </w:rPr>
        <w:t xml:space="preserve">发 包 人      </w:t>
      </w:r>
      <w:r>
        <w:rPr>
          <w:rFonts w:ascii="宋体" w:hAnsi="宋体" w:eastAsia="宋体" w:cs="宋体"/>
          <w:spacing w:val="-2"/>
          <w:sz w:val="30"/>
          <w:szCs w:val="30"/>
          <w:u w:val="single"/>
          <w:lang w:val="en-US" w:eastAsia="zh-CN" w:bidi="ar-SA"/>
        </w:rPr>
      </w:r>
      <w:r/>
    </w:p>
    <w:p>
      <w:pPr>
        <w:pStyle w:val="1147"/>
        <w:ind w:left="1033"/>
        <w:spacing w:before="98" w:line="219" w:lineRule="auto"/>
        <w:rPr>
          <w:rFonts w:ascii="宋体" w:hAnsi="宋体" w:eastAsia="宋体" w:cs="宋体"/>
          <w:spacing w:val="-2"/>
          <w:sz w:val="30"/>
          <w:szCs w:val="30"/>
          <w:lang w:val="en-US" w:eastAsia="zh-CN" w:bidi="ar-SA"/>
        </w:rPr>
      </w:pPr>
      <w:r>
        <w:rPr>
          <w:rFonts w:ascii="宋体" w:hAnsi="宋体" w:eastAsia="宋体" w:cs="宋体"/>
          <w:spacing w:val="-2"/>
          <w:sz w:val="30"/>
          <w:szCs w:val="30"/>
          <w:lang w:val="en-US" w:eastAsia="zh-CN" w:bidi="ar-SA"/>
        </w:rPr>
      </w:r>
      <w:r/>
    </w:p>
    <w:p>
      <w:pPr>
        <w:pStyle w:val="1147"/>
        <w:jc w:val="both"/>
        <w:spacing w:before="120" w:line="243" w:lineRule="auto"/>
        <w:widowControl w:val="off"/>
        <w:rPr>
          <w:rFonts w:ascii="宋体" w:hAnsi="宋体" w:eastAsia="宋体" w:cs="宋体"/>
          <w:spacing w:val="-2"/>
          <w:sz w:val="30"/>
          <w:szCs w:val="30"/>
          <w:lang w:val="en-US" w:eastAsia="zh-CN" w:bidi="ar-SA"/>
        </w:rPr>
      </w:pPr>
      <w:r>
        <w:rPr>
          <w:rFonts w:ascii="宋体" w:hAnsi="宋体" w:eastAsia="宋体" w:cs="宋体"/>
          <w:spacing w:val="-2"/>
          <w:sz w:val="30"/>
          <w:szCs w:val="30"/>
          <w:lang w:val="en-US" w:eastAsia="zh-CN" w:bidi="ar-SA"/>
        </w:rPr>
      </w:r>
      <w:r/>
    </w:p>
    <w:p>
      <w:pPr>
        <w:pStyle w:val="1147"/>
        <w:ind w:left="1028"/>
        <w:spacing w:before="98" w:line="219" w:lineRule="auto"/>
        <w:rPr>
          <w:rFonts w:ascii="宋体" w:hAnsi="宋体" w:eastAsia="宋体" w:cs="宋体"/>
          <w:spacing w:val="-2"/>
          <w:sz w:val="30"/>
          <w:szCs w:val="30"/>
          <w:lang w:val="en-US" w:eastAsia="zh-CN" w:bidi="ar-SA"/>
        </w:rPr>
      </w:pPr>
      <w:r>
        <w:rPr>
          <w:rFonts w:ascii="宋体" w:hAnsi="宋体" w:eastAsia="宋体" w:cs="宋体"/>
          <w:spacing w:val="-2"/>
          <w:sz w:val="30"/>
          <w:szCs w:val="30"/>
          <w:lang w:val="en-US" w:eastAsia="zh-CN" w:bidi="ar-SA"/>
        </w:rPr>
        <w:t xml:space="preserve">承 包 人</w:t>
      </w:r>
      <w:r>
        <w:rPr>
          <w:rFonts w:ascii="宋体" w:hAnsi="宋体" w:eastAsia="宋体" w:cs="宋体"/>
          <w:spacing w:val="-2"/>
          <w:sz w:val="30"/>
          <w:szCs w:val="30"/>
          <w:lang w:val="en-US" w:eastAsia="zh-CN" w:bidi="ar-SA"/>
        </w:rPr>
      </w:r>
      <w:r/>
    </w:p>
    <w:p>
      <w:pPr>
        <w:pStyle w:val="1147"/>
        <w:jc w:val="both"/>
        <w:spacing w:before="120" w:line="333"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1147"/>
        <w:jc w:val="both"/>
        <w:spacing w:before="120" w:line="333"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1147"/>
        <w:jc w:val="center"/>
        <w:rPr>
          <w:rFonts w:ascii="宋体" w:hAnsi="宋体" w:eastAsia="宋体" w:cs="宋体"/>
          <w:spacing w:val="-6"/>
          <w:sz w:val="31"/>
          <w:szCs w:val="31"/>
        </w:rPr>
      </w:pPr>
      <w:r>
        <w:rPr>
          <w:rFonts w:ascii="宋体" w:hAnsi="宋体" w:eastAsia="宋体" w:cs="宋体"/>
          <w:spacing w:val="-6"/>
          <w:sz w:val="31"/>
          <w:szCs w:val="31"/>
        </w:rPr>
      </w:r>
      <w:r/>
    </w:p>
    <w:p>
      <w:pPr>
        <w:pStyle w:val="1147"/>
        <w:jc w:val="center"/>
        <w:rPr>
          <w:rFonts w:ascii="宋体" w:hAnsi="宋体" w:eastAsia="宋体" w:cs="宋体"/>
          <w:spacing w:val="-6"/>
          <w:sz w:val="31"/>
          <w:szCs w:val="31"/>
        </w:rPr>
      </w:pPr>
      <w:r>
        <w:rPr>
          <w:rFonts w:ascii="宋体" w:hAnsi="宋体" w:eastAsia="宋体" w:cs="宋体"/>
          <w:spacing w:val="-6"/>
          <w:sz w:val="31"/>
          <w:szCs w:val="31"/>
        </w:rPr>
      </w:r>
      <w:r/>
    </w:p>
    <w:p>
      <w:pPr>
        <w:pStyle w:val="1147"/>
        <w:jc w:val="center"/>
        <w:spacing w:line="360" w:lineRule="auto"/>
        <w:rPr>
          <w:rFonts w:hint="eastAsia" w:ascii="宋体" w:hAnsi="宋体" w:eastAsia="宋体" w:cs="宋体"/>
          <w:b/>
          <w:color w:val="000000"/>
          <w:sz w:val="36"/>
          <w:szCs w:val="36"/>
          <w:highlight w:val="none"/>
        </w:rPr>
        <w:outlineLvl w:val="0"/>
      </w:pPr>
      <w:r>
        <w:rPr>
          <w:rFonts w:ascii="宋体" w:hAnsi="宋体" w:eastAsia="宋体" w:cs="宋体"/>
          <w:spacing w:val="-6"/>
          <w:sz w:val="31"/>
          <w:szCs w:val="31"/>
        </w:rPr>
        <w:t xml:space="preserve">年</w:t>
      </w:r>
      <w:r>
        <w:rPr>
          <w:rFonts w:ascii="宋体" w:hAnsi="宋体" w:eastAsia="宋体" w:cs="宋体"/>
          <w:spacing w:val="10"/>
          <w:sz w:val="31"/>
          <w:szCs w:val="31"/>
        </w:rPr>
        <w:t xml:space="preserve">    </w:t>
      </w:r>
      <w:r>
        <w:rPr>
          <w:rFonts w:ascii="宋体" w:hAnsi="宋体" w:eastAsia="宋体" w:cs="宋体"/>
          <w:spacing w:val="-6"/>
          <w:sz w:val="31"/>
          <w:szCs w:val="31"/>
        </w:rPr>
        <w:t xml:space="preserve">月</w:t>
      </w:r>
      <w:r>
        <w:rPr>
          <w:rFonts w:ascii="宋体" w:hAnsi="宋体" w:eastAsia="宋体" w:cs="宋体"/>
          <w:spacing w:val="29"/>
          <w:sz w:val="31"/>
          <w:szCs w:val="31"/>
        </w:rPr>
        <w:t xml:space="preserve">   </w:t>
      </w:r>
      <w:r>
        <w:rPr>
          <w:rFonts w:hint="eastAsia" w:ascii="宋体" w:hAnsi="宋体" w:eastAsia="宋体" w:cs="宋体"/>
          <w:spacing w:val="29"/>
          <w:sz w:val="31"/>
          <w:szCs w:val="31"/>
          <w:lang w:val="en-US" w:eastAsia="zh-CN"/>
        </w:rPr>
        <w:t xml:space="preserve">日</w:t>
      </w:r>
      <w:r>
        <w:rPr>
          <w:rFonts w:hint="eastAsia" w:ascii="宋体" w:hAnsi="宋体" w:eastAsia="宋体" w:cs="宋体"/>
          <w:b/>
          <w:color w:val="000000"/>
          <w:highlight w:val="none"/>
        </w:rPr>
        <w:br w:type="page" w:clear="all"/>
      </w:r>
      <w:bookmarkEnd w:id="671"/>
      <w:r/>
      <w:bookmarkEnd w:id="672"/>
      <w:r/>
      <w:bookmarkStart w:id="674" w:name="_Hlk142652014"/>
      <w:r>
        <w:rPr>
          <w:rFonts w:hint="eastAsia" w:ascii="宋体" w:hAnsi="宋体" w:eastAsia="宋体" w:cs="宋体"/>
          <w:b/>
          <w:color w:val="000000"/>
          <w:sz w:val="36"/>
          <w:szCs w:val="36"/>
          <w:highlight w:val="none"/>
        </w:rPr>
        <w:t xml:space="preserve">合同草案条款</w:t>
      </w:r>
      <w:bookmarkEnd w:id="674"/>
      <w:r>
        <w:rPr>
          <w:rFonts w:hint="eastAsia" w:ascii="宋体" w:hAnsi="宋体" w:eastAsia="宋体" w:cs="宋体"/>
          <w:b/>
          <w:color w:val="000000"/>
          <w:sz w:val="36"/>
          <w:szCs w:val="36"/>
          <w:highlight w:val="none"/>
        </w:rPr>
      </w:r>
      <w:r/>
    </w:p>
    <w:p>
      <w:pPr>
        <w:pStyle w:val="1147"/>
        <w:jc w:val="left"/>
        <w:spacing w:line="360" w:lineRule="auto"/>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采购人（全称）：</w:t>
      </w:r>
      <w:bookmarkStart w:id="675" w:name="_Hlk488975642"/>
      <w:r/>
      <w:bookmarkEnd w:id="675"/>
      <w:r>
        <w:rPr>
          <w:rFonts w:ascii="宋体" w:hAnsi="宋体" w:eastAsia="宋体" w:cs="Times New Roman"/>
          <w:color w:val="000000"/>
          <w:sz w:val="24"/>
          <w:szCs w:val="24"/>
        </w:rPr>
      </w:r>
      <w:r/>
    </w:p>
    <w:p>
      <w:pPr>
        <w:pStyle w:val="1147"/>
        <w:jc w:val="left"/>
        <w:spacing w:line="360" w:lineRule="auto"/>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供应商（全称）： </w:t>
      </w:r>
      <w:r>
        <w:rPr>
          <w:rFonts w:hint="eastAsia" w:ascii="宋体" w:hAnsi="宋体" w:eastAsia="宋体" w:cs="Times New Roman"/>
          <w:color w:val="000000"/>
          <w:sz w:val="24"/>
          <w:szCs w:val="24"/>
        </w:rPr>
      </w:r>
      <w:r/>
    </w:p>
    <w:p>
      <w:pPr>
        <w:pStyle w:val="1147"/>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按照《中华人民共和国民法典》及相关法律、法规的规定，结合本项目的具体情况，双方在平等、自愿、协商一致的基础上，达成如下协议，共同遵守。</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一、项目概况 </w:t>
      </w:r>
      <w:r>
        <w:rPr>
          <w:rFonts w:hint="eastAsia" w:ascii="宋体" w:hAnsi="宋体" w:eastAsia="宋体" w:cs="Times New Roman"/>
          <w:color w:val="000000"/>
          <w:sz w:val="24"/>
          <w:szCs w:val="24"/>
          <w:highlight w:val="none"/>
        </w:rPr>
      </w:r>
      <w:r/>
    </w:p>
    <w:p>
      <w:pPr>
        <w:pStyle w:val="1147"/>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1、项目范围：</w:t>
      </w:r>
      <w:r>
        <w:rPr>
          <w:rFonts w:hint="eastAsia" w:ascii="宋体" w:hAnsi="宋体" w:eastAsia="宋体" w:cs="Times New Roman"/>
          <w:color w:val="000000"/>
          <w:sz w:val="24"/>
          <w:szCs w:val="24"/>
          <w:highlight w:val="none"/>
        </w:rPr>
      </w:r>
      <w:r/>
    </w:p>
    <w:p>
      <w:pPr>
        <w:pStyle w:val="1147"/>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2、项目名称：_________________</w:t>
      </w:r>
      <w:r>
        <w:rPr>
          <w:rFonts w:hint="eastAsia" w:ascii="宋体" w:hAnsi="宋体" w:eastAsia="宋体" w:cs="Times New Roman"/>
          <w:color w:val="000000"/>
          <w:sz w:val="24"/>
          <w:szCs w:val="24"/>
          <w:highlight w:val="none"/>
        </w:rPr>
      </w:r>
      <w:r/>
    </w:p>
    <w:p>
      <w:pPr>
        <w:pStyle w:val="1147"/>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3、项目地点：_________________</w:t>
      </w:r>
      <w:r>
        <w:rPr>
          <w:rFonts w:hint="eastAsia" w:ascii="宋体" w:hAnsi="宋体" w:eastAsia="宋体" w:cs="Times New Roman"/>
          <w:color w:val="000000"/>
          <w:sz w:val="24"/>
          <w:szCs w:val="24"/>
          <w:highlight w:val="none"/>
        </w:rPr>
      </w:r>
      <w:r/>
    </w:p>
    <w:p>
      <w:pPr>
        <w:pStyle w:val="1147"/>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4、工程质量：_________________</w:t>
      </w:r>
      <w:r>
        <w:rPr>
          <w:rFonts w:hint="eastAsia" w:ascii="宋体" w:hAnsi="宋体" w:eastAsia="宋体" w:cs="Times New Roman"/>
          <w:color w:val="000000"/>
          <w:sz w:val="24"/>
          <w:szCs w:val="24"/>
          <w:highlight w:val="none"/>
        </w:rPr>
      </w:r>
      <w:r/>
    </w:p>
    <w:p>
      <w:pPr>
        <w:pStyle w:val="1147"/>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5、合同</w:t>
      </w:r>
      <w:r>
        <w:rPr>
          <w:rFonts w:hint="eastAsia" w:ascii="宋体" w:hAnsi="宋体" w:eastAsia="宋体" w:cs="Times New Roman"/>
          <w:color w:val="000000"/>
          <w:sz w:val="24"/>
          <w:szCs w:val="24"/>
          <w:highlight w:val="none"/>
          <w:lang w:val="en-US" w:eastAsia="zh-CN"/>
        </w:rPr>
        <w:t xml:space="preserve">价</w:t>
      </w:r>
      <w:r>
        <w:rPr>
          <w:rFonts w:hint="eastAsia" w:ascii="宋体" w:hAnsi="宋体" w:eastAsia="宋体" w:cs="Times New Roman"/>
          <w:color w:val="000000"/>
          <w:sz w:val="24"/>
          <w:szCs w:val="24"/>
          <w:highlight w:val="none"/>
        </w:rPr>
        <w:t xml:space="preserve">：</w:t>
      </w:r>
      <w:r>
        <w:rPr>
          <w:rFonts w:hint="eastAsia" w:ascii="宋体" w:hAnsi="Times New Roman" w:eastAsia="宋体" w:cs="Times New Roman"/>
          <w:color w:val="000000"/>
          <w:sz w:val="24"/>
          <w:szCs w:val="22"/>
          <w:highlight w:val="none"/>
          <w:u w:val="none"/>
          <w:lang w:val="en-US" w:eastAsia="zh-CN"/>
        </w:rPr>
        <w:t xml:space="preserve">工程送审价*（1-</w:t>
      </w:r>
      <w:r>
        <w:rPr>
          <w:rFonts w:hint="eastAsia" w:ascii="宋体" w:hAnsi="Times New Roman" w:eastAsia="宋体" w:cs="Times New Roman"/>
          <w:color w:val="000000"/>
          <w:sz w:val="24"/>
          <w:szCs w:val="22"/>
          <w:highlight w:val="none"/>
          <w:u w:val="single"/>
          <w:lang w:val="en-US" w:eastAsia="zh-CN"/>
        </w:rPr>
        <w:t xml:space="preserve">   </w:t>
      </w:r>
      <w:r>
        <w:rPr>
          <w:rFonts w:hint="eastAsia" w:ascii="宋体" w:hAnsi="Times New Roman" w:eastAsia="宋体" w:cs="Times New Roman"/>
          <w:color w:val="000000"/>
          <w:sz w:val="24"/>
          <w:szCs w:val="22"/>
          <w:highlight w:val="none"/>
          <w:u w:val="none"/>
          <w:lang w:val="en-US" w:eastAsia="zh-CN"/>
        </w:rPr>
        <w:t xml:space="preserve">%）</w:t>
      </w:r>
      <w:r>
        <w:rPr>
          <w:rFonts w:hint="eastAsia" w:ascii="宋体" w:hAnsi="宋体" w:eastAsia="宋体" w:cs="Times New Roman"/>
          <w:color w:val="000000"/>
          <w:sz w:val="24"/>
          <w:szCs w:val="24"/>
          <w:highlight w:val="none"/>
        </w:rPr>
      </w:r>
      <w:r/>
    </w:p>
    <w:p>
      <w:pPr>
        <w:pStyle w:val="1147"/>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二、服务的采购期限：</w:t>
      </w:r>
      <w:r>
        <w:rPr>
          <w:rFonts w:hint="eastAsia" w:ascii="宋体" w:hAnsi="宋体" w:eastAsia="宋体" w:cs="Times New Roman"/>
          <w:color w:val="000000"/>
          <w:sz w:val="24"/>
          <w:szCs w:val="24"/>
          <w:highlight w:val="none"/>
          <w:lang w:val="en-US" w:eastAsia="zh-CN"/>
        </w:rPr>
        <w:t xml:space="preserve">当合同履行时间达一年或合同金额达到150万元时，合同自动终止 ，具体进场日期以采购人通知为准。</w:t>
      </w: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rPr>
      </w:r>
      <w:r/>
    </w:p>
    <w:p>
      <w:pPr>
        <w:pStyle w:val="1147"/>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同一年度内采购人因中标人原因，采购人连续发出三次（含）以上整改通知书且未立即整改或整改不到位，采购人有权立即终止合同。</w:t>
      </w:r>
      <w:r>
        <w:rPr>
          <w:rFonts w:hint="eastAsia" w:ascii="宋体" w:hAnsi="宋体" w:eastAsia="宋体" w:cs="Times New Roman"/>
          <w:color w:val="000000"/>
          <w:sz w:val="24"/>
          <w:szCs w:val="24"/>
          <w:highlight w:val="none"/>
        </w:rPr>
      </w:r>
      <w:r/>
    </w:p>
    <w:p>
      <w:pPr>
        <w:pStyle w:val="1147"/>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三、项目工程价格</w:t>
      </w:r>
      <w:r>
        <w:rPr>
          <w:rFonts w:hint="eastAsia" w:ascii="宋体" w:hAnsi="宋体" w:eastAsia="宋体" w:cs="Times New Roman"/>
          <w:color w:val="000000"/>
          <w:sz w:val="24"/>
          <w:szCs w:val="24"/>
          <w:highlight w:val="none"/>
        </w:rPr>
      </w:r>
      <w:r/>
    </w:p>
    <w:p>
      <w:pPr>
        <w:pStyle w:val="1147"/>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1、本工程采用：固定费率合同</w:t>
      </w:r>
      <w:r>
        <w:rPr>
          <w:rFonts w:hint="eastAsia" w:ascii="宋体" w:hAnsi="宋体" w:eastAsia="宋体" w:cs="Times New Roman"/>
          <w:sz w:val="24"/>
          <w:szCs w:val="24"/>
          <w:highlight w:val="none"/>
        </w:rPr>
      </w:r>
      <w:r/>
    </w:p>
    <w:p>
      <w:pPr>
        <w:pStyle w:val="1147"/>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1.1工程量：根据派单内容，建设单位、监理单位、施工方等签字确认的签证单计量，最终以审计确认的工程量进行结算；结算根据工程量编制。</w:t>
      </w:r>
      <w:r>
        <w:rPr>
          <w:rFonts w:hint="eastAsia" w:ascii="宋体" w:hAnsi="宋体" w:eastAsia="宋体" w:cs="Times New Roman"/>
          <w:sz w:val="24"/>
          <w:szCs w:val="24"/>
          <w:highlight w:val="none"/>
        </w:rPr>
      </w:r>
      <w:r/>
    </w:p>
    <w:p>
      <w:pPr>
        <w:pStyle w:val="1147"/>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定额套用：《建设工程工程量清单计价规范》（GB50500-2013）、2014《江苏省市政公用工程计价表》、2014《江苏省建筑与装饰工程计价表》、2014《江苏省安装工程计价表》、2007《江苏省园林绿化工程计价表》、2014《江苏省建设工程费用定额》（营改增）、《江苏省房屋修缮工程计价表（土建）》（2009版)、《江苏省房屋修缮工程计价表（安装）》（2009版)等规范。</w:t>
      </w:r>
      <w:r>
        <w:rPr>
          <w:rFonts w:hint="eastAsia" w:ascii="宋体" w:hAnsi="宋体" w:eastAsia="宋体" w:cs="Times New Roman"/>
          <w:sz w:val="24"/>
          <w:szCs w:val="24"/>
          <w:highlight w:val="none"/>
        </w:rPr>
      </w:r>
      <w:r/>
    </w:p>
    <w:p>
      <w:pPr>
        <w:pStyle w:val="1147"/>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1.3人工费（包括点工）计取：按施工期间江苏省住房和城乡建设厅发布的建设工程人工工资指导价文件执行；</w:t>
      </w:r>
      <w:r>
        <w:rPr>
          <w:rFonts w:hint="eastAsia" w:ascii="宋体" w:hAnsi="宋体" w:eastAsia="宋体" w:cs="Times New Roman"/>
          <w:sz w:val="24"/>
          <w:szCs w:val="24"/>
          <w:highlight w:val="none"/>
        </w:rPr>
      </w:r>
      <w:r/>
    </w:p>
    <w:p>
      <w:pPr>
        <w:pStyle w:val="1147"/>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1.4材料价格：按施工期间《常州市工程造价信息》建筑工程材料指导价算术平均价计取（有缺项的材料由建设单位、监理单位、施工单位市场询价后确定，定价后的材料价格不下浮）；</w:t>
      </w:r>
      <w:r>
        <w:rPr>
          <w:rFonts w:hint="eastAsia" w:ascii="宋体" w:hAnsi="宋体" w:eastAsia="宋体" w:cs="Times New Roman"/>
          <w:sz w:val="24"/>
          <w:szCs w:val="24"/>
          <w:highlight w:val="none"/>
        </w:rPr>
      </w:r>
      <w:r/>
    </w:p>
    <w:p>
      <w:pPr>
        <w:pStyle w:val="1147"/>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1.5工程类别：对照2014《江苏省建设工程费用定额》执行；</w:t>
      </w:r>
      <w:r>
        <w:rPr>
          <w:rFonts w:hint="eastAsia" w:ascii="宋体" w:hAnsi="宋体" w:eastAsia="宋体" w:cs="Times New Roman"/>
          <w:sz w:val="24"/>
          <w:szCs w:val="24"/>
          <w:highlight w:val="none"/>
        </w:rPr>
      </w:r>
      <w:r/>
    </w:p>
    <w:p>
      <w:pPr>
        <w:pStyle w:val="1147"/>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1.6规费计取：按现行省、市相关文件规定执行；</w:t>
      </w:r>
      <w:r>
        <w:rPr>
          <w:rFonts w:hint="eastAsia" w:ascii="宋体" w:hAnsi="宋体" w:eastAsia="宋体" w:cs="Times New Roman"/>
          <w:sz w:val="24"/>
          <w:szCs w:val="24"/>
          <w:highlight w:val="none"/>
        </w:rPr>
      </w:r>
      <w:r/>
    </w:p>
    <w:p>
      <w:pPr>
        <w:pStyle w:val="1147"/>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1.7本工程计税方法为增值税一般计税法，具体按工程实施期间相关文件执行。</w:t>
      </w:r>
      <w:r>
        <w:rPr>
          <w:rFonts w:hint="eastAsia" w:ascii="宋体" w:hAnsi="宋体" w:eastAsia="宋体" w:cs="Times New Roman"/>
          <w:sz w:val="24"/>
          <w:szCs w:val="24"/>
          <w:highlight w:val="none"/>
        </w:rPr>
      </w:r>
      <w:r/>
    </w:p>
    <w:p>
      <w:pPr>
        <w:pStyle w:val="1147"/>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1.8按上述计价方法计算并经审计后的造价作为本项目的最终审定价。</w:t>
      </w:r>
      <w:r>
        <w:rPr>
          <w:rFonts w:hint="eastAsia" w:ascii="宋体" w:hAnsi="宋体" w:eastAsia="宋体" w:cs="Times New Roman"/>
          <w:sz w:val="24"/>
          <w:szCs w:val="24"/>
          <w:highlight w:val="none"/>
        </w:rPr>
      </w:r>
      <w:r/>
    </w:p>
    <w:p>
      <w:pPr>
        <w:pStyle w:val="1147"/>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2、计价原则</w:t>
      </w:r>
      <w:r>
        <w:rPr>
          <w:rFonts w:hint="eastAsia" w:ascii="宋体" w:hAnsi="宋体" w:eastAsia="宋体" w:cs="Times New Roman"/>
          <w:sz w:val="24"/>
          <w:szCs w:val="24"/>
          <w:highlight w:val="none"/>
        </w:rPr>
      </w:r>
      <w:r/>
    </w:p>
    <w:p>
      <w:pPr>
        <w:pStyle w:val="1147"/>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2.1乙方承担的工程项目施工任务，由甲方根据工程性质和特点与乙方约定，报价的计价方法按下列规则计算：</w:t>
      </w:r>
      <w:r>
        <w:rPr>
          <w:rFonts w:hint="eastAsia" w:ascii="宋体" w:hAnsi="宋体" w:eastAsia="宋体" w:cs="Times New Roman"/>
          <w:sz w:val="24"/>
          <w:szCs w:val="24"/>
          <w:highlight w:val="none"/>
        </w:rPr>
      </w:r>
      <w:r/>
    </w:p>
    <w:p>
      <w:pPr>
        <w:pStyle w:val="1147"/>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2.1.1按现行建设工程工程量清单计价规范执行。</w:t>
      </w:r>
      <w:r>
        <w:rPr>
          <w:rFonts w:hint="eastAsia" w:ascii="宋体" w:hAnsi="宋体" w:eastAsia="宋体" w:cs="Times New Roman"/>
          <w:sz w:val="24"/>
          <w:szCs w:val="24"/>
          <w:highlight w:val="none"/>
        </w:rPr>
      </w:r>
      <w:r/>
    </w:p>
    <w:p>
      <w:pPr>
        <w:pStyle w:val="1147"/>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2.1.2可参考的工程计价表和有关文件按现行计价规范及相关规定执行。</w:t>
      </w:r>
      <w:r>
        <w:rPr>
          <w:rFonts w:hint="eastAsia" w:ascii="宋体" w:hAnsi="宋体" w:eastAsia="宋体" w:cs="Times New Roman"/>
          <w:sz w:val="24"/>
          <w:szCs w:val="24"/>
          <w:highlight w:val="none"/>
        </w:rPr>
      </w:r>
      <w:r/>
    </w:p>
    <w:p>
      <w:pPr>
        <w:pStyle w:val="1147"/>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2.1.3 材料、设备价格：以项目实际施工期常州工程造价信息中公布的的材料、设备单价为基础；若遇本期没有的，价格按前一个月份的除税指导价的价格，以此类推；常州工程造价信息中没有公布的材料、设备单价以市场价为基础；材料消耗量和辅材单价按相关定额计算。</w:t>
      </w:r>
      <w:r>
        <w:rPr>
          <w:rFonts w:hint="eastAsia" w:ascii="宋体" w:hAnsi="宋体" w:eastAsia="宋体" w:cs="Times New Roman"/>
          <w:sz w:val="24"/>
          <w:szCs w:val="24"/>
          <w:highlight w:val="none"/>
        </w:rPr>
      </w:r>
      <w:r/>
    </w:p>
    <w:p>
      <w:pPr>
        <w:pStyle w:val="1147"/>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2.1.4 人工费单价：以项目实际施工期中正在实行的江苏省政策性文件确定。</w:t>
      </w:r>
      <w:r>
        <w:rPr>
          <w:rFonts w:hint="eastAsia" w:ascii="宋体" w:hAnsi="宋体" w:eastAsia="宋体" w:cs="Times New Roman"/>
          <w:sz w:val="24"/>
          <w:szCs w:val="24"/>
          <w:highlight w:val="none"/>
        </w:rPr>
      </w:r>
      <w:r/>
    </w:p>
    <w:p>
      <w:pPr>
        <w:pStyle w:val="1147"/>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2.1.5措施费和不可竞争费用：     </w:t>
      </w:r>
      <w:r>
        <w:rPr>
          <w:rFonts w:hint="eastAsia" w:ascii="宋体" w:hAnsi="宋体" w:eastAsia="宋体" w:cs="Times New Roman"/>
          <w:sz w:val="24"/>
          <w:szCs w:val="24"/>
          <w:highlight w:val="none"/>
        </w:rPr>
      </w:r>
      <w:r/>
    </w:p>
    <w:p>
      <w:pPr>
        <w:pStyle w:val="1147"/>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2.2项目实施期内如遇国家、江苏省、常州市政策调整，则双方须按最新政策规定执行。</w:t>
      </w:r>
      <w:r>
        <w:rPr>
          <w:rFonts w:hint="eastAsia" w:ascii="宋体" w:hAnsi="宋体" w:eastAsia="宋体" w:cs="Times New Roman"/>
          <w:sz w:val="24"/>
          <w:szCs w:val="24"/>
          <w:highlight w:val="none"/>
        </w:rPr>
      </w:r>
      <w:r/>
    </w:p>
    <w:p>
      <w:pPr>
        <w:pStyle w:val="1147"/>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2.3结算价格的确定：乙方依照前述2.1和2.2条以及合同中有关价格调整的规定计算工程造价（包括但不限于人工费、材料费、机械费、管理费（含企业和现场管理费）、措施费、规费、保险费用、利润、税金等），并由甲方委托的审计部门进行结算审计。最终工程结算价格按照经审计后的工程造价，以本合同签订的合同费率计算，其中：政策明文规定不予优惠的项目（如税金等）不作下浮、无信息指导价而经甲方确认的材料价格不作优惠下浮。其他由招标代理或编标机构等第三方机构市场询价的价格按本合同签订的合同费率计算。</w:t>
      </w:r>
      <w:r>
        <w:rPr>
          <w:rFonts w:hint="eastAsia" w:ascii="宋体" w:hAnsi="宋体" w:eastAsia="宋体" w:cs="Times New Roman"/>
          <w:sz w:val="24"/>
          <w:szCs w:val="24"/>
          <w:highlight w:val="none"/>
        </w:rPr>
      </w:r>
      <w:r/>
    </w:p>
    <w:p>
      <w:pPr>
        <w:pStyle w:val="1147"/>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3、调整工程价格的范围及方法</w:t>
      </w:r>
      <w:r>
        <w:rPr>
          <w:rFonts w:hint="eastAsia" w:ascii="宋体" w:hAnsi="宋体" w:eastAsia="宋体" w:cs="Times New Roman"/>
          <w:sz w:val="24"/>
          <w:szCs w:val="24"/>
          <w:highlight w:val="none"/>
        </w:rPr>
      </w:r>
      <w:r/>
    </w:p>
    <w:p>
      <w:pPr>
        <w:pStyle w:val="1147"/>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3.l暂估材料、设备价格按照甲方书面确认的实际价格调整。对于暂估价材料、设备只调整材料、设备价差和计取税金，不计取其它费用。</w:t>
      </w:r>
      <w:r>
        <w:rPr>
          <w:rFonts w:hint="eastAsia" w:ascii="宋体" w:hAnsi="宋体" w:eastAsia="宋体" w:cs="Times New Roman"/>
          <w:sz w:val="24"/>
          <w:szCs w:val="24"/>
          <w:highlight w:val="none"/>
        </w:rPr>
      </w:r>
      <w:r/>
    </w:p>
    <w:p>
      <w:pPr>
        <w:pStyle w:val="1147"/>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四、付款方式</w:t>
      </w:r>
      <w:r>
        <w:rPr>
          <w:rFonts w:hint="eastAsia" w:ascii="宋体" w:hAnsi="宋体" w:eastAsia="宋体" w:cs="Times New Roman"/>
          <w:sz w:val="24"/>
          <w:szCs w:val="24"/>
          <w:highlight w:val="none"/>
        </w:rPr>
      </w:r>
      <w:r/>
    </w:p>
    <w:p>
      <w:pPr>
        <w:pStyle w:val="1147"/>
        <w:contextualSpacing/>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付款方式：工程竣工验收合格经审计后支付审定价的</w:t>
      </w:r>
      <w:r>
        <w:rPr>
          <w:rFonts w:hint="eastAsia" w:ascii="Times New Roman" w:hAnsi="Times New Roman" w:eastAsia="宋体" w:cs="Times New Roman"/>
          <w:sz w:val="24"/>
          <w:szCs w:val="24"/>
          <w:highlight w:val="none"/>
        </w:rPr>
        <w:t xml:space="preserve">97%</w:t>
      </w:r>
      <w:r>
        <w:rPr>
          <w:rFonts w:hint="eastAsia" w:ascii="宋体" w:hAnsi="宋体" w:eastAsia="宋体" w:cs="Times New Roman"/>
          <w:sz w:val="24"/>
          <w:szCs w:val="24"/>
          <w:highlight w:val="none"/>
        </w:rPr>
        <w:t xml:space="preserve">，余款在质保期满后一次性付清（不计息）。</w:t>
      </w:r>
      <w:r>
        <w:rPr>
          <w:rFonts w:hint="eastAsia" w:ascii="宋体" w:hAnsi="宋体" w:eastAsia="宋体" w:cs="Times New Roman"/>
          <w:sz w:val="24"/>
          <w:szCs w:val="24"/>
          <w:highlight w:val="none"/>
        </w:rPr>
      </w:r>
      <w:r/>
    </w:p>
    <w:p>
      <w:pPr>
        <w:pStyle w:val="1147"/>
        <w:contextualSpacing/>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注：（</w:t>
      </w:r>
      <w:r>
        <w:rPr>
          <w:rFonts w:hint="eastAsia" w:ascii="Times New Roman" w:hAnsi="Times New Roman" w:eastAsia="宋体" w:cs="Times New Roman"/>
          <w:sz w:val="24"/>
          <w:szCs w:val="24"/>
          <w:highlight w:val="none"/>
        </w:rPr>
        <w:t xml:space="preserve">1</w:t>
      </w:r>
      <w:r>
        <w:rPr>
          <w:rFonts w:hint="eastAsia" w:ascii="宋体" w:hAnsi="宋体" w:eastAsia="宋体" w:cs="Times New Roman"/>
          <w:sz w:val="24"/>
          <w:szCs w:val="24"/>
          <w:highlight w:val="none"/>
        </w:rPr>
        <w:t xml:space="preserve">）付款前中标人需向采购人提供等额增值税发票；</w:t>
      </w:r>
      <w:r>
        <w:rPr>
          <w:rFonts w:hint="eastAsia" w:ascii="宋体" w:hAnsi="宋体" w:eastAsia="宋体" w:cs="Times New Roman"/>
          <w:sz w:val="24"/>
          <w:szCs w:val="24"/>
          <w:highlight w:val="none"/>
        </w:rPr>
      </w:r>
      <w:r/>
    </w:p>
    <w:p>
      <w:pPr>
        <w:pStyle w:val="1147"/>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（2）如项目特殊可根据采购人要求调整支付方式。</w:t>
      </w:r>
      <w:r>
        <w:rPr>
          <w:rFonts w:hint="eastAsia" w:ascii="宋体" w:hAnsi="宋体" w:eastAsia="宋体" w:cs="Times New Roman"/>
          <w:sz w:val="24"/>
          <w:szCs w:val="24"/>
          <w:highlight w:val="none"/>
        </w:rPr>
      </w:r>
      <w:r/>
    </w:p>
    <w:p>
      <w:pPr>
        <w:pStyle w:val="1147"/>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五、履约保证金及税率</w:t>
      </w:r>
      <w:r>
        <w:rPr>
          <w:rFonts w:hint="eastAsia" w:ascii="宋体" w:hAnsi="宋体" w:eastAsia="宋体" w:cs="Times New Roman"/>
          <w:sz w:val="24"/>
          <w:szCs w:val="24"/>
          <w:highlight w:val="none"/>
        </w:rPr>
      </w:r>
      <w:r/>
    </w:p>
    <w:p>
      <w:pPr>
        <w:pStyle w:val="1147"/>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5.1履约保证金：中标供应商在合同签订前，向采购人提供相当于</w:t>
      </w:r>
      <w:r>
        <w:rPr>
          <w:rFonts w:hint="eastAsia" w:ascii="宋体" w:hAnsi="宋体" w:eastAsia="宋体" w:cs="Times New Roman"/>
          <w:sz w:val="24"/>
          <w:szCs w:val="24"/>
          <w:highlight w:val="none"/>
          <w:lang w:val="en-US" w:eastAsia="zh-CN"/>
        </w:rPr>
        <w:t xml:space="preserve">150</w:t>
      </w:r>
      <w:r>
        <w:rPr>
          <w:rFonts w:hint="eastAsia" w:ascii="宋体" w:hAnsi="宋体" w:eastAsia="宋体" w:cs="Times New Roman"/>
          <w:sz w:val="24"/>
          <w:szCs w:val="24"/>
          <w:highlight w:val="none"/>
        </w:rPr>
        <w:t xml:space="preserve">万*5%的履约保证金（中标供应商自主选择以支票、汇票、本票、保函等非现金形式缴纳或提交），本项目验收合格后一次性退还（不计息）。</w:t>
      </w:r>
      <w:r>
        <w:rPr>
          <w:rFonts w:hint="eastAsia" w:ascii="宋体" w:hAnsi="宋体" w:eastAsia="宋体" w:cs="Times New Roman"/>
          <w:sz w:val="24"/>
          <w:szCs w:val="24"/>
          <w:highlight w:val="none"/>
        </w:rPr>
      </w:r>
      <w:r/>
    </w:p>
    <w:p>
      <w:pPr>
        <w:pStyle w:val="1147"/>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六、组成本合同的有关文件</w:t>
      </w:r>
      <w:r>
        <w:rPr>
          <w:rFonts w:hint="eastAsia" w:ascii="宋体" w:hAnsi="宋体" w:eastAsia="宋体" w:cs="Times New Roman"/>
          <w:sz w:val="24"/>
          <w:szCs w:val="24"/>
        </w:rPr>
      </w:r>
      <w:r/>
    </w:p>
    <w:p>
      <w:pPr>
        <w:pStyle w:val="1147"/>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下列关于乙方投标文件，或与本次采购活动方式相适应的文件，以及有关附件是本合同不可分割的组成部分，与本合同具有同等法律效力，这些文件包括但不限于：</w:t>
      </w:r>
      <w:r>
        <w:rPr>
          <w:rFonts w:hint="eastAsia" w:ascii="宋体" w:hAnsi="宋体" w:eastAsia="宋体" w:cs="Times New Roman"/>
          <w:sz w:val="24"/>
          <w:szCs w:val="24"/>
        </w:rPr>
      </w:r>
      <w:r/>
    </w:p>
    <w:p>
      <w:pPr>
        <w:pStyle w:val="1147"/>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（1）项目投标文件；</w:t>
      </w:r>
      <w:r>
        <w:rPr>
          <w:rFonts w:hint="eastAsia" w:ascii="宋体" w:hAnsi="宋体" w:eastAsia="宋体" w:cs="Times New Roman"/>
          <w:sz w:val="24"/>
          <w:szCs w:val="24"/>
        </w:rPr>
      </w:r>
      <w:r/>
    </w:p>
    <w:p>
      <w:pPr>
        <w:pStyle w:val="1147"/>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（2）乙方提供的响应文件和报价表；</w:t>
      </w:r>
      <w:r>
        <w:rPr>
          <w:rFonts w:hint="eastAsia" w:ascii="宋体" w:hAnsi="宋体" w:eastAsia="宋体" w:cs="Times New Roman"/>
          <w:sz w:val="24"/>
          <w:szCs w:val="24"/>
        </w:rPr>
      </w:r>
      <w:r/>
    </w:p>
    <w:p>
      <w:pPr>
        <w:pStyle w:val="1147"/>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（3）乙方投标的其他资料及承诺；</w:t>
      </w:r>
      <w:r>
        <w:rPr>
          <w:rFonts w:hint="eastAsia" w:ascii="宋体" w:hAnsi="宋体" w:eastAsia="宋体" w:cs="Times New Roman"/>
          <w:sz w:val="24"/>
          <w:szCs w:val="24"/>
        </w:rPr>
      </w:r>
      <w:r/>
    </w:p>
    <w:p>
      <w:pPr>
        <w:pStyle w:val="1147"/>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（4）中标通知书；</w:t>
      </w:r>
      <w:r>
        <w:rPr>
          <w:rFonts w:hint="eastAsia" w:ascii="宋体" w:hAnsi="宋体" w:eastAsia="宋体" w:cs="Times New Roman"/>
          <w:sz w:val="24"/>
          <w:szCs w:val="24"/>
        </w:rPr>
      </w:r>
      <w:r/>
    </w:p>
    <w:p>
      <w:pPr>
        <w:pStyle w:val="1147"/>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（5）甲乙双方商定的其他文件等。</w:t>
      </w:r>
      <w:r>
        <w:rPr>
          <w:rFonts w:hint="eastAsia" w:ascii="宋体" w:hAnsi="宋体" w:eastAsia="宋体" w:cs="Times New Roman"/>
          <w:sz w:val="24"/>
          <w:szCs w:val="24"/>
        </w:rPr>
      </w:r>
      <w:r/>
    </w:p>
    <w:p>
      <w:pPr>
        <w:pStyle w:val="1147"/>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七、项目要求</w:t>
      </w:r>
      <w:r>
        <w:rPr>
          <w:rFonts w:hint="eastAsia" w:ascii="宋体" w:hAnsi="宋体" w:eastAsia="宋体" w:cs="Times New Roman"/>
          <w:sz w:val="24"/>
          <w:szCs w:val="24"/>
        </w:rPr>
      </w:r>
      <w:r/>
    </w:p>
    <w:p>
      <w:pPr>
        <w:pStyle w:val="1147"/>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7.1施工要求</w:t>
      </w:r>
      <w:r>
        <w:rPr>
          <w:rFonts w:hint="eastAsia" w:ascii="宋体" w:hAnsi="宋体" w:eastAsia="宋体" w:cs="Times New Roman"/>
          <w:sz w:val="24"/>
          <w:szCs w:val="24"/>
        </w:rPr>
      </w:r>
      <w:r/>
    </w:p>
    <w:p>
      <w:pPr>
        <w:pStyle w:val="1147"/>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7.1.1指派</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为甲方驻工地代表，联系方式：</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，负责合同履行。对工程质量、进度进行监督检查，办理验收、变更、登记手续和其他事宜。</w:t>
      </w:r>
      <w:r>
        <w:rPr>
          <w:rFonts w:hint="eastAsia" w:ascii="宋体" w:hAnsi="宋体" w:eastAsia="宋体" w:cs="Times New Roman"/>
          <w:sz w:val="24"/>
          <w:szCs w:val="24"/>
        </w:rPr>
      </w:r>
      <w:r/>
    </w:p>
    <w:p>
      <w:pPr>
        <w:pStyle w:val="1147"/>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7.1.2委托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监理单位对项目进行管理。</w:t>
      </w:r>
      <w:r>
        <w:rPr>
          <w:rFonts w:hint="eastAsia" w:ascii="宋体" w:hAnsi="宋体" w:eastAsia="宋体" w:cs="Times New Roman"/>
          <w:sz w:val="24"/>
          <w:szCs w:val="24"/>
        </w:rPr>
      </w:r>
      <w:r/>
    </w:p>
    <w:p>
      <w:pPr>
        <w:pStyle w:val="1147"/>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7.1.3乙方按要求参加甲方组织的施工图纸（如有）或作法说明的现场交底，拟定施工方案和进度计划，交甲方审定。</w:t>
      </w:r>
      <w:r>
        <w:rPr>
          <w:rFonts w:hint="eastAsia" w:ascii="宋体" w:hAnsi="宋体" w:eastAsia="宋体" w:cs="Times New Roman"/>
          <w:sz w:val="24"/>
          <w:szCs w:val="24"/>
        </w:rPr>
      </w:r>
      <w:r/>
    </w:p>
    <w:p>
      <w:pPr>
        <w:pStyle w:val="1147"/>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7.1.4指派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 为乙方驻工地代表，联系方式：</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，负责合同履行。按要求组织施工，保质、保量、按期完成施工任务，解决由乙方负责的各项事宜。</w:t>
      </w:r>
      <w:r>
        <w:rPr>
          <w:rFonts w:hint="eastAsia" w:ascii="宋体" w:hAnsi="宋体" w:eastAsia="宋体" w:cs="Times New Roman"/>
          <w:sz w:val="24"/>
          <w:szCs w:val="24"/>
        </w:rPr>
      </w:r>
      <w:r/>
    </w:p>
    <w:p>
      <w:pPr>
        <w:pStyle w:val="1147"/>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7.1.5严格执行施工规范、安全操作规程、防火安全规定。严格按照图纸（如有）或作法说明进行施工，做好各项质量检查记录。参加竣工验收，编制工程结算，绘制竣工图。</w:t>
      </w:r>
      <w:r>
        <w:rPr>
          <w:rFonts w:hint="eastAsia" w:ascii="宋体" w:hAnsi="宋体" w:eastAsia="宋体" w:cs="Times New Roman"/>
          <w:sz w:val="24"/>
          <w:szCs w:val="24"/>
        </w:rPr>
      </w:r>
      <w:r/>
    </w:p>
    <w:p>
      <w:pPr>
        <w:pStyle w:val="1147"/>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7.1.6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r>
        <w:rPr>
          <w:rFonts w:hint="eastAsia" w:ascii="宋体" w:hAnsi="宋体" w:eastAsia="宋体" w:cs="Times New Roman"/>
          <w:sz w:val="24"/>
          <w:szCs w:val="24"/>
        </w:rPr>
      </w:r>
      <w:r/>
    </w:p>
    <w:p>
      <w:pPr>
        <w:pStyle w:val="1147"/>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7.1.7施工过程中引起的绿化损失应及时修复并承担其费用，费用已含在报价中，总价包干。</w:t>
      </w:r>
      <w:r>
        <w:rPr>
          <w:rFonts w:hint="eastAsia" w:ascii="宋体" w:hAnsi="宋体" w:eastAsia="宋体" w:cs="Times New Roman"/>
          <w:sz w:val="24"/>
          <w:szCs w:val="24"/>
        </w:rPr>
      </w:r>
      <w:r/>
    </w:p>
    <w:p>
      <w:pPr>
        <w:pStyle w:val="1147"/>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7.1.8负责做好现场保卫、消防、垃圾处理等工作，并承担相应费用，费用已含在报价中，总价包干。</w:t>
      </w:r>
      <w:r>
        <w:rPr>
          <w:rFonts w:hint="eastAsia" w:ascii="宋体" w:hAnsi="宋体" w:eastAsia="宋体" w:cs="Times New Roman"/>
          <w:sz w:val="24"/>
          <w:szCs w:val="24"/>
        </w:rPr>
      </w:r>
      <w:r/>
    </w:p>
    <w:p>
      <w:pPr>
        <w:pStyle w:val="1147"/>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7.1.9施工中未经甲方同意或有关部门批准，不得随便拆改原建筑物结构及各种设备管线。</w:t>
      </w:r>
      <w:r>
        <w:rPr>
          <w:rFonts w:hint="eastAsia" w:ascii="宋体" w:hAnsi="宋体" w:eastAsia="宋体" w:cs="Times New Roman"/>
          <w:sz w:val="24"/>
          <w:szCs w:val="24"/>
        </w:rPr>
      </w:r>
      <w:r/>
    </w:p>
    <w:p>
      <w:pPr>
        <w:pStyle w:val="1147"/>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7.1.10工程竣工未移交甲方之前，负责对现场的一切设施和工程成品进行保护。</w:t>
      </w:r>
      <w:r>
        <w:rPr>
          <w:rFonts w:hint="eastAsia" w:ascii="宋体" w:hAnsi="宋体" w:eastAsia="宋体" w:cs="Times New Roman"/>
          <w:sz w:val="24"/>
          <w:szCs w:val="24"/>
        </w:rPr>
      </w:r>
      <w:r/>
    </w:p>
    <w:p>
      <w:pPr>
        <w:pStyle w:val="1147"/>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7.1.11甲方有权对现场不称职或不合格的技术负责人、其他人员提出更换，乙方应无条件接受。</w:t>
      </w:r>
      <w:r>
        <w:rPr>
          <w:rFonts w:hint="eastAsia" w:ascii="宋体" w:hAnsi="宋体" w:eastAsia="宋体" w:cs="Times New Roman"/>
          <w:sz w:val="24"/>
          <w:szCs w:val="24"/>
        </w:rPr>
      </w:r>
      <w:r/>
    </w:p>
    <w:p>
      <w:pPr>
        <w:pStyle w:val="1147"/>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7.1.12工地内不安排民工宿舍及办公室。异地搭设临建需租地，其租地费用、交通费用等一切费用及所需承担的责任由乙方负责。现场的材料及设备、工具由乙方保管。</w:t>
      </w:r>
      <w:r>
        <w:rPr>
          <w:rFonts w:hint="eastAsia" w:ascii="宋体" w:hAnsi="宋体" w:eastAsia="宋体" w:cs="Times New Roman"/>
          <w:sz w:val="24"/>
          <w:szCs w:val="24"/>
        </w:rPr>
      </w:r>
      <w:r/>
    </w:p>
    <w:p>
      <w:pPr>
        <w:pStyle w:val="1147"/>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7.1.13乙方应及时办理隐蔽工程和中间工程的检查与验收手续。任一项隐蔽工程的验收未通过甲方的验收，乙方应向甲方支付500元/项的违约金；乙方修复直至通过验收，违约金不返还。若乙方拒缴违约金，甲方有权不支付工程款并要求乙方暂停下部节点的施工。</w:t>
      </w:r>
      <w:r>
        <w:rPr>
          <w:rFonts w:hint="eastAsia" w:ascii="宋体" w:hAnsi="宋体" w:eastAsia="宋体" w:cs="Times New Roman"/>
          <w:sz w:val="24"/>
          <w:szCs w:val="24"/>
        </w:rPr>
      </w:r>
      <w:r/>
    </w:p>
    <w:p>
      <w:pPr>
        <w:pStyle w:val="1147"/>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7.1.14乙方在施工过程中，甲方有权要求对乙方的施工进行适当调整安排，对甲方提出的安排，乙方应积极服从。如乙方拒服从甲方的调整安排，甲方有权对乙方进行相应的经济处罚。</w:t>
      </w:r>
      <w:r>
        <w:rPr>
          <w:rFonts w:hint="eastAsia" w:ascii="宋体" w:hAnsi="宋体" w:eastAsia="宋体" w:cs="Times New Roman"/>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sz w:val="24"/>
          <w:szCs w:val="24"/>
        </w:rPr>
        <w:t xml:space="preserve">7.1.15工程竣工后，乙方应通知甲方验收，甲方自接到验收通知10日内组织验收，并办理验收、移交手续。如甲方在规定时间内未能组织验收，需及时通知乙方，另定验收日期，但甲方应承认竣工日期，但不承担乙方在此期</w:t>
      </w:r>
      <w:r>
        <w:rPr>
          <w:rFonts w:hint="eastAsia" w:ascii="宋体" w:hAnsi="宋体" w:eastAsia="宋体" w:cs="Times New Roman"/>
          <w:color w:val="000000"/>
          <w:sz w:val="24"/>
          <w:szCs w:val="24"/>
        </w:rPr>
        <w:t xml:space="preserve">间的看管等相关费用。</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7.1.16乙方负责完工工程移交甲方之前的维护及保管工作。</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7.1.17材料堆放及现场施工应服从甲方管理，做到材料堆放整齐、规范，施工现场保证工完场地青；保持施工现场整洁、通畅。施工现场严禁打架、斗殴，工作前严禁喝酒，一经发现，乙方应向甲方支付500元/次的违约金，违约金直接在工程款中扣除。</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7.1.18做好现场垃圾处理与清运等工作，并承担费用。</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7.1.19在施工区域设置必要的危险警示牌、灯等，采取警示措施，避免发生伤亡事故，工程施工期间所发生伤亡等一切事故，均由乙方承担，所发生的一切费用均由乙方全部支付。</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7.1.20乙方应随时接受甲方对工程的监督和检查，对不符合规范的施工项目无条件组织返工或整改，所产生的返工或整改的一切费用（含设备、材料、人工、搬运及保管费等），由乙方自行承担。</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7.1.21在项目施工期间，乙方应根据江苏省相关文件规定、现行标准和合同文件关于农民工工伤保险的约定，负责购买农民工工伤保险。如甲方核查后发现其未购买的，则有权中止合同。</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7.2关于材料供应的要求</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7.2.1凡由乙方采购的材料、设备，如不符合质量要求或规格差异，应禁止使用。若已使用，对工程造成的损失由乙方负责。</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7.2.2材料、设备进场前应接受甲方组织的验收，不合格材料及与封样不符的材料标识后，三天内运出场外。场内严禁堆放不合格材料和不符材料，过期不处理的不合格材料和不符材料，甲方有权自行处理，由此造成乙方异议或损失的，甲方不予赔偿。</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7.3安全文明施工</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7.3.1项目安全生产的达标目标及相应事项的约定：</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7.3.1.1 乙方在施工期间须针对周边情况做好防尘降噪工作， 应遵守 《中华人民共和国安全生产法》及地方政府和有关部门对施工场地交通、噪声、污水、现场环境卫生和场外污染等管理规定并办理有关手续。 </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rPr>
        <w:t xml:space="preserve">7.3.1.2乙</w:t>
      </w:r>
      <w:r>
        <w:rPr>
          <w:rFonts w:hint="eastAsia" w:ascii="宋体" w:hAnsi="宋体" w:eastAsia="宋体" w:cs="Times New Roman"/>
          <w:color w:val="000000"/>
          <w:sz w:val="24"/>
          <w:szCs w:val="24"/>
          <w:highlight w:val="none"/>
        </w:rPr>
        <w:t xml:space="preserve">方须做好文明施工、安全生产，在施工过程中应完善文明施工措施，在施工过程中造成的安全事故由乙方承担。 </w:t>
      </w:r>
      <w:r>
        <w:rPr>
          <w:rFonts w:hint="eastAsia" w:ascii="宋体" w:hAnsi="宋体" w:eastAsia="宋体" w:cs="Times New Roman"/>
          <w:color w:val="000000"/>
          <w:sz w:val="24"/>
          <w:szCs w:val="24"/>
          <w:highlight w:val="none"/>
        </w:rPr>
      </w:r>
      <w:r/>
    </w:p>
    <w:p>
      <w:pPr>
        <w:pStyle w:val="1147"/>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7.3.1.3施工现场建筑垃圾管理的相关措施符合《关于进一步加强建筑垃圾管理工作的实施方案》（常政办发【2024】17号）文件要求，相关费用包含在投标报价中。</w:t>
      </w:r>
      <w:r>
        <w:rPr>
          <w:rFonts w:hint="eastAsia" w:ascii="宋体" w:hAnsi="宋体" w:eastAsia="宋体" w:cs="Times New Roman"/>
          <w:color w:val="000000"/>
          <w:sz w:val="24"/>
          <w:szCs w:val="24"/>
          <w:highlight w:val="none"/>
        </w:rPr>
      </w:r>
      <w:r/>
    </w:p>
    <w:p>
      <w:pPr>
        <w:pStyle w:val="1147"/>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7.3.2 关于治安保卫的特别约定：乙方应采取必要的治安保卫措施，并承担因乙方因该项工作不力而造成的相应损失。</w:t>
      </w:r>
      <w:r>
        <w:rPr>
          <w:rFonts w:hint="eastAsia" w:ascii="宋体" w:hAnsi="宋体" w:eastAsia="宋体" w:cs="Times New Roman"/>
          <w:color w:val="000000"/>
          <w:sz w:val="24"/>
          <w:szCs w:val="24"/>
          <w:highlight w:val="none"/>
        </w:rPr>
      </w:r>
      <w:r/>
    </w:p>
    <w:p>
      <w:pPr>
        <w:pStyle w:val="1147"/>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7.3.3 乙方应为参加施工人员购买人身意外伤害险。</w:t>
      </w:r>
      <w:r>
        <w:rPr>
          <w:rFonts w:hint="eastAsia" w:ascii="宋体" w:hAnsi="宋体" w:eastAsia="宋体" w:cs="Times New Roman"/>
          <w:color w:val="000000"/>
          <w:sz w:val="24"/>
          <w:szCs w:val="24"/>
          <w:highlight w:val="none"/>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关于编制施工场地治安管理计划的约定：乙方应在开工7天内编制施工场地治安管理计划。</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7.3.4文明施工</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合同当事人对文明施工的要求：本工程乙方必须按文明工地标准要求，乙方必须服从甲方制定的有关现场安全文明管理规定，并服从甲方、监理的统一管理和协调。乙方应按照甲方、监理要求制定现场安全文明管理制度，并落实各项制度的运行。 </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乙方应保证施工现场符合工程当地建设、规划、环保及城管部门文明施工的有关规定，承担因其自身违反有关规定造成的损失和违约责任。 </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施工场地清洁卫生的要求：遵守环境卫生管理的有关规定，承担因自身原因违反有关规定造成的损失和违约责任；临时设施的搭设需经监理人和甲方批准，并按标准化、文明现场的要求设立标语、标牌，保证施工场地清洁卫生和场地硬化、美化，并承担相关费用。 </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乙方必须严格按照当地建设主管部门的要求，有效控制工程施工扬尘，如发生投诉及主管部门追责，每次由乙方向甲方支付 0.5万元违约金，从乙方工程款中直接扣除。 </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现场生活区与办公区分隔管理，施工现场预制加工区与施工区域分隔；施工区域封闭管理，基坑应做好四周场地硬化、排水沟及护栏的设置、维护、保管、拆除等工作，并承担因其自身原因造成的损坏恢复责任 。</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7.3.5关于安全文明施工费支付比例和支付期限的约定：安全文明施工措施费实施动态计价管理，详见常住建【2021】99 号文。 </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7.4有关维修进度的要求：</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修复时间按收到甲方维修要求时开始算起。其他维修项目具体时间按甲方要求实施， 乙方在接到甲方的维修要求时，需在1小时内安排人员到场并进行修复工作。</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7.5奖励和违约责任</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7.5.1乙方需在甲方要求的时间内完成甲方安排的维修项目，乙方在接到甲方的维修要求时，需在1小时内安排人员到场并进行修复工作。由于乙方原因，逾期完工的，每逾期一次，乙方应向甲方支付500元/次的违约金。</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7.5.2乙方按照甲方要求，全部或部分工程项目达到优良标准。</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7.5.3乙方应妥善保护甲方提供的设备及现场堆放的家具、陈设和工程成品，如造成损失，应按价赔偿。</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7.5.4未经甲方同意，乙方擅自拆改原建筑物结构或设备管线，由此发生的损失或事故（包括违约金），由乙方负责并承担损失。</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7.5.5因一方原因，合同无法继续履行时，应通知对方，办理合同终止协议，并由责任方赔偿对方由此造成的经济损失。</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7.5.6甲方要求乙方的竣工工程质量必须达到合格标准。如果乙方因自身原因未能达到该质量等级，乙方应按预算价的1%向甲方支付违约金。同时，乙方必须负责整改到位，直至符合要求为止，并承担相由此产生的所有费用，同时，赔偿甲方因此造成的损失，赔偿金额双方协商。若乙方无力整改到位，甲方有权指定其他单位负责整改，由此产生的费用由乙方承担。</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八、甲方的权利和义务</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8.1甲方在</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rPr>
        <w:t xml:space="preserve">过程中发现的问题，需及时反馈至乙方；</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8.2负责组织对乙方所完工程进行验收、所完工程量进行核查。若乙方在合同期内未达到管理服务目标，不服从甲方工作安排和要求的，甲方有权终止协议，且甲方无需承担任何赔偿义务。</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九、违约责任</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9.1甲方无正当理由拒绝验收或拒付合同款项的，应向乙方偿付预算价10％的违约金。</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9.2乙方无法完成项目的，应向甲方支付预算价10％的违约金，同时甲方有权解除合同。</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9.3乙方逾期完成项目的，每逾期1天应向甲方偿付逾期交付合同总额0.5％的滞纳金，但滞纳金累计不得超过逾期交付合同总额的5％；一旦滞纳金总额累计达到逾期交付合同总额的5％，甲方有权解除合同。逾期超过服务的采购期限，视乙方无法完成项目，项目自动终止，甲方停止支付剩余款项并按相关条款进行处理，剩余款项包括已经申请但并未支付款项。</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9.4乙方完成的项目不符合要求的，应按照甲方选择的下列一种或多种方式承担赔偿责任：</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9.4.1在甲方同意延长的期限内交付符合要求的提供服务并承担由此给甲方造成的一切损失；逾期未完成或完成的项目仍不符合要求，乙方应向甲方支付预算价10％的违约金，同时甲方有权解除合同。</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9.4.2在甲方规定时间内，修正有缺陷的部分以达到合同规定的要求并承担一切费用和风险，同时承担甲方因此所遭受的全部损失；</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9.4.3按合同规定同种货币退还甲方已付款项，同时承担由此发生的一切损失和费用，包括但不限于利息、银行手续费及所需的其他必要费用。</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9.5乙方未按规定和承诺提供伴随服务、售后服务的，应向甲方支付预算价5％的违约金。</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9.6违约方承担违约责任并不影响其合同项下的义务(合同解除的除外)。</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9.7其他： </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十、其他 </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10.1合同期内，乙方工作人员发生的一切安全事故均由乙方承担，与甲方无关；</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10.2合同期内，乙方必须为其配备的工作人员购买雇主责任险或意外伤害保险，保单有效期应包含本合同有效期，保单复印件交甲方备案。期间变动调整的人员均必须按此执行；</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10.3如出现乙方自身管理或沟通不利使员工通过各类渠道或以其他方式对甲方的声誉造成不利影响，以及因乙方工程质量或员工素质等原因有损甲方的社会公众形象、口碑等情况，乙方必须第一时间负责将不利影响降到最低并及时妥善处理，同时承担由此造成的声誉损失后果。甲方保留从经济、法律或其他形式向乙方追究责任的权利；</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10.4乙方管理中出现下列情况的，甲方有权终止协议，且无需承担任何赔偿义务,由此产生的经济损失和法律责任均由乙方承担：</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10.4.1乙方擅自将服务合同转包或分包给第三人的，以及乙方违反法律法规、规章或其他相关规范性文件的规定，影响合同履行的；</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10.4.2合同期内乙方未达到管理服务目标，且不服从甲方安排；</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10.4.3未按甲方要求配置人员的。</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十一、工程质量及承诺</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乙方对本项目的工程质量等作出如下承诺：________________ </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十二、违约责任</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12.1乙方不履行合同义务或违反履行合同义务约定的，应当承担继续履行、采取补救措施或者赔偿损失等违约责任；</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12.2甲方逾期付款应按照逾期付款金额的每天万分之一支付逾期付款违约金，甲方逾期付款超过十天乙方有权要求甲方另行补偿乙方损失。</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十三、本协议一经协商，甲乙双方签字（盖章）且在代理机构备案后生效，一式六份，甲方执肆份、乙执两份。</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十四、其他未尽事宜由甲、乙双方友好协商，协同解决。</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甲    方：                                乙    方：</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单位名称（章）：                          单位名称（章）：</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法人（或委托代理人）：                    法人（或委托代理人）：    </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电话：                                    电话： </w:t>
      </w:r>
      <w:r>
        <w:rPr>
          <w:rFonts w:hint="eastAsia" w:ascii="宋体" w:hAnsi="宋体" w:eastAsia="宋体" w:cs="Times New Roman"/>
          <w:color w:val="000000"/>
          <w:sz w:val="24"/>
          <w:szCs w:val="24"/>
        </w:rPr>
      </w:r>
      <w:r/>
    </w:p>
    <w:p>
      <w:pPr>
        <w:pStyle w:val="1147"/>
        <w:jc w:val="left"/>
        <w:keepLines/>
        <w:keepNext/>
        <w:spacing w:before="360" w:after="120"/>
        <w:widowControl w:val="off"/>
        <w:rPr>
          <w:rFonts w:hint="eastAsia" w:ascii="宋体" w:hAnsi="Times New Roman" w:eastAsia="宋体" w:cs="Times New Roman"/>
          <w:b/>
          <w:sz w:val="24"/>
          <w:szCs w:val="20"/>
          <w:u w:val="single"/>
          <w:lang w:val="en-US" w:eastAsia="zh-CN" w:bidi="ar-SA"/>
        </w:rPr>
        <w:outlineLvl w:val="2"/>
      </w:pPr>
      <w:r>
        <w:rPr>
          <w:rFonts w:hint="eastAsia" w:ascii="宋体" w:hAnsi="Times New Roman" w:eastAsia="宋体" w:cs="Times New Roman"/>
          <w:b/>
          <w:sz w:val="24"/>
          <w:szCs w:val="20"/>
          <w:u w:val="single"/>
          <w:lang w:val="en-US" w:eastAsia="zh-CN" w:bidi="ar-SA"/>
        </w:rPr>
      </w:r>
      <w:r/>
    </w:p>
    <w:p>
      <w:pPr>
        <w:pStyle w:val="1147"/>
        <w:jc w:val="left"/>
        <w:keepLines/>
        <w:keepNext/>
        <w:spacing w:before="360" w:after="120"/>
        <w:widowControl w:val="off"/>
        <w:rPr>
          <w:rFonts w:hint="eastAsia" w:ascii="宋体" w:hAnsi="Times New Roman" w:eastAsia="宋体" w:cs="Times New Roman"/>
          <w:b/>
          <w:sz w:val="24"/>
          <w:szCs w:val="20"/>
          <w:u w:val="single"/>
          <w:lang w:val="en-US" w:eastAsia="zh-CN" w:bidi="ar-SA"/>
        </w:rPr>
        <w:outlineLvl w:val="2"/>
      </w:pPr>
      <w:r>
        <w:rPr>
          <w:rFonts w:hint="eastAsia" w:ascii="宋体" w:hAnsi="Times New Roman" w:eastAsia="宋体" w:cs="Times New Roman"/>
          <w:b/>
          <w:sz w:val="24"/>
          <w:szCs w:val="20"/>
          <w:u w:val="single"/>
          <w:lang w:val="en-US" w:eastAsia="zh-CN" w:bidi="ar-SA"/>
        </w:rPr>
      </w:r>
      <w:r/>
    </w:p>
    <w:p>
      <w:pPr>
        <w:pStyle w:val="1147"/>
        <w:jc w:val="left"/>
        <w:keepLines/>
        <w:keepNext/>
        <w:spacing w:before="360" w:after="120"/>
        <w:widowControl w:val="off"/>
        <w:rPr>
          <w:rFonts w:hint="eastAsia" w:ascii="宋体" w:hAnsi="Times New Roman" w:eastAsia="宋体" w:cs="Times New Roman"/>
          <w:b/>
          <w:sz w:val="24"/>
          <w:szCs w:val="20"/>
          <w:u w:val="single"/>
          <w:lang w:val="en-US" w:eastAsia="zh-CN" w:bidi="ar-SA"/>
        </w:rPr>
        <w:outlineLvl w:val="2"/>
      </w:pPr>
      <w:r>
        <w:rPr>
          <w:rFonts w:hint="eastAsia" w:ascii="宋体" w:hAnsi="Times New Roman" w:eastAsia="宋体" w:cs="Times New Roman"/>
          <w:b/>
          <w:sz w:val="24"/>
          <w:szCs w:val="20"/>
          <w:u w:val="single"/>
          <w:lang w:val="en-US" w:eastAsia="zh-CN" w:bidi="ar-SA"/>
        </w:rPr>
      </w:r>
      <w:r/>
    </w:p>
    <w:p>
      <w:pPr>
        <w:pStyle w:val="1147"/>
        <w:rPr>
          <w:rFonts w:hint="eastAsia" w:ascii="Times New Roman" w:hAnsi="Times New Roman" w:eastAsia="宋体" w:cs="Times New Roman"/>
        </w:rPr>
      </w:pPr>
      <w:r>
        <w:rPr>
          <w:rFonts w:hint="eastAsia" w:ascii="Times New Roman" w:hAnsi="Times New Roman" w:eastAsia="宋体" w:cs="Times New Roman"/>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附件1：</w:t>
      </w:r>
      <w:r>
        <w:rPr>
          <w:rFonts w:hint="eastAsia" w:ascii="宋体" w:hAnsi="宋体" w:eastAsia="宋体" w:cs="Times New Roman"/>
          <w:color w:val="000000"/>
          <w:sz w:val="24"/>
          <w:szCs w:val="24"/>
        </w:rPr>
      </w:r>
      <w:r/>
    </w:p>
    <w:p>
      <w:pPr>
        <w:pStyle w:val="1147"/>
        <w:jc w:val="center"/>
        <w:spacing w:line="360" w:lineRule="auto"/>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工程质量保修书</w:t>
      </w:r>
      <w:r>
        <w:rPr>
          <w:rFonts w:hint="eastAsia" w:ascii="宋体" w:hAnsi="宋体" w:eastAsia="宋体" w:cs="Times New Roman"/>
          <w:b/>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    采购人（全称）：</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    供应商（全称）：</w:t>
      </w:r>
      <w:r>
        <w:rPr>
          <w:rFonts w:hint="eastAsia" w:ascii="宋体" w:hAnsi="宋体" w:eastAsia="宋体" w:cs="Times New Roman"/>
          <w:color w:val="000000"/>
          <w:sz w:val="24"/>
          <w:szCs w:val="24"/>
        </w:rPr>
      </w:r>
      <w:r/>
    </w:p>
    <w:p>
      <w:pPr>
        <w:pStyle w:val="1147"/>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为保证</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（工程名称）在合理使用期限内正常使用，采购人投标供应商协商一致签订工程质量保修书。投标供应商在质量保修期内按照有关管理规定及双方约定承担工程质量保修责任。</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    一、工程质量保修范围和内容</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   质量保修范围包括招标清单内的所有项目。具体质量保修内容双方约定如下：</w:t>
      </w:r>
      <w:r>
        <w:rPr>
          <w:rFonts w:hint="eastAsia" w:ascii="宋体" w:hAnsi="宋体" w:eastAsia="宋体" w:cs="Times New Roman"/>
          <w:b/>
          <w:color w:val="000000"/>
          <w:sz w:val="24"/>
          <w:szCs w:val="24"/>
          <w:u w:val="single"/>
        </w:rPr>
        <w:t xml:space="preserve">按现行国家有关法律、法规规定的投标供应商所有承包范围内项目工程质量缺陷。</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    二、质量保修期</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    质量保修期从工程实际竣工之日算起。分单项竣工验收的工程，按单项工程分别计算质量保修期。</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    双方根据国家有关规定，结合具体工程约定质量保修期如下。</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    l、土建工程为</w:t>
      </w:r>
      <w:r>
        <w:rPr>
          <w:rFonts w:hint="eastAsia" w:ascii="宋体" w:hAnsi="宋体" w:eastAsia="宋体" w:cs="Times New Roman"/>
          <w:b/>
          <w:color w:val="000000"/>
          <w:sz w:val="24"/>
          <w:szCs w:val="24"/>
          <w:u w:val="single"/>
        </w:rPr>
        <w:t xml:space="preserve">房屋的合理使用</w:t>
      </w:r>
      <w:r>
        <w:rPr>
          <w:rFonts w:hint="eastAsia" w:ascii="宋体" w:hAnsi="宋体" w:eastAsia="宋体" w:cs="Times New Roman"/>
          <w:color w:val="000000"/>
          <w:sz w:val="24"/>
          <w:szCs w:val="24"/>
        </w:rPr>
        <w:t xml:space="preserve">年，屋面防水、墙面、厨房、卫生间渗漏为5年；</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    2、电气管线、上下水管安装工程为</w:t>
      </w:r>
      <w:r>
        <w:rPr>
          <w:rFonts w:hint="eastAsia" w:ascii="宋体" w:hAnsi="宋体" w:eastAsia="宋体" w:cs="Times New Roman"/>
          <w:color w:val="000000"/>
          <w:sz w:val="24"/>
          <w:szCs w:val="24"/>
          <w:u w:val="single"/>
        </w:rPr>
        <w:t xml:space="preserve"> 2 </w:t>
      </w:r>
      <w:r>
        <w:rPr>
          <w:rFonts w:hint="eastAsia" w:ascii="宋体" w:hAnsi="宋体" w:eastAsia="宋体" w:cs="Times New Roman"/>
          <w:color w:val="000000"/>
          <w:sz w:val="24"/>
          <w:szCs w:val="24"/>
        </w:rPr>
        <w:t xml:space="preserve">年；</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    3、供热及制冷为</w:t>
      </w:r>
      <w:r>
        <w:rPr>
          <w:rFonts w:hint="eastAsia" w:ascii="宋体" w:hAnsi="宋体" w:eastAsia="宋体" w:cs="Times New Roman"/>
          <w:color w:val="000000"/>
          <w:sz w:val="24"/>
          <w:szCs w:val="24"/>
          <w:u w:val="single"/>
        </w:rPr>
        <w:t xml:space="preserve"> 2</w:t>
      </w:r>
      <w:r>
        <w:rPr>
          <w:rFonts w:hint="eastAsia" w:ascii="宋体" w:hAnsi="宋体" w:eastAsia="宋体" w:cs="Times New Roman"/>
          <w:color w:val="000000"/>
          <w:sz w:val="24"/>
          <w:szCs w:val="24"/>
        </w:rPr>
        <w:t xml:space="preserve">个采暖期及制冷期；</w:t>
      </w:r>
      <w:r>
        <w:rPr>
          <w:rFonts w:hint="eastAsia" w:ascii="宋体" w:hAnsi="宋体" w:eastAsia="宋体" w:cs="Times New Roman"/>
          <w:color w:val="000000"/>
          <w:sz w:val="24"/>
          <w:szCs w:val="24"/>
        </w:rPr>
      </w:r>
      <w:r/>
    </w:p>
    <w:p>
      <w:pPr>
        <w:pStyle w:val="1147"/>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4、室外的上下水和小区道路等市政公用工程为</w:t>
      </w:r>
      <w:r>
        <w:rPr>
          <w:rFonts w:hint="eastAsia" w:ascii="宋体" w:hAnsi="宋体" w:eastAsia="宋体" w:cs="Times New Roman"/>
          <w:color w:val="000000"/>
          <w:sz w:val="24"/>
          <w:szCs w:val="24"/>
          <w:u w:val="single"/>
        </w:rPr>
        <w:t xml:space="preserve"> 2 </w:t>
      </w:r>
      <w:r>
        <w:rPr>
          <w:rFonts w:hint="eastAsia" w:ascii="宋体" w:hAnsi="宋体" w:eastAsia="宋体" w:cs="Times New Roman"/>
          <w:color w:val="000000"/>
          <w:sz w:val="24"/>
          <w:szCs w:val="24"/>
        </w:rPr>
        <w:t xml:space="preserve">年；</w:t>
      </w:r>
      <w:r>
        <w:rPr>
          <w:rFonts w:hint="eastAsia" w:ascii="宋体" w:hAnsi="宋体" w:eastAsia="宋体" w:cs="Times New Roman"/>
          <w:color w:val="000000"/>
          <w:sz w:val="24"/>
          <w:szCs w:val="24"/>
        </w:rPr>
      </w:r>
      <w:r/>
    </w:p>
    <w:p>
      <w:pPr>
        <w:pStyle w:val="1147"/>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5、本工程质保期为</w:t>
      </w:r>
      <w:r>
        <w:rPr>
          <w:rFonts w:hint="eastAsia" w:ascii="宋体" w:hAnsi="宋体" w:eastAsia="宋体" w:cs="Times New Roman"/>
          <w:color w:val="000000"/>
          <w:sz w:val="24"/>
          <w:szCs w:val="24"/>
          <w:u w:val="single"/>
        </w:rPr>
        <w:t xml:space="preserve">2</w:t>
      </w:r>
      <w:r>
        <w:rPr>
          <w:rFonts w:hint="eastAsia" w:ascii="宋体" w:hAnsi="宋体" w:eastAsia="宋体" w:cs="Times New Roman"/>
          <w:color w:val="000000"/>
          <w:sz w:val="24"/>
          <w:szCs w:val="24"/>
        </w:rPr>
        <w:t xml:space="preserve">年。</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    三、质量保修责任</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    l、属于保修范围和内容的项目，如货物出现质量问题，电话响应无法解决，成交供应商必须在接报修电话 2小时内到达现场,24小时内解决问题。投标供应商不在约定期限内派人修理，采购人可委托其他人员修理，保修费用从质量保修金内扣除。</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    2、发生须紧急抢修事故，投标供应商接到事故通知后，应立即到达事故现场抢修。非投标供应商施工质量引起的事故，抢修费用由采购人承担。</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    3、在国家规定的工程合理使用期限内，投标供应商确保地基基础工程和主体结构的质量。因投标供应商原因致使工程在合理使用期限内造成人身和财产损害的，投标供应商应承担损害赔偿责任。</w:t>
      </w:r>
      <w:r>
        <w:rPr>
          <w:rFonts w:hint="eastAsia" w:ascii="宋体" w:hAnsi="宋体" w:eastAsia="宋体" w:cs="Times New Roman"/>
          <w:color w:val="000000"/>
          <w:sz w:val="24"/>
          <w:szCs w:val="24"/>
        </w:rPr>
      </w:r>
      <w:r/>
    </w:p>
    <w:p>
      <w:pPr>
        <w:pStyle w:val="1147"/>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rPr>
        <w:t xml:space="preserve">四</w:t>
      </w:r>
      <w:r>
        <w:rPr>
          <w:rFonts w:hint="eastAsia" w:ascii="宋体" w:hAnsi="宋体" w:eastAsia="宋体" w:cs="Times New Roman"/>
          <w:color w:val="000000"/>
          <w:sz w:val="24"/>
          <w:szCs w:val="24"/>
          <w:highlight w:val="none"/>
        </w:rPr>
        <w:t xml:space="preserve">、质量保修金的支付</w:t>
      </w:r>
      <w:r>
        <w:rPr>
          <w:rFonts w:hint="eastAsia" w:ascii="宋体" w:hAnsi="宋体" w:eastAsia="宋体" w:cs="Times New Roman"/>
          <w:color w:val="000000"/>
          <w:sz w:val="24"/>
          <w:szCs w:val="24"/>
          <w:highlight w:val="none"/>
        </w:rPr>
      </w:r>
      <w:r/>
    </w:p>
    <w:p>
      <w:pPr>
        <w:pStyle w:val="1147"/>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本工程约定的工程质量保修金为施工合同价款的 3 %。</w:t>
      </w:r>
      <w:r>
        <w:rPr>
          <w:rFonts w:hint="eastAsia" w:ascii="宋体" w:hAnsi="宋体" w:eastAsia="宋体" w:cs="Times New Roman"/>
          <w:color w:val="000000"/>
          <w:sz w:val="24"/>
          <w:szCs w:val="24"/>
        </w:rPr>
      </w:r>
      <w:r/>
    </w:p>
    <w:p>
      <w:pPr>
        <w:pStyle w:val="1147"/>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五、质量保修金的返还</w:t>
      </w:r>
      <w:r>
        <w:rPr>
          <w:rFonts w:hint="eastAsia" w:ascii="宋体" w:hAnsi="宋体" w:eastAsia="宋体" w:cs="Times New Roman"/>
          <w:color w:val="000000"/>
          <w:sz w:val="24"/>
          <w:szCs w:val="24"/>
        </w:rPr>
      </w:r>
      <w:r/>
    </w:p>
    <w:p>
      <w:pPr>
        <w:pStyle w:val="1147"/>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采购人</w:t>
      </w:r>
      <w:r>
        <w:rPr>
          <w:rFonts w:hint="eastAsia" w:ascii="宋体" w:hAnsi="宋体" w:eastAsia="宋体" w:cs="Times New Roman"/>
          <w:color w:val="000000"/>
          <w:sz w:val="24"/>
          <w:szCs w:val="24"/>
          <w:highlight w:val="none"/>
        </w:rPr>
        <w:t xml:space="preserve">在质量保修期满后1</w:t>
      </w:r>
      <w:r>
        <w:rPr>
          <w:rFonts w:hint="eastAsia" w:ascii="宋体" w:hAnsi="宋体" w:eastAsia="宋体" w:cs="Times New Roman"/>
          <w:color w:val="000000"/>
          <w:sz w:val="24"/>
          <w:szCs w:val="24"/>
        </w:rPr>
        <w:t xml:space="preserve">4天内。将剩余保修金（无息）返还投标供应商。</w:t>
      </w:r>
      <w:r>
        <w:rPr>
          <w:rFonts w:hint="eastAsia" w:ascii="宋体" w:hAnsi="宋体" w:eastAsia="宋体" w:cs="Times New Roman"/>
          <w:color w:val="000000"/>
          <w:sz w:val="24"/>
          <w:szCs w:val="24"/>
        </w:rPr>
      </w:r>
      <w:r/>
    </w:p>
    <w:p>
      <w:pPr>
        <w:pStyle w:val="1147"/>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六、其他</w:t>
      </w:r>
      <w:r>
        <w:rPr>
          <w:rFonts w:hint="eastAsia" w:ascii="宋体" w:hAnsi="宋体" w:eastAsia="宋体" w:cs="Times New Roman"/>
          <w:color w:val="000000"/>
          <w:sz w:val="24"/>
          <w:szCs w:val="24"/>
        </w:rPr>
      </w:r>
      <w:r/>
    </w:p>
    <w:p>
      <w:pPr>
        <w:pStyle w:val="1147"/>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双方约定的其他工程质量保修事项：   /   。</w:t>
      </w:r>
      <w:r>
        <w:rPr>
          <w:rFonts w:hint="eastAsia" w:ascii="宋体" w:hAnsi="宋体" w:eastAsia="宋体" w:cs="Times New Roman"/>
          <w:color w:val="000000"/>
          <w:sz w:val="24"/>
          <w:szCs w:val="24"/>
        </w:rPr>
      </w:r>
      <w:r/>
    </w:p>
    <w:p>
      <w:pPr>
        <w:pStyle w:val="1147"/>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本工程质量保修书作为施工合同附件，与施工合同具有同等效力。 </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 </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采购人：(公章)                        供应商：(公章)</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地  址：                              地  址：</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法定代表人（签字）：                  法定代表人（签字）：</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委托代理人（签字）：                  委托代理人（签字）：</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电  话：                              电  话：</w:t>
      </w:r>
      <w:r>
        <w:rPr>
          <w:rFonts w:hint="eastAsia" w:ascii="宋体" w:hAnsi="宋体" w:eastAsia="宋体" w:cs="Times New Roman"/>
          <w:color w:val="000000"/>
          <w:sz w:val="24"/>
          <w:szCs w:val="24"/>
        </w:rPr>
      </w:r>
      <w:r/>
    </w:p>
    <w:p>
      <w:pPr>
        <w:pStyle w:val="1147"/>
        <w:ind w:firstLine="429"/>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 </w:t>
      </w:r>
      <w:r>
        <w:rPr>
          <w:rFonts w:hint="eastAsia" w:ascii="宋体" w:hAnsi="宋体" w:eastAsia="宋体" w:cs="Times New Roman"/>
          <w:color w:val="000000"/>
          <w:sz w:val="24"/>
          <w:szCs w:val="24"/>
        </w:rPr>
      </w:r>
      <w:r/>
    </w:p>
    <w:p>
      <w:pPr>
        <w:pStyle w:val="1147"/>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pStyle w:val="1147"/>
        <w:ind w:firstLine="480"/>
        <w:jc w:val="both"/>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1147"/>
        <w:rPr>
          <w:rFonts w:hint="eastAsia" w:ascii="宋体" w:hAnsi="宋体" w:eastAsia="宋体" w:cs="Times New Roman"/>
          <w:sz w:val="24"/>
          <w:szCs w:val="24"/>
        </w:rPr>
      </w:pPr>
      <w:r>
        <w:rPr>
          <w:rFonts w:hint="eastAsia" w:ascii="宋体" w:hAnsi="宋体" w:eastAsia="宋体" w:cs="Times New Roman"/>
          <w:sz w:val="24"/>
          <w:szCs w:val="24"/>
        </w:rPr>
      </w:r>
      <w:r/>
    </w:p>
    <w:p>
      <w:pPr>
        <w:pStyle w:val="1147"/>
        <w:ind w:firstLine="480"/>
        <w:jc w:val="both"/>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1147"/>
        <w:rPr>
          <w:rFonts w:hint="eastAsia" w:ascii="宋体" w:hAnsi="宋体" w:eastAsia="宋体" w:cs="Times New Roman"/>
          <w:sz w:val="24"/>
          <w:szCs w:val="24"/>
        </w:rPr>
      </w:pPr>
      <w:r>
        <w:rPr>
          <w:rFonts w:hint="eastAsia" w:ascii="宋体" w:hAnsi="宋体" w:eastAsia="宋体" w:cs="Times New Roman"/>
          <w:sz w:val="24"/>
          <w:szCs w:val="24"/>
        </w:rPr>
      </w:r>
      <w:r/>
    </w:p>
    <w:p>
      <w:pPr>
        <w:pStyle w:val="1147"/>
        <w:ind w:firstLine="480"/>
        <w:jc w:val="both"/>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1147"/>
        <w:rPr>
          <w:rFonts w:hint="eastAsia" w:ascii="宋体" w:hAnsi="宋体" w:eastAsia="宋体" w:cs="Times New Roman"/>
          <w:sz w:val="24"/>
          <w:szCs w:val="24"/>
        </w:rPr>
      </w:pPr>
      <w:r>
        <w:rPr>
          <w:rFonts w:hint="eastAsia" w:ascii="宋体" w:hAnsi="宋体" w:eastAsia="宋体" w:cs="Times New Roman"/>
          <w:sz w:val="24"/>
          <w:szCs w:val="24"/>
        </w:rPr>
      </w:r>
      <w:r/>
    </w:p>
    <w:p>
      <w:pPr>
        <w:pStyle w:val="1147"/>
        <w:ind w:firstLine="480"/>
        <w:jc w:val="both"/>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1147"/>
        <w:rPr>
          <w:rFonts w:hint="eastAsia" w:ascii="宋体" w:hAnsi="宋体" w:eastAsia="宋体" w:cs="Times New Roman"/>
          <w:sz w:val="24"/>
          <w:szCs w:val="24"/>
        </w:rPr>
      </w:pPr>
      <w:r>
        <w:rPr>
          <w:rFonts w:hint="eastAsia" w:ascii="宋体" w:hAnsi="宋体" w:eastAsia="宋体" w:cs="Times New Roman"/>
          <w:sz w:val="24"/>
          <w:szCs w:val="24"/>
        </w:rPr>
      </w:r>
      <w:r/>
    </w:p>
    <w:p>
      <w:pPr>
        <w:pStyle w:val="1147"/>
        <w:ind w:firstLine="480"/>
        <w:jc w:val="both"/>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1147"/>
        <w:rPr>
          <w:rFonts w:hint="eastAsia" w:ascii="宋体" w:hAnsi="宋体" w:eastAsia="宋体" w:cs="Times New Roman"/>
          <w:sz w:val="24"/>
          <w:szCs w:val="24"/>
        </w:rPr>
      </w:pPr>
      <w:r>
        <w:rPr>
          <w:rFonts w:hint="eastAsia" w:ascii="宋体" w:hAnsi="宋体" w:eastAsia="宋体" w:cs="Times New Roman"/>
          <w:sz w:val="24"/>
          <w:szCs w:val="24"/>
        </w:rPr>
      </w:r>
      <w:r/>
    </w:p>
    <w:p>
      <w:pPr>
        <w:pStyle w:val="1147"/>
        <w:ind w:firstLine="480"/>
        <w:jc w:val="both"/>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1147"/>
        <w:rPr>
          <w:rFonts w:hint="eastAsia" w:ascii="宋体" w:hAnsi="宋体" w:eastAsia="宋体" w:cs="Times New Roman"/>
          <w:sz w:val="24"/>
          <w:szCs w:val="24"/>
        </w:rPr>
      </w:pPr>
      <w:r>
        <w:rPr>
          <w:rFonts w:hint="eastAsia" w:ascii="宋体" w:hAnsi="宋体" w:eastAsia="宋体" w:cs="Times New Roman"/>
          <w:sz w:val="24"/>
          <w:szCs w:val="24"/>
        </w:rPr>
      </w:r>
      <w:r/>
    </w:p>
    <w:p>
      <w:pPr>
        <w:pStyle w:val="1147"/>
        <w:ind w:firstLine="480"/>
        <w:jc w:val="both"/>
        <w:spacing w:line="360" w:lineRule="auto"/>
        <w:rPr>
          <w:rFonts w:hint="eastAsia" w:ascii="宋体" w:hAnsi="Times New Roman" w:eastAsia="宋体" w:cs="Times New Roman"/>
          <w:sz w:val="24"/>
          <w:szCs w:val="22"/>
          <w:lang w:val="en-US" w:eastAsia="zh-CN" w:bidi="ar-SA"/>
        </w:rPr>
      </w:pPr>
      <w:r>
        <w:rPr>
          <w:rFonts w:hint="eastAsia" w:ascii="宋体" w:hAnsi="Times New Roman" w:eastAsia="宋体" w:cs="Times New Roman"/>
          <w:sz w:val="24"/>
          <w:szCs w:val="22"/>
          <w:lang w:val="en-US" w:eastAsia="zh-CN" w:bidi="ar-SA"/>
        </w:rPr>
      </w:r>
      <w:r/>
    </w:p>
    <w:p>
      <w:pPr>
        <w:pStyle w:val="1147"/>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pStyle w:val="1147"/>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pStyle w:val="1147"/>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pStyle w:val="1147"/>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pStyle w:val="1147"/>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pStyle w:val="1147"/>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pStyle w:val="1147"/>
        <w:spacing w:line="360" w:lineRule="auto"/>
        <w:rPr>
          <w:rFonts w:hint="eastAsia" w:ascii="Times New Roman" w:hAnsi="Times New Roman" w:eastAsia="宋体" w:cs="Times New Roman"/>
          <w:sz w:val="24"/>
          <w:szCs w:val="24"/>
        </w:rPr>
      </w:pPr>
      <w:r>
        <w:rPr>
          <w:rFonts w:hint="eastAsia" w:ascii="宋体" w:hAnsi="宋体" w:eastAsia="宋体" w:cs="Times New Roman"/>
          <w:sz w:val="24"/>
          <w:szCs w:val="24"/>
        </w:rPr>
        <w:t xml:space="preserve">附件</w:t>
      </w:r>
      <w:r>
        <w:rPr>
          <w:rFonts w:hint="eastAsia" w:ascii="Times New Roman" w:hAnsi="Times New Roman" w:eastAsia="宋体" w:cs="Times New Roman"/>
          <w:sz w:val="24"/>
          <w:szCs w:val="24"/>
        </w:rPr>
        <w:t xml:space="preserve">2</w:t>
      </w:r>
      <w:r>
        <w:rPr>
          <w:rFonts w:hint="eastAsia" w:ascii="宋体" w:hAnsi="宋体" w:eastAsia="宋体" w:cs="Times New Roman"/>
          <w:sz w:val="24"/>
          <w:szCs w:val="24"/>
        </w:rPr>
        <w:t xml:space="preserve">：</w:t>
      </w:r>
      <w:r>
        <w:rPr>
          <w:rFonts w:hint="eastAsia" w:ascii="Times New Roman" w:hAnsi="Times New Roman" w:eastAsia="宋体" w:cs="Times New Roman"/>
          <w:sz w:val="24"/>
          <w:szCs w:val="24"/>
        </w:rPr>
      </w:r>
      <w:r/>
    </w:p>
    <w:p>
      <w:pPr>
        <w:pStyle w:val="1147"/>
        <w:jc w:val="center"/>
        <w:spacing w:line="360" w:lineRule="auto"/>
        <w:rPr>
          <w:rFonts w:ascii="宋体" w:hAnsi="宋体" w:eastAsia="宋体" w:cs="Times New Roman"/>
          <w:b/>
          <w:sz w:val="24"/>
          <w:szCs w:val="24"/>
        </w:rPr>
      </w:pPr>
      <w:r>
        <w:rPr>
          <w:rFonts w:hint="eastAsia" w:ascii="宋体" w:hAnsi="宋体" w:eastAsia="宋体" w:cs="Times New Roman"/>
          <w:b/>
          <w:sz w:val="24"/>
          <w:szCs w:val="24"/>
        </w:rPr>
        <w:t xml:space="preserve">工程安全生产合同</w:t>
      </w:r>
      <w:r>
        <w:rPr>
          <w:rFonts w:ascii="宋体" w:hAnsi="宋体" w:eastAsia="宋体" w:cs="Times New Roman"/>
          <w:b/>
          <w:sz w:val="24"/>
          <w:szCs w:val="24"/>
        </w:rPr>
      </w:r>
      <w:r/>
    </w:p>
    <w:p>
      <w:pPr>
        <w:pStyle w:val="1147"/>
        <w:ind w:firstLine="480"/>
        <w:spacing w:line="360" w:lineRule="auto"/>
        <w:rPr>
          <w:rFonts w:hint="eastAsia" w:ascii="Times New Roman" w:hAnsi="Times New Roman" w:eastAsia="宋体" w:cs="Times New Roman"/>
          <w:sz w:val="24"/>
          <w:szCs w:val="24"/>
          <w:u w:val="single"/>
        </w:rPr>
      </w:pPr>
      <w:r>
        <w:rPr>
          <w:rFonts w:hint="eastAsia" w:ascii="宋体" w:hAnsi="宋体" w:eastAsia="宋体" w:cs="Times New Roman"/>
          <w:sz w:val="24"/>
          <w:szCs w:val="24"/>
        </w:rPr>
        <w:t xml:space="preserve">采购人：</w:t>
      </w:r>
      <w:r>
        <w:rPr>
          <w:rFonts w:hint="eastAsia" w:ascii="Times New Roman" w:hAnsi="Times New Roman" w:eastAsia="宋体" w:cs="Times New Roman"/>
          <w:sz w:val="24"/>
          <w:szCs w:val="24"/>
          <w:u w:val="single"/>
        </w:rPr>
      </w:r>
      <w:r/>
    </w:p>
    <w:p>
      <w:pPr>
        <w:pStyle w:val="1147"/>
        <w:ind w:firstLine="480"/>
        <w:spacing w:line="360" w:lineRule="auto"/>
        <w:rPr>
          <w:rFonts w:ascii="Times New Roman" w:hAnsi="Times New Roman" w:eastAsia="宋体" w:cs="Times New Roman"/>
          <w:sz w:val="24"/>
          <w:szCs w:val="24"/>
        </w:rPr>
      </w:pPr>
      <w:r>
        <w:rPr>
          <w:rFonts w:hint="eastAsia" w:ascii="宋体" w:hAnsi="宋体" w:eastAsia="宋体" w:cs="Times New Roman"/>
          <w:sz w:val="24"/>
          <w:szCs w:val="24"/>
        </w:rPr>
        <w:t xml:space="preserve">供应商：</w:t>
      </w:r>
      <w:r>
        <w:rPr>
          <w:rFonts w:ascii="Times New Roman" w:hAnsi="Times New Roman" w:eastAsia="宋体" w:cs="Times New Roman"/>
          <w:sz w:val="24"/>
          <w:szCs w:val="24"/>
        </w:rPr>
      </w:r>
      <w:r/>
    </w:p>
    <w:p>
      <w:pPr>
        <w:pStyle w:val="1147"/>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为在施工合同的实施过程中创造安全、高效的施工环境，切实搞好本项目的安全管理工作，项目实施过程中达到“零责任事故，无人员重伤、无人员死亡事故”的安全目标，特此签订安全生产合同。具体如下：</w:t>
      </w:r>
      <w:r>
        <w:rPr>
          <w:rFonts w:hint="eastAsia" w:ascii="宋体" w:hAnsi="宋体" w:eastAsia="宋体" w:cs="Times New Roman"/>
          <w:sz w:val="24"/>
          <w:szCs w:val="24"/>
        </w:rPr>
      </w:r>
      <w:r/>
    </w:p>
    <w:p>
      <w:pPr>
        <w:pStyle w:val="1147"/>
        <w:ind w:firstLine="480"/>
        <w:spacing w:line="360" w:lineRule="auto"/>
        <w:rPr>
          <w:rFonts w:hint="eastAsia" w:ascii="Times New Roman" w:hAnsi="Times New Roman" w:eastAsia="宋体" w:cs="Times New Roman"/>
          <w:sz w:val="24"/>
          <w:szCs w:val="24"/>
        </w:rPr>
      </w:pPr>
      <w:r>
        <w:rPr>
          <w:rFonts w:hint="eastAsia" w:ascii="宋体" w:hAnsi="宋体" w:eastAsia="宋体" w:cs="Times New Roman"/>
          <w:sz w:val="24"/>
          <w:szCs w:val="24"/>
        </w:rPr>
        <w:t xml:space="preserve">一、采购人职责</w:t>
      </w:r>
      <w:r>
        <w:rPr>
          <w:rFonts w:hint="eastAsia" w:ascii="Times New Roman" w:hAnsi="Times New Roman" w:eastAsia="宋体" w:cs="Times New Roman"/>
          <w:sz w:val="24"/>
          <w:szCs w:val="24"/>
        </w:rPr>
      </w:r>
      <w:r/>
    </w:p>
    <w:p>
      <w:pPr>
        <w:pStyle w:val="1147"/>
        <w:ind w:firstLine="480"/>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宋体" w:hAnsi="宋体" w:eastAsia="宋体" w:cs="Times New Roman"/>
          <w:sz w:val="24"/>
          <w:szCs w:val="24"/>
        </w:rPr>
        <w:t xml:space="preserve">．严格遵守国家有关安全生产的法律法规，认真执行工程承包合同中的有关安全要求。</w:t>
      </w:r>
      <w:r>
        <w:rPr>
          <w:rFonts w:hint="eastAsia" w:ascii="Times New Roman" w:hAnsi="Times New Roman" w:eastAsia="宋体" w:cs="Times New Roman"/>
          <w:sz w:val="24"/>
          <w:szCs w:val="24"/>
        </w:rPr>
      </w:r>
      <w:r/>
    </w:p>
    <w:p>
      <w:pPr>
        <w:pStyle w:val="1147"/>
        <w:ind w:firstLine="480"/>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宋体" w:hAnsi="宋体" w:eastAsia="宋体" w:cs="Times New Roman"/>
          <w:sz w:val="24"/>
          <w:szCs w:val="24"/>
        </w:rPr>
        <w:t xml:space="preserve">．按照“安全第一、预防为主”和坚持“管生产必需管安全”的原则进行安全生产管理，做到生产与安全工作同时计划、布置、检查、总结和评比。</w:t>
      </w:r>
      <w:r>
        <w:rPr>
          <w:rFonts w:hint="eastAsia" w:ascii="Times New Roman" w:hAnsi="Times New Roman" w:eastAsia="宋体" w:cs="Times New Roman"/>
          <w:sz w:val="24"/>
          <w:szCs w:val="24"/>
        </w:rPr>
      </w:r>
      <w:r/>
    </w:p>
    <w:p>
      <w:pPr>
        <w:pStyle w:val="1147"/>
        <w:ind w:firstLine="480"/>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宋体" w:hAnsi="宋体" w:eastAsia="宋体" w:cs="Times New Roman"/>
          <w:sz w:val="24"/>
          <w:szCs w:val="24"/>
        </w:rPr>
        <w:t xml:space="preserve">．传达中央及地方有关安全生产的精神。</w:t>
      </w:r>
      <w:r>
        <w:rPr>
          <w:rFonts w:hint="eastAsia" w:ascii="Times New Roman" w:hAnsi="Times New Roman" w:eastAsia="宋体" w:cs="Times New Roman"/>
          <w:sz w:val="24"/>
          <w:szCs w:val="24"/>
        </w:rPr>
      </w:r>
      <w:r/>
    </w:p>
    <w:p>
      <w:pPr>
        <w:pStyle w:val="1147"/>
        <w:ind w:firstLine="480"/>
        <w:spacing w:line="360" w:lineRule="auto"/>
        <w:rPr>
          <w:rFonts w:hint="eastAsia" w:ascii="宋体" w:hAnsi="宋体" w:eastAsia="宋体" w:cs="Times New Roman"/>
          <w:sz w:val="24"/>
          <w:szCs w:val="24"/>
        </w:rPr>
      </w:pPr>
      <w:r>
        <w:rPr>
          <w:rFonts w:hint="eastAsia" w:ascii="Times New Roman" w:hAnsi="Times New Roman" w:eastAsia="宋体" w:cs="Times New Roman"/>
          <w:sz w:val="24"/>
          <w:szCs w:val="24"/>
        </w:rPr>
        <w:t xml:space="preserve">4</w:t>
      </w:r>
      <w:r>
        <w:rPr>
          <w:rFonts w:hint="eastAsia" w:ascii="宋体" w:hAnsi="宋体" w:eastAsia="宋体" w:cs="Times New Roman"/>
          <w:sz w:val="24"/>
          <w:szCs w:val="24"/>
        </w:rPr>
        <w:t xml:space="preserve">．组织对供应商施工现场安全生产检查，监督供应商及时处理发现的各种安全隐患。</w:t>
      </w:r>
      <w:r>
        <w:rPr>
          <w:rFonts w:hint="eastAsia" w:ascii="宋体" w:hAnsi="宋体" w:eastAsia="宋体" w:cs="Times New Roman"/>
          <w:sz w:val="24"/>
          <w:szCs w:val="24"/>
        </w:rPr>
      </w:r>
      <w:r/>
    </w:p>
    <w:p>
      <w:pPr>
        <w:pStyle w:val="1147"/>
        <w:ind w:firstLine="480"/>
        <w:spacing w:line="360" w:lineRule="auto"/>
        <w:rPr>
          <w:rFonts w:hint="eastAsia" w:ascii="Times New Roman" w:hAnsi="Times New Roman" w:eastAsia="宋体" w:cs="Times New Roman"/>
          <w:sz w:val="24"/>
          <w:szCs w:val="24"/>
        </w:rPr>
      </w:pPr>
      <w:r>
        <w:rPr>
          <w:rFonts w:hint="eastAsia" w:ascii="宋体" w:hAnsi="宋体" w:eastAsia="宋体" w:cs="Times New Roman"/>
          <w:sz w:val="24"/>
          <w:szCs w:val="24"/>
        </w:rPr>
        <w:t xml:space="preserve">二、供应商职责</w:t>
      </w:r>
      <w:r>
        <w:rPr>
          <w:rFonts w:hint="eastAsia" w:ascii="Times New Roman" w:hAnsi="Times New Roman" w:eastAsia="宋体" w:cs="Times New Roman"/>
          <w:sz w:val="24"/>
          <w:szCs w:val="24"/>
        </w:rPr>
      </w:r>
      <w:r/>
    </w:p>
    <w:p>
      <w:pPr>
        <w:pStyle w:val="1147"/>
        <w:ind w:firstLine="480"/>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宋体" w:hAnsi="宋体" w:eastAsia="宋体" w:cs="Times New Roman"/>
          <w:sz w:val="24"/>
          <w:szCs w:val="24"/>
        </w:rPr>
        <w:t xml:space="preserve">．严格遵守国家有关安全生产的法律法规、有关安全生产的规定，认真执行工程承包合同中的有关安全要求，接受采购人和监理工程师对安全生产工作的指导。</w:t>
      </w:r>
      <w:r>
        <w:rPr>
          <w:rFonts w:hint="eastAsia" w:ascii="Times New Roman" w:hAnsi="Times New Roman" w:eastAsia="宋体" w:cs="Times New Roman"/>
          <w:sz w:val="24"/>
          <w:szCs w:val="24"/>
        </w:rPr>
      </w:r>
      <w:r/>
    </w:p>
    <w:p>
      <w:pPr>
        <w:pStyle w:val="1147"/>
        <w:ind w:firstLine="480"/>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宋体" w:hAnsi="宋体" w:eastAsia="宋体" w:cs="Times New Roman"/>
          <w:sz w:val="24"/>
          <w:szCs w:val="24"/>
        </w:rPr>
        <w:t xml:space="preserve">．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ascii="Times New Roman" w:hAnsi="Times New Roman" w:eastAsia="宋体" w:cs="Times New Roman"/>
          <w:sz w:val="24"/>
          <w:szCs w:val="24"/>
        </w:rPr>
      </w:r>
      <w:r/>
    </w:p>
    <w:p>
      <w:pPr>
        <w:pStyle w:val="1147"/>
        <w:ind w:firstLine="480"/>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宋体" w:hAnsi="宋体" w:eastAsia="宋体" w:cs="Times New Roman"/>
          <w:sz w:val="24"/>
          <w:szCs w:val="24"/>
        </w:rPr>
        <w:t xml:space="preserve">．建立健全安全生产责任制网络。从派往项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w:t>
      </w:r>
      <w:r>
        <w:rPr>
          <w:rFonts w:hint="eastAsia" w:ascii="Times New Roman" w:hAnsi="Times New Roman" w:eastAsia="宋体" w:cs="Times New Roman"/>
          <w:sz w:val="24"/>
          <w:szCs w:val="24"/>
        </w:rPr>
        <w:t xml:space="preserve">1</w:t>
      </w:r>
      <w:r>
        <w:rPr>
          <w:rFonts w:hint="eastAsia" w:ascii="宋体" w:hAnsi="宋体" w:eastAsia="宋体" w:cs="Times New Roman"/>
          <w:sz w:val="24"/>
          <w:szCs w:val="24"/>
        </w:rPr>
        <w:t xml:space="preserve">人），专职负责所有员工的安全和治安保卫工作及预防事故的发生。安全机构人员，有权按有关规定发布指令，并采取保护性措施防止事故发生。</w:t>
      </w:r>
      <w:r>
        <w:rPr>
          <w:rFonts w:hint="eastAsia" w:ascii="Times New Roman" w:hAnsi="Times New Roman" w:eastAsia="宋体" w:cs="Times New Roman"/>
          <w:sz w:val="24"/>
          <w:szCs w:val="24"/>
        </w:rPr>
      </w:r>
      <w:r/>
    </w:p>
    <w:p>
      <w:pPr>
        <w:pStyle w:val="1147"/>
        <w:ind w:firstLine="480"/>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hint="eastAsia" w:ascii="宋体" w:hAnsi="宋体" w:eastAsia="宋体" w:cs="Times New Roman"/>
          <w:sz w:val="24"/>
          <w:szCs w:val="24"/>
        </w:rPr>
        <w:t xml:space="preserve">．供应商在任何时侯都应采取各种合理的预防措施，防止其人员发生任何违法、违禁、暴力、违规或妨碍治安的行为。</w:t>
      </w:r>
      <w:r>
        <w:rPr>
          <w:rFonts w:hint="eastAsia" w:ascii="Times New Roman" w:hAnsi="Times New Roman" w:eastAsia="宋体" w:cs="Times New Roman"/>
          <w:sz w:val="24"/>
          <w:szCs w:val="24"/>
        </w:rPr>
      </w:r>
      <w:r/>
    </w:p>
    <w:p>
      <w:pPr>
        <w:pStyle w:val="1147"/>
        <w:ind w:firstLine="480"/>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hint="eastAsia" w:ascii="宋体" w:hAnsi="宋体" w:eastAsia="宋体" w:cs="Times New Roman"/>
          <w:sz w:val="24"/>
          <w:szCs w:val="24"/>
        </w:rPr>
        <w:t xml:space="preserve">．供应商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rPr>
          <w:rFonts w:hint="eastAsia" w:ascii="Times New Roman" w:hAnsi="Times New Roman" w:eastAsia="宋体" w:cs="Times New Roman"/>
          <w:sz w:val="24"/>
          <w:szCs w:val="24"/>
        </w:rPr>
      </w:r>
      <w:r/>
    </w:p>
    <w:p>
      <w:pPr>
        <w:pStyle w:val="1147"/>
        <w:ind w:firstLine="480"/>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hint="eastAsia" w:ascii="宋体" w:hAnsi="宋体" w:eastAsia="宋体" w:cs="Times New Roman"/>
          <w:sz w:val="24"/>
          <w:szCs w:val="24"/>
        </w:rPr>
        <w:t xml:space="preserve">．加强施工中交通运输安全管理，各种运输机械等需划定运输路线行驶。</w:t>
      </w:r>
      <w:r>
        <w:rPr>
          <w:rFonts w:hint="eastAsia" w:ascii="Times New Roman" w:hAnsi="Times New Roman" w:eastAsia="宋体" w:cs="Times New Roman"/>
          <w:sz w:val="24"/>
          <w:szCs w:val="24"/>
        </w:rPr>
      </w:r>
      <w:r/>
    </w:p>
    <w:p>
      <w:pPr>
        <w:pStyle w:val="1147"/>
        <w:ind w:firstLine="480"/>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7</w:t>
      </w:r>
      <w:r>
        <w:rPr>
          <w:rFonts w:hint="eastAsia" w:ascii="宋体" w:hAnsi="宋体" w:eastAsia="宋体" w:cs="Times New Roman"/>
          <w:sz w:val="24"/>
          <w:szCs w:val="24"/>
        </w:rPr>
        <w:t xml:space="preserve">．对于易燃易爆的材料除应专门有效封闭、妥善保管之外，还应配备有足够的消防设施，所有施工人员都应熟悉消防设备的性能和使用方法。</w:t>
      </w:r>
      <w:r>
        <w:rPr>
          <w:rFonts w:hint="eastAsia" w:ascii="Times New Roman" w:hAnsi="Times New Roman" w:eastAsia="宋体" w:cs="Times New Roman"/>
          <w:sz w:val="24"/>
          <w:szCs w:val="24"/>
        </w:rPr>
      </w:r>
      <w:r/>
    </w:p>
    <w:p>
      <w:pPr>
        <w:pStyle w:val="1147"/>
        <w:ind w:firstLine="480"/>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8</w:t>
      </w:r>
      <w:r>
        <w:rPr>
          <w:rFonts w:hint="eastAsia" w:ascii="宋体" w:hAnsi="宋体" w:eastAsia="宋体" w:cs="Times New Roman"/>
          <w:sz w:val="24"/>
          <w:szCs w:val="24"/>
        </w:rPr>
        <w:t xml:space="preserve">．操作人员上岗，必须按规定穿戴防护用品。施工负责人和安全检查员应随时检查劳动防护用品的穿戴情况，不按规定穿戴防护用品的人员不得上岗。</w:t>
      </w:r>
      <w:r>
        <w:rPr>
          <w:rFonts w:hint="eastAsia" w:ascii="Times New Roman" w:hAnsi="Times New Roman" w:eastAsia="宋体" w:cs="Times New Roman"/>
          <w:sz w:val="24"/>
          <w:szCs w:val="24"/>
        </w:rPr>
      </w:r>
      <w:r/>
    </w:p>
    <w:p>
      <w:pPr>
        <w:pStyle w:val="1147"/>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9</w:t>
      </w:r>
      <w:r>
        <w:rPr>
          <w:rFonts w:hint="eastAsia" w:ascii="宋体" w:hAnsi="宋体" w:eastAsia="宋体" w:cs="Times New Roman"/>
          <w:sz w:val="24"/>
          <w:szCs w:val="24"/>
        </w:rPr>
        <w:t xml:space="preserve">．所有施工机具、设备和劳动保护用品应具备有效的安检合格证明，并经安全员签字同意后方可使用，施工期间应定期检查，保证其处于完好状态；不合格的机具、设备和劳动保护用品严禁使用。</w:t>
      </w:r>
      <w:r>
        <w:rPr>
          <w:rFonts w:ascii="Times New Roman" w:hAnsi="Times New Roman" w:eastAsia="宋体" w:cs="Times New Roman"/>
          <w:sz w:val="24"/>
          <w:szCs w:val="24"/>
        </w:rPr>
      </w:r>
      <w:r/>
    </w:p>
    <w:p>
      <w:pPr>
        <w:pStyle w:val="1147"/>
        <w:ind w:firstLine="480"/>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10</w:t>
      </w:r>
      <w:r>
        <w:rPr>
          <w:rFonts w:hint="eastAsia" w:ascii="宋体" w:hAnsi="宋体" w:eastAsia="宋体" w:cs="Times New Roman"/>
          <w:sz w:val="24"/>
          <w:szCs w:val="24"/>
        </w:rPr>
        <w:t xml:space="preserve">．施工现场必须具有相关的安全标志牌。</w:t>
      </w:r>
      <w:r>
        <w:rPr>
          <w:rFonts w:hint="eastAsia" w:ascii="Times New Roman" w:hAnsi="Times New Roman" w:eastAsia="宋体" w:cs="Times New Roman"/>
          <w:sz w:val="24"/>
          <w:szCs w:val="24"/>
        </w:rPr>
      </w:r>
      <w:r/>
    </w:p>
    <w:p>
      <w:pPr>
        <w:pStyle w:val="1147"/>
        <w:ind w:firstLine="480"/>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11</w:t>
      </w:r>
      <w:r>
        <w:rPr>
          <w:rFonts w:hint="eastAsia" w:ascii="宋体" w:hAnsi="宋体" w:eastAsia="宋体" w:cs="Times New Roman"/>
          <w:sz w:val="24"/>
          <w:szCs w:val="24"/>
        </w:rPr>
        <w:t xml:space="preserve">．建立主要危险源备案制度，要明确潜在隐患、防范措施和落实责任人。</w:t>
      </w:r>
      <w:r>
        <w:rPr>
          <w:rFonts w:hint="eastAsia" w:ascii="Times New Roman" w:hAnsi="Times New Roman" w:eastAsia="宋体" w:cs="Times New Roman"/>
          <w:sz w:val="24"/>
          <w:szCs w:val="24"/>
        </w:rPr>
      </w:r>
      <w:r/>
    </w:p>
    <w:p>
      <w:pPr>
        <w:pStyle w:val="1147"/>
        <w:ind w:firstLine="480"/>
        <w:spacing w:line="360" w:lineRule="auto"/>
        <w:rPr>
          <w:rFonts w:hint="eastAsia" w:ascii="宋体" w:hAnsi="宋体" w:eastAsia="宋体" w:cs="Times New Roman"/>
          <w:sz w:val="24"/>
          <w:szCs w:val="24"/>
        </w:rPr>
      </w:pPr>
      <w:r>
        <w:rPr>
          <w:rFonts w:hint="eastAsia" w:ascii="Times New Roman" w:hAnsi="Times New Roman" w:eastAsia="宋体" w:cs="Times New Roman"/>
          <w:sz w:val="24"/>
          <w:szCs w:val="24"/>
        </w:rPr>
        <w:t xml:space="preserve">12</w:t>
      </w:r>
      <w:r>
        <w:rPr>
          <w:rFonts w:hint="eastAsia" w:ascii="宋体" w:hAnsi="宋体" w:eastAsia="宋体" w:cs="Times New Roman"/>
          <w:sz w:val="24"/>
          <w:szCs w:val="24"/>
        </w:rPr>
        <w:t xml:space="preserve">．供应商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hint="eastAsia" w:ascii="宋体" w:hAnsi="宋体" w:eastAsia="宋体" w:cs="Times New Roman"/>
          <w:sz w:val="24"/>
          <w:szCs w:val="24"/>
        </w:rPr>
      </w:r>
      <w:r/>
    </w:p>
    <w:p>
      <w:pPr>
        <w:pStyle w:val="1147"/>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三、违约责任</w:t>
      </w:r>
      <w:r>
        <w:rPr>
          <w:rFonts w:hint="eastAsia" w:ascii="宋体" w:hAnsi="宋体" w:eastAsia="宋体" w:cs="Times New Roman"/>
          <w:sz w:val="24"/>
          <w:szCs w:val="24"/>
        </w:rPr>
      </w:r>
      <w:r/>
    </w:p>
    <w:p>
      <w:pPr>
        <w:pStyle w:val="1147"/>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如因供应商违约造成安全事故，将报请有关部门依法追究责任。</w:t>
      </w:r>
      <w:r>
        <w:rPr>
          <w:rFonts w:hint="eastAsia" w:ascii="宋体" w:hAnsi="宋体" w:eastAsia="宋体" w:cs="Times New Roman"/>
          <w:sz w:val="24"/>
          <w:szCs w:val="24"/>
        </w:rPr>
      </w:r>
      <w:r/>
    </w:p>
    <w:p>
      <w:pPr>
        <w:pStyle w:val="1147"/>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本合同一式六份，由双方法定代表人或其授权的代理人签署和加盖公章后生效，全部工程竣工验收后失效。</w:t>
      </w:r>
      <w:r>
        <w:rPr>
          <w:rFonts w:hint="eastAsia" w:ascii="宋体" w:hAnsi="宋体" w:eastAsia="宋体" w:cs="Times New Roman"/>
          <w:sz w:val="24"/>
          <w:szCs w:val="24"/>
        </w:rPr>
      </w:r>
      <w:r/>
    </w:p>
    <w:p>
      <w:pPr>
        <w:pStyle w:val="1147"/>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pStyle w:val="1147"/>
        <w:spacing w:line="360" w:lineRule="auto"/>
        <w:rPr>
          <w:rFonts w:ascii="Times New Roman" w:hAnsi="Times New Roman" w:eastAsia="宋体" w:cs="Times New Roman"/>
          <w:sz w:val="24"/>
          <w:szCs w:val="24"/>
        </w:rPr>
      </w:pPr>
      <w:r>
        <w:rPr>
          <w:rFonts w:hint="eastAsia" w:ascii="宋体" w:hAnsi="宋体" w:eastAsia="宋体" w:cs="Times New Roman"/>
          <w:sz w:val="24"/>
          <w:szCs w:val="24"/>
        </w:rPr>
        <w:t xml:space="preserve">采购人：                                 供应商：</w:t>
      </w:r>
      <w:r>
        <w:rPr>
          <w:rFonts w:ascii="Times New Roman" w:hAnsi="Times New Roman" w:eastAsia="宋体" w:cs="Times New Roman"/>
          <w:sz w:val="24"/>
          <w:szCs w:val="24"/>
        </w:rPr>
      </w:r>
      <w:r/>
    </w:p>
    <w:p>
      <w:pPr>
        <w:pStyle w:val="1147"/>
        <w:spacing w:line="360" w:lineRule="auto"/>
        <w:rPr>
          <w:rFonts w:ascii="Times New Roman" w:hAnsi="Times New Roman" w:eastAsia="宋体" w:cs="Times New Roman"/>
          <w:sz w:val="24"/>
          <w:szCs w:val="24"/>
        </w:rPr>
      </w:pPr>
      <w:r>
        <w:rPr>
          <w:rFonts w:hint="eastAsia" w:ascii="宋体" w:hAnsi="宋体" w:eastAsia="宋体" w:cs="Times New Roman"/>
          <w:sz w:val="24"/>
          <w:szCs w:val="24"/>
        </w:rPr>
        <w:t xml:space="preserve">法定代表人（或授权代理人）：             法定代表人（或授权代理人）：</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r>
      <w:r/>
    </w:p>
    <w:p>
      <w:pPr>
        <w:pStyle w:val="1147"/>
        <w:rPr>
          <w:rFonts w:ascii="宋体" w:hAnsi="宋体" w:eastAsia="宋体" w:cs="Times New Roman"/>
          <w:color w:val="000000"/>
          <w:sz w:val="24"/>
          <w:highlight w:val="none"/>
        </w:rPr>
      </w:pPr>
      <w:r>
        <w:rPr>
          <w:rFonts w:hint="eastAsia" w:ascii="宋体" w:hAnsi="宋体" w:eastAsia="宋体" w:cs="Times New Roman"/>
          <w:sz w:val="24"/>
          <w:szCs w:val="24"/>
        </w:rPr>
        <w:t xml:space="preserve">签订日期：    年    月</w:t>
      </w:r>
      <w:r>
        <w:rPr>
          <w:rFonts w:ascii="宋体" w:hAnsi="宋体" w:eastAsia="宋体" w:cs="Times New Roman"/>
          <w:color w:val="000000"/>
          <w:sz w:val="24"/>
          <w:highlight w:val="none"/>
        </w:rPr>
      </w:r>
      <w:r/>
    </w:p>
    <w:p>
      <w:pPr>
        <w:pStyle w:val="1147"/>
        <w:ind w:firstLine="480"/>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pStyle w:val="1147"/>
        <w:jc w:val="both"/>
        <w:spacing w:line="360" w:lineRule="auto"/>
        <w:rPr>
          <w:b/>
          <w:color w:val="000000"/>
          <w:sz w:val="36"/>
          <w:szCs w:val="36"/>
        </w:rPr>
        <w:outlineLvl w:val="0"/>
      </w:pPr>
      <w:r>
        <w:rPr>
          <w:b/>
          <w:color w:val="000000"/>
          <w:sz w:val="36"/>
          <w:szCs w:val="36"/>
        </w:rPr>
      </w:r>
      <w:r/>
    </w:p>
    <w:p>
      <w:pPr>
        <w:pStyle w:val="1147"/>
        <w:jc w:val="center"/>
        <w:spacing w:line="360" w:lineRule="auto"/>
        <w:rPr>
          <w:b/>
          <w:color w:val="000000"/>
          <w:sz w:val="36"/>
          <w:szCs w:val="36"/>
        </w:rPr>
        <w:outlineLvl w:val="0"/>
      </w:pPr>
      <w:r>
        <w:rPr>
          <w:b/>
          <w:color w:val="000000"/>
          <w:sz w:val="36"/>
          <w:szCs w:val="36"/>
        </w:rPr>
        <w:t xml:space="preserve">第六章   响应文件格式</w:t>
      </w:r>
      <w:bookmarkEnd w:id="673"/>
      <w:r>
        <w:rPr>
          <w:b/>
          <w:color w:val="000000"/>
          <w:sz w:val="36"/>
          <w:szCs w:val="36"/>
        </w:rPr>
      </w:r>
      <w:r/>
    </w:p>
    <w:p>
      <w:pPr>
        <w:pStyle w:val="1147"/>
        <w:jc w:val="left"/>
        <w:spacing w:line="360" w:lineRule="auto"/>
        <w:widowControl/>
        <w:rPr>
          <w:b/>
          <w:color w:val="000000"/>
          <w:sz w:val="24"/>
        </w:rPr>
      </w:pPr>
      <w:r>
        <w:rPr>
          <w:b/>
          <w:color w:val="000000"/>
          <w:sz w:val="24"/>
        </w:rPr>
      </w:r>
      <w:r/>
    </w:p>
    <w:p>
      <w:pPr>
        <w:pStyle w:val="1147"/>
        <w:ind w:left="142"/>
        <w:spacing w:line="360" w:lineRule="auto"/>
        <w:tabs>
          <w:tab w:val="left" w:pos="900" w:leader="none"/>
          <w:tab w:val="left" w:pos="1980" w:leader="none"/>
        </w:tabs>
        <w:rPr>
          <w:b/>
          <w:color w:val="000000"/>
          <w:sz w:val="24"/>
        </w:rPr>
      </w:pPr>
      <w:r>
        <w:rPr>
          <w:rFonts w:hint="eastAsia"/>
          <w:b/>
          <w:color w:val="000000"/>
          <w:sz w:val="24"/>
        </w:rPr>
        <w:t xml:space="preserve">供应商编制文件须知</w:t>
      </w:r>
      <w:r>
        <w:rPr>
          <w:b/>
          <w:color w:val="000000"/>
          <w:sz w:val="24"/>
        </w:rPr>
      </w:r>
      <w:r/>
    </w:p>
    <w:p>
      <w:pPr>
        <w:pStyle w:val="1147"/>
        <w:ind w:left="142"/>
        <w:spacing w:line="360" w:lineRule="auto"/>
        <w:tabs>
          <w:tab w:val="left" w:pos="900" w:leader="none"/>
          <w:tab w:val="left" w:pos="1980" w:leader="none"/>
        </w:tabs>
        <w:rPr>
          <w:color w:val="000000"/>
          <w:sz w:val="24"/>
        </w:rPr>
      </w:pPr>
      <w:r>
        <w:rPr>
          <w:color w:val="000000"/>
          <w:sz w:val="24"/>
        </w:rPr>
        <w:t xml:space="preserve">1、供应商按照本部分的顺序编制响应文件，编制中涉及格式资料的，应按照本部分提供的内容和格式（所有表格的格式可扩展）填写提交。</w:t>
      </w:r>
      <w:r>
        <w:rPr>
          <w:color w:val="000000"/>
          <w:sz w:val="24"/>
        </w:rPr>
      </w:r>
      <w:r/>
    </w:p>
    <w:p>
      <w:pPr>
        <w:pStyle w:val="1147"/>
        <w:ind w:left="142"/>
        <w:spacing w:line="360" w:lineRule="auto"/>
        <w:tabs>
          <w:tab w:val="left" w:pos="900" w:leader="none"/>
          <w:tab w:val="left" w:pos="1980" w:leader="none"/>
        </w:tabs>
        <w:rPr>
          <w:color w:val="000000"/>
          <w:sz w:val="24"/>
        </w:rPr>
      </w:pPr>
      <w:r>
        <w:rPr>
          <w:color w:val="000000"/>
          <w:sz w:val="24"/>
        </w:rPr>
        <w:t xml:space="preserve">2、</w:t>
      </w:r>
      <w:r>
        <w:rPr>
          <w:color w:val="000000"/>
          <w:sz w:val="24"/>
        </w:rPr>
        <w:t xml:space="preserve">对于竞争性磋商文件中标记了“实质性格式”文件的，供应商</w:t>
      </w:r>
      <w:r>
        <w:rPr>
          <w:color w:val="000000"/>
          <w:sz w:val="24"/>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rPr>
        <w:t xml:space="preserve">否则响应无效</w:t>
      </w:r>
      <w:r>
        <w:rPr>
          <w:color w:val="000000"/>
          <w:sz w:val="24"/>
        </w:rPr>
        <w:t xml:space="preserve">。未标记“实质性格式”的文件和竞争性磋商文件未提供格式的内容，可由供应商自行编写。</w:t>
      </w:r>
      <w:r>
        <w:rPr>
          <w:color w:val="000000"/>
          <w:sz w:val="24"/>
        </w:rPr>
      </w:r>
      <w:r/>
    </w:p>
    <w:p>
      <w:pPr>
        <w:pStyle w:val="1147"/>
        <w:ind w:left="142"/>
        <w:spacing w:line="360" w:lineRule="auto"/>
        <w:tabs>
          <w:tab w:val="left" w:pos="900" w:leader="none"/>
          <w:tab w:val="left" w:pos="1980" w:leader="none"/>
        </w:tabs>
        <w:rPr>
          <w:color w:val="000000"/>
          <w:sz w:val="24"/>
        </w:rPr>
      </w:pPr>
      <w:r>
        <w:rPr>
          <w:color w:val="000000"/>
          <w:sz w:val="24"/>
        </w:rPr>
        <w:t xml:space="preserve">3、全部声明和问题的回答及所附材料必须是真实的、准确的和完整的。</w:t>
      </w:r>
      <w:r>
        <w:rPr>
          <w:color w:val="000000"/>
          <w:sz w:val="24"/>
        </w:rPr>
      </w:r>
      <w:r/>
    </w:p>
    <w:p>
      <w:pPr>
        <w:pStyle w:val="1147"/>
        <w:ind w:left="142"/>
        <w:spacing w:line="360" w:lineRule="auto"/>
        <w:tabs>
          <w:tab w:val="left" w:pos="900" w:leader="none"/>
          <w:tab w:val="left" w:pos="1980" w:leader="none"/>
        </w:tabs>
        <w:rPr>
          <w:color w:val="000000"/>
          <w:sz w:val="24"/>
        </w:rPr>
      </w:pPr>
      <w:r>
        <w:rPr>
          <w:rFonts w:hint="eastAsia"/>
          <w:color w:val="000000"/>
          <w:sz w:val="24"/>
        </w:rPr>
        <w:t xml:space="preserve">4、实行电子化不见面交易方式的，加盖公章、签名等均通过</w:t>
      </w:r>
      <w:r>
        <w:rPr>
          <w:color w:val="000000"/>
          <w:sz w:val="24"/>
        </w:rPr>
        <w:t xml:space="preserve">响应文件编制工具</w:t>
      </w:r>
      <w:r>
        <w:rPr>
          <w:rFonts w:hint="eastAsia"/>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color w:val="000000"/>
          <w:sz w:val="24"/>
        </w:rPr>
        <w:t xml:space="preserve">。</w:t>
      </w:r>
      <w:r>
        <w:rPr>
          <w:color w:val="000000"/>
          <w:sz w:val="24"/>
        </w:rPr>
      </w:r>
      <w:r/>
    </w:p>
    <w:p>
      <w:pPr>
        <w:pStyle w:val="1147"/>
        <w:ind w:left="142"/>
        <w:spacing w:line="360" w:lineRule="auto"/>
        <w:tabs>
          <w:tab w:val="left" w:pos="900" w:leader="none"/>
          <w:tab w:val="left" w:pos="1980" w:leader="none"/>
        </w:tabs>
        <w:rPr>
          <w:color w:val="000000"/>
          <w:sz w:val="24"/>
        </w:rPr>
      </w:pPr>
      <w:r>
        <w:rPr>
          <w:color w:val="000000"/>
          <w:sz w:val="24"/>
        </w:rPr>
      </w:r>
      <w:r/>
    </w:p>
    <w:p>
      <w:pPr>
        <w:pStyle w:val="1147"/>
        <w:jc w:val="left"/>
        <w:widowControl/>
        <w:rPr>
          <w:color w:val="000000"/>
          <w:sz w:val="24"/>
        </w:rPr>
      </w:pPr>
      <w:r>
        <w:rPr>
          <w:color w:val="000000"/>
          <w:sz w:val="24"/>
        </w:rPr>
        <w:br w:type="page" w:clear="all"/>
      </w:r>
      <w:r>
        <w:rPr>
          <w:color w:val="000000"/>
          <w:sz w:val="24"/>
        </w:rPr>
      </w:r>
      <w:r/>
    </w:p>
    <w:p>
      <w:pPr>
        <w:pStyle w:val="1147"/>
        <w:rPr>
          <w:b/>
          <w:color w:val="000000"/>
          <w:sz w:val="24"/>
        </w:rPr>
      </w:pPr>
      <w:r/>
      <w:bookmarkEnd w:id="621"/>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b/>
          <w:color w:val="000000"/>
          <w:spacing w:val="20"/>
          <w:sz w:val="24"/>
        </w:rPr>
        <w:t xml:space="preserve">响应文件</w:t>
      </w:r>
      <w:r>
        <w:rPr>
          <w:b/>
          <w:color w:val="000000"/>
          <w:sz w:val="24"/>
        </w:rPr>
        <w:t xml:space="preserve">封面（非实质性格式）</w:t>
      </w:r>
      <w:r>
        <w:rPr>
          <w:b/>
          <w:color w:val="000000"/>
          <w:sz w:val="24"/>
        </w:rPr>
      </w:r>
      <w:r/>
    </w:p>
    <w:p>
      <w:pPr>
        <w:pStyle w:val="1147"/>
        <w:jc w:val="center"/>
        <w:rPr>
          <w:color w:val="000000"/>
          <w:szCs w:val="21"/>
        </w:rPr>
      </w:pPr>
      <w:r>
        <w:rPr>
          <w:color w:val="000000"/>
          <w:szCs w:val="21"/>
        </w:rPr>
      </w:r>
      <w:r/>
    </w:p>
    <w:p>
      <w:pPr>
        <w:pStyle w:val="1147"/>
        <w:jc w:val="center"/>
        <w:rPr>
          <w:b/>
          <w:color w:val="000000"/>
          <w:spacing w:val="60"/>
          <w:sz w:val="84"/>
          <w:szCs w:val="84"/>
        </w:rPr>
      </w:pPr>
      <w:r>
        <w:rPr>
          <w:b/>
          <w:color w:val="000000"/>
          <w:spacing w:val="60"/>
          <w:sz w:val="84"/>
          <w:szCs w:val="84"/>
        </w:rPr>
        <w:t xml:space="preserve">响 应 文 件</w:t>
      </w:r>
      <w:r>
        <w:rPr>
          <w:b/>
          <w:color w:val="000000"/>
          <w:spacing w:val="60"/>
          <w:sz w:val="84"/>
          <w:szCs w:val="84"/>
        </w:rPr>
      </w:r>
      <w:r/>
    </w:p>
    <w:p>
      <w:pPr>
        <w:pStyle w:val="1147"/>
        <w:jc w:val="center"/>
        <w:rPr>
          <w:b/>
          <w:color w:val="000000"/>
          <w:spacing w:val="60"/>
          <w:sz w:val="52"/>
          <w:szCs w:val="52"/>
        </w:rPr>
      </w:pPr>
      <w:r>
        <w:rPr>
          <w:b/>
          <w:color w:val="000000"/>
          <w:spacing w:val="60"/>
          <w:sz w:val="52"/>
          <w:szCs w:val="52"/>
        </w:rPr>
      </w:r>
      <w:r/>
    </w:p>
    <w:p>
      <w:pPr>
        <w:pStyle w:val="1147"/>
        <w:ind w:firstLine="542"/>
        <w:rPr>
          <w:b/>
          <w:color w:val="000000"/>
          <w:spacing w:val="20"/>
          <w:sz w:val="32"/>
          <w:szCs w:val="32"/>
        </w:rPr>
      </w:pPr>
      <w:r>
        <w:rPr>
          <w:b/>
          <w:color w:val="000000"/>
          <w:spacing w:val="20"/>
          <w:sz w:val="32"/>
          <w:szCs w:val="32"/>
        </w:rPr>
      </w:r>
      <w:r/>
    </w:p>
    <w:p>
      <w:pPr>
        <w:pStyle w:val="1147"/>
        <w:ind w:firstLine="542"/>
        <w:rPr>
          <w:b/>
          <w:color w:val="000000"/>
          <w:spacing w:val="20"/>
          <w:sz w:val="32"/>
          <w:szCs w:val="32"/>
        </w:rPr>
      </w:pPr>
      <w:r>
        <w:rPr>
          <w:b/>
          <w:color w:val="000000"/>
          <w:spacing w:val="20"/>
          <w:sz w:val="32"/>
          <w:szCs w:val="32"/>
        </w:rPr>
      </w:r>
      <w:r/>
    </w:p>
    <w:p>
      <w:pPr>
        <w:pStyle w:val="1147"/>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1147"/>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1147"/>
        <w:rPr>
          <w:rFonts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               </w:t>
      </w:r>
      <w:r>
        <w:rPr>
          <w:rFonts w:ascii="宋体" w:hAnsi="宋体"/>
          <w:b/>
          <w:color w:val="000000"/>
          <w:sz w:val="36"/>
          <w:u w:val="single"/>
        </w:rPr>
      </w:r>
      <w:r/>
    </w:p>
    <w:p>
      <w:pPr>
        <w:pStyle w:val="1147"/>
        <w:rPr>
          <w:rFonts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rPr>
      </w:r>
      <w:r/>
    </w:p>
    <w:p>
      <w:pPr>
        <w:pStyle w:val="1147"/>
        <w:jc w:val="center"/>
        <w:rPr>
          <w:b/>
          <w:color w:val="000000"/>
          <w:sz w:val="32"/>
          <w:szCs w:val="32"/>
        </w:rPr>
      </w:pPr>
      <w:r>
        <w:rPr>
          <w:b/>
          <w:color w:val="000000"/>
          <w:sz w:val="32"/>
          <w:szCs w:val="32"/>
        </w:rPr>
      </w:r>
      <w:r/>
    </w:p>
    <w:p>
      <w:pPr>
        <w:pStyle w:val="1147"/>
        <w:rPr>
          <w:b/>
          <w:color w:val="000000"/>
        </w:rPr>
      </w:pPr>
      <w:r>
        <w:rPr>
          <w:b/>
          <w:color w:val="000000"/>
          <w:spacing w:val="20"/>
          <w:sz w:val="32"/>
          <w:szCs w:val="32"/>
        </w:rPr>
        <w:br w:type="page" w:clear="all"/>
      </w:r>
      <w:r>
        <w:rPr>
          <w:b/>
          <w:color w:val="000000"/>
        </w:rPr>
      </w:r>
      <w:r/>
    </w:p>
    <w:p>
      <w:pPr>
        <w:pStyle w:val="1147"/>
        <w:spacing w:line="360" w:lineRule="auto"/>
        <w:rPr>
          <w:color w:val="000000"/>
          <w:sz w:val="24"/>
        </w:rPr>
        <w:outlineLvl w:val="2"/>
      </w:pPr>
      <w:r>
        <w:rPr>
          <w:color w:val="000000"/>
          <w:sz w:val="24"/>
          <w:szCs w:val="20"/>
        </w:rPr>
        <w:t xml:space="preserve">1 </w:t>
      </w:r>
      <w:r>
        <w:rPr>
          <w:color w:val="000000"/>
          <w:sz w:val="24"/>
        </w:rPr>
        <w:t xml:space="preserve">满足《中华人民共和国政府采购法》第二十二条规定及法律法规的其他规定</w:t>
      </w:r>
      <w:r>
        <w:rPr>
          <w:color w:val="000000"/>
          <w:sz w:val="24"/>
        </w:rPr>
      </w:r>
      <w:r/>
    </w:p>
    <w:p>
      <w:pPr>
        <w:pStyle w:val="1399"/>
        <w:tabs>
          <w:tab w:val="left" w:pos="567" w:leader="none"/>
        </w:tabs>
        <w:rPr>
          <w:rFonts w:hint="eastAsia"/>
          <w:color w:val="000000"/>
          <w:sz w:val="24"/>
          <w:lang w:eastAsia="zh-CN"/>
        </w:rPr>
      </w:pPr>
      <w:r>
        <w:rPr>
          <w:rFonts w:hint="eastAsia"/>
          <w:color w:val="000000"/>
          <w:sz w:val="24"/>
          <w:lang w:eastAsia="zh-CN"/>
        </w:rPr>
        <w:t xml:space="preserve">营业执照</w:t>
      </w:r>
      <w:r>
        <w:rPr>
          <w:rFonts w:hint="eastAsia"/>
          <w:color w:val="000000"/>
          <w:sz w:val="24"/>
          <w:lang w:eastAsia="zh-CN"/>
        </w:rPr>
      </w:r>
      <w:r/>
    </w:p>
    <w:p>
      <w:pPr>
        <w:pStyle w:val="1399"/>
        <w:tabs>
          <w:tab w:val="left" w:pos="567" w:leader="none"/>
        </w:tabs>
        <w:rPr>
          <w:rFonts w:hint="eastAsia"/>
          <w:color w:val="000000"/>
          <w:sz w:val="24"/>
          <w:lang w:eastAsia="zh-CN"/>
        </w:rPr>
      </w:pPr>
      <w:r>
        <w:rPr>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-34289</wp:posOffset>
                </wp:positionH>
                <wp:positionV relativeFrom="paragraph">
                  <wp:posOffset>118110</wp:posOffset>
                </wp:positionV>
                <wp:extent cx="5588635" cy="118745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5588635" cy="1187450"/>
                        </a:xfrm>
                        <a:prstGeom prst="rect">
                          <a:avLst/>
                        </a:prstGeom>
                        <a:solidFill>
                          <a:srgbClr val="FFFFFF"/>
                        </a:solidFill>
                        <a:ln>
                          <a:solidFill>
                            <a:srgbClr val="000000"/>
                          </a:solidFill>
                        </a:ln>
                      </wps:spPr>
                      <wps:txbx>
                        <w:txbxContent>
                          <w:p>
                            <w:pPr>
                              <w:pStyle w:val="1147"/>
                            </w:pPr>
                            <w:r/>
                            <w:r/>
                          </w:p>
                          <w:p>
                            <w:pPr>
                              <w:pStyle w:val="1147"/>
                            </w:pPr>
                            <w:r/>
                            <w:r/>
                          </w:p>
                          <w:p>
                            <w:pPr>
                              <w:pStyle w:val="1147"/>
                            </w:pPr>
                            <w:r/>
                            <w:r/>
                          </w:p>
                        </w:txbxContent>
                      </wps:txbx>
                      <wps:bodyPr wrap="square" upright="1"/>
                    </wps:wsp>
                  </a:graphicData>
                </a:graphic>
              </wp:anchor>
            </w:drawing>
          </mc:Choice>
          <mc:Fallback>
            <w:pict>
              <v:shape id="shape 5" o:spid="_x0000_s5" o:spt="202" type="#_x0000_t202" style="position:absolute;z-index:524288;o:allowoverlap:true;o:allowincell:true;mso-position-horizontal-relative:text;margin-left:-2.7pt;mso-position-horizontal:absolute;mso-position-vertical-relative:text;margin-top:9.3pt;mso-position-vertical:absolute;width:440.0pt;height:93.5pt;mso-wrap-distance-left:9.0pt;mso-wrap-distance-top:0.0pt;mso-wrap-distance-right:9.0pt;mso-wrap-distance-bottom:0.0pt;visibility:visible;" fillcolor="#FFFFFF" strokecolor="#000000">
                <v:textbox inset="0,0,0,0">
                  <w:txbxContent>
                    <w:p>
                      <w:pPr>
                        <w:pStyle w:val="1147"/>
                      </w:pPr>
                      <w:r/>
                      <w:r/>
                    </w:p>
                    <w:p>
                      <w:pPr>
                        <w:pStyle w:val="1147"/>
                      </w:pPr>
                      <w:r/>
                      <w:r/>
                    </w:p>
                    <w:p>
                      <w:pPr>
                        <w:pStyle w:val="1147"/>
                      </w:pPr>
                      <w:r/>
                      <w:r/>
                    </w:p>
                  </w:txbxContent>
                </v:textbox>
              </v:shape>
            </w:pict>
          </mc:Fallback>
        </mc:AlternateContent>
      </w:r>
      <w:r>
        <w:rPr>
          <w:rFonts w:hint="eastAsia"/>
          <w:color w:val="000000"/>
          <w:sz w:val="24"/>
          <w:lang w:eastAsia="zh-CN"/>
        </w:rPr>
      </w:r>
      <w:r/>
    </w:p>
    <w:p>
      <w:pPr>
        <w:pStyle w:val="1399"/>
        <w:tabs>
          <w:tab w:val="left" w:pos="567" w:leader="none"/>
        </w:tabs>
        <w:rPr>
          <w:rFonts w:hint="eastAsia"/>
          <w:color w:val="000000"/>
          <w:sz w:val="24"/>
          <w:lang w:eastAsia="zh-CN"/>
        </w:rPr>
      </w:pPr>
      <w:r>
        <w:rPr>
          <w:rFonts w:hint="eastAsia"/>
          <w:color w:val="000000"/>
          <w:sz w:val="24"/>
          <w:lang w:eastAsia="zh-CN"/>
        </w:rPr>
      </w:r>
      <w:r/>
    </w:p>
    <w:p>
      <w:pPr>
        <w:pStyle w:val="1399"/>
        <w:tabs>
          <w:tab w:val="left" w:pos="567" w:leader="none"/>
        </w:tabs>
        <w:rPr>
          <w:rFonts w:hint="eastAsia"/>
          <w:color w:val="000000"/>
          <w:sz w:val="24"/>
          <w:lang w:eastAsia="zh-CN"/>
        </w:rPr>
      </w:pPr>
      <w:r>
        <w:rPr>
          <w:rFonts w:hint="eastAsia"/>
          <w:color w:val="000000"/>
          <w:sz w:val="24"/>
          <w:lang w:eastAsia="zh-CN"/>
        </w:rPr>
      </w:r>
      <w:r/>
    </w:p>
    <w:p>
      <w:pPr>
        <w:pStyle w:val="1399"/>
        <w:tabs>
          <w:tab w:val="left" w:pos="567" w:leader="none"/>
        </w:tabs>
        <w:rPr>
          <w:rFonts w:hint="eastAsia"/>
          <w:color w:val="000000"/>
          <w:sz w:val="24"/>
          <w:lang w:eastAsia="zh-CN"/>
        </w:rPr>
      </w:pPr>
      <w:r>
        <w:rPr>
          <w:rFonts w:hint="eastAsia"/>
          <w:color w:val="000000"/>
          <w:sz w:val="24"/>
          <w:lang w:eastAsia="zh-CN"/>
        </w:rPr>
      </w:r>
      <w:r/>
    </w:p>
    <w:p>
      <w:pPr>
        <w:pStyle w:val="1399"/>
        <w:tabs>
          <w:tab w:val="left" w:pos="567" w:leader="none"/>
        </w:tabs>
        <w:rPr>
          <w:rFonts w:hint="eastAsia"/>
          <w:color w:val="000000"/>
          <w:sz w:val="24"/>
          <w:lang w:eastAsia="zh-CN"/>
        </w:rPr>
      </w:pPr>
      <w:r>
        <w:rPr>
          <w:rFonts w:hint="eastAsia"/>
          <w:color w:val="000000"/>
          <w:sz w:val="24"/>
          <w:lang w:eastAsia="zh-CN"/>
        </w:rPr>
      </w:r>
      <w:r/>
    </w:p>
    <w:p>
      <w:pPr>
        <w:pStyle w:val="1150"/>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1147"/>
        <w:jc w:val="center"/>
        <w:spacing w:before="120" w:line="360" w:lineRule="auto"/>
        <w:widowControl/>
        <w:rPr>
          <w:rFonts w:hint="eastAsia" w:ascii="宋体" w:hAnsi="宋体" w:cs="宋体"/>
          <w:b/>
          <w:color w:val="000000"/>
          <w:sz w:val="28"/>
          <w:szCs w:val="28"/>
        </w:rPr>
      </w:pPr>
      <w:r>
        <w:rPr>
          <w:rFonts w:hint="eastAsia" w:ascii="宋体" w:hAnsi="宋体" w:cs="宋体"/>
          <w:b/>
          <w:color w:val="000000"/>
          <w:sz w:val="28"/>
          <w:szCs w:val="28"/>
        </w:rPr>
      </w:r>
      <w:r/>
    </w:p>
    <w:p>
      <w:pPr>
        <w:pStyle w:val="1147"/>
        <w:jc w:val="center"/>
        <w:spacing w:before="120" w:line="360" w:lineRule="auto"/>
        <w:widowControl/>
        <w:rPr>
          <w:rFonts w:ascii="宋体" w:hAnsi="宋体" w:cs="宋体"/>
          <w:color w:val="000000"/>
          <w:szCs w:val="21"/>
        </w:rPr>
      </w:pPr>
      <w:r>
        <w:rPr>
          <w:rFonts w:hint="eastAsia" w:ascii="宋体" w:hAnsi="宋体" w:cs="宋体"/>
          <w:b/>
          <w:color w:val="000000"/>
          <w:sz w:val="28"/>
          <w:szCs w:val="28"/>
        </w:rPr>
        <w:t xml:space="preserve">供应商资格声明函</w:t>
      </w:r>
      <w:r>
        <w:rPr>
          <w:rFonts w:ascii="宋体" w:hAnsi="宋体" w:cs="宋体"/>
          <w:color w:val="000000"/>
          <w:szCs w:val="21"/>
        </w:rPr>
      </w:r>
      <w:r/>
    </w:p>
    <w:p>
      <w:pPr>
        <w:pStyle w:val="1161"/>
        <w:ind w:firstLine="480"/>
        <w:spacing w:line="460" w:lineRule="exact"/>
        <w:rPr>
          <w:color w:val="000000"/>
        </w:rPr>
      </w:pPr>
      <w:r>
        <w:rPr>
          <w:color w:val="000000"/>
        </w:rPr>
      </w:r>
      <w:r/>
    </w:p>
    <w:p>
      <w:pPr>
        <w:pStyle w:val="1161"/>
        <w:ind w:firstLine="480"/>
        <w:spacing w:line="460" w:lineRule="exact"/>
        <w:rPr>
          <w:rFonts w:hint="eastAsia"/>
          <w:color w:val="000000"/>
        </w:rPr>
      </w:pPr>
      <w:r>
        <w:rPr>
          <w:rFonts w:hint="eastAsia"/>
          <w:color w:val="000000"/>
        </w:rPr>
        <w:t xml:space="preserve">致：常州名源全过程工程咨询有限公司</w:t>
      </w:r>
      <w:r>
        <w:rPr>
          <w:rFonts w:hint="eastAsia"/>
          <w:color w:val="000000"/>
        </w:rPr>
      </w:r>
      <w:r/>
    </w:p>
    <w:p>
      <w:pPr>
        <w:pStyle w:val="1161"/>
        <w:ind w:firstLine="960"/>
        <w:spacing w:line="460" w:lineRule="exact"/>
        <w:rPr>
          <w:color w:val="000000"/>
          <w:u w:val="single"/>
        </w:rPr>
      </w:pPr>
      <w:r>
        <w:rPr>
          <w:rFonts w:hint="eastAsia"/>
          <w:color w:val="000000"/>
          <w:u w:val="single"/>
        </w:rPr>
        <w:t xml:space="preserve">（采购人名称）</w:t>
      </w:r>
      <w:r>
        <w:rPr>
          <w:color w:val="000000"/>
          <w:u w:val="single"/>
        </w:rPr>
      </w:r>
      <w:r/>
    </w:p>
    <w:p>
      <w:pPr>
        <w:pStyle w:val="1161"/>
        <w:ind w:firstLine="480"/>
        <w:spacing w:line="460" w:lineRule="exact"/>
        <w:rPr>
          <w:color w:val="000000"/>
        </w:rPr>
      </w:pPr>
      <w:r>
        <w:rPr>
          <w:color w:val="000000"/>
        </w:rPr>
      </w:r>
      <w:r/>
    </w:p>
    <w:p>
      <w:pPr>
        <w:pStyle w:val="1161"/>
        <w:ind w:firstLine="480"/>
        <w:spacing w:line="460" w:lineRule="exact"/>
        <w:rPr>
          <w:color w:val="000000"/>
        </w:rPr>
      </w:pPr>
      <w:r>
        <w:rPr>
          <w:rFonts w:hint="eastAsia"/>
          <w:color w:val="000000"/>
        </w:rPr>
        <w:t xml:space="preserve">按照《中华人民共和国政府采购法》第二十二条和磋商文件的规定，我单位郑重声明如下：</w:t>
      </w:r>
      <w:r>
        <w:rPr>
          <w:color w:val="000000"/>
        </w:rPr>
      </w:r>
      <w:r/>
    </w:p>
    <w:p>
      <w:pPr>
        <w:pStyle w:val="1161"/>
        <w:ind w:firstLine="480"/>
        <w:spacing w:line="460" w:lineRule="exact"/>
        <w:rPr>
          <w:color w:val="000000"/>
        </w:rPr>
      </w:pPr>
      <w:r>
        <w:rPr>
          <w:rFonts w:hint="eastAsia"/>
          <w:color w:val="000000"/>
        </w:rPr>
        <w:t xml:space="preserve">一、我单位是按照中华人民共和国法律规定登记注册的，注册地点为</w:t>
      </w:r>
      <w:r>
        <w:rPr>
          <w:rFonts w:hint="eastAsia"/>
          <w:color w:val="000000"/>
          <w:u w:val="single"/>
        </w:rPr>
        <w:t xml:space="preserve">         </w:t>
      </w:r>
      <w:r>
        <w:rPr>
          <w:rFonts w:hint="eastAsia"/>
          <w:color w:val="000000"/>
        </w:rPr>
        <w:t xml:space="preserve">，全称为</w:t>
      </w:r>
      <w:r>
        <w:rPr>
          <w:rFonts w:hint="eastAsia"/>
          <w:color w:val="000000"/>
          <w:u w:val="single"/>
        </w:rPr>
        <w:t xml:space="preserve">        </w:t>
      </w:r>
      <w:r>
        <w:rPr>
          <w:rFonts w:hint="eastAsia"/>
          <w:color w:val="000000"/>
        </w:rPr>
        <w:t xml:space="preserve">，统一社会信用代码为</w:t>
      </w:r>
      <w:r>
        <w:rPr>
          <w:rFonts w:hint="eastAsia"/>
          <w:color w:val="000000"/>
          <w:u w:val="single"/>
        </w:rPr>
        <w:t xml:space="preserve">           </w:t>
      </w:r>
      <w:r>
        <w:rPr>
          <w:rFonts w:hint="eastAsia"/>
          <w:color w:val="000000"/>
        </w:rPr>
        <w:t xml:space="preserve"> ，法定代表人（单位负责人）为</w:t>
      </w:r>
      <w:r>
        <w:rPr>
          <w:rFonts w:hint="eastAsia"/>
          <w:color w:val="000000"/>
          <w:u w:val="single"/>
        </w:rPr>
        <w:t xml:space="preserve">         </w:t>
      </w:r>
      <w:r>
        <w:rPr>
          <w:rFonts w:hint="eastAsia"/>
          <w:color w:val="000000"/>
        </w:rPr>
        <w:t xml:space="preserve">，具有独立承担民事责任的能力</w:t>
      </w:r>
      <w:r>
        <w:rPr>
          <w:rFonts w:hint="eastAsia"/>
          <w:b/>
          <w:color w:val="000000"/>
        </w:rPr>
        <w:t xml:space="preserve">（如属于分公司经总公司授权参与项目，由总公司承担民事责任的，需提供总公司项目授权书）</w:t>
      </w:r>
      <w:r>
        <w:rPr>
          <w:rFonts w:hint="eastAsia"/>
          <w:color w:val="000000"/>
        </w:rPr>
        <w:t xml:space="preserve">。</w:t>
      </w:r>
      <w:r>
        <w:rPr>
          <w:color w:val="000000"/>
        </w:rPr>
      </w:r>
      <w:r/>
    </w:p>
    <w:p>
      <w:pPr>
        <w:pStyle w:val="1161"/>
        <w:ind w:firstLine="480"/>
        <w:spacing w:line="460" w:lineRule="exact"/>
        <w:rPr>
          <w:color w:val="000000"/>
        </w:rPr>
      </w:pPr>
      <w:r>
        <w:rPr>
          <w:rFonts w:hint="eastAsia"/>
          <w:color w:val="000000"/>
        </w:rPr>
        <w:t xml:space="preserve">二、我单位未被“国家企业信用信息系统”列入经营异常名录或者严重违法企业名单。</w:t>
      </w:r>
      <w:r>
        <w:rPr>
          <w:color w:val="000000"/>
        </w:rPr>
      </w:r>
      <w:r/>
    </w:p>
    <w:p>
      <w:pPr>
        <w:pStyle w:val="1161"/>
        <w:ind w:firstLine="480"/>
        <w:spacing w:line="460" w:lineRule="exact"/>
        <w:rPr>
          <w:color w:val="000000"/>
        </w:rPr>
      </w:pPr>
      <w:r>
        <w:rPr>
          <w:rFonts w:hint="eastAsia"/>
          <w:color w:val="000000"/>
        </w:rPr>
        <w:t xml:space="preserve">三、我单位具有良好的商业信誉（指供应商经营状况良好，无本资格声明第十条情形）和健全的财务会计制度。</w:t>
      </w:r>
      <w:r>
        <w:rPr>
          <w:color w:val="000000"/>
        </w:rPr>
      </w:r>
      <w:r/>
    </w:p>
    <w:p>
      <w:pPr>
        <w:pStyle w:val="1161"/>
        <w:ind w:firstLine="480"/>
        <w:spacing w:line="460" w:lineRule="exact"/>
        <w:rPr>
          <w:color w:val="000000"/>
        </w:rPr>
      </w:pPr>
      <w:r>
        <w:rPr>
          <w:rFonts w:hint="eastAsia"/>
          <w:color w:val="000000"/>
        </w:rPr>
        <w:t xml:space="preserve">四、我单位依法进行纳税和社会保险申报并实际履行了义务。</w:t>
      </w:r>
      <w:r>
        <w:rPr>
          <w:color w:val="000000"/>
        </w:rPr>
      </w:r>
      <w:r/>
    </w:p>
    <w:p>
      <w:pPr>
        <w:pStyle w:val="1161"/>
        <w:ind w:firstLine="480"/>
        <w:spacing w:line="460" w:lineRule="exact"/>
        <w:rPr>
          <w:color w:val="000000"/>
        </w:rPr>
      </w:pPr>
      <w:r>
        <w:rPr>
          <w:rFonts w:hint="eastAsia"/>
          <w:color w:val="000000"/>
        </w:rPr>
        <w:t xml:space="preserve">五、我单位具有履行本项目采购合同所必需的设备和专业技术能力，并具有履行合同的良好</w:t>
      </w:r>
      <w:r>
        <w:rPr>
          <w:color w:val="000000"/>
        </w:rPr>
        <w:t xml:space="preserve">记录</w:t>
      </w:r>
      <w:r>
        <w:rPr>
          <w:rFonts w:hint="eastAsia"/>
          <w:color w:val="000000"/>
        </w:rPr>
        <w:t xml:space="preserve">。为履行本项采购合同我单位具备如下主要设备和主要专业技术能力:</w:t>
      </w:r>
      <w:r>
        <w:rPr>
          <w:color w:val="000000"/>
        </w:rPr>
      </w:r>
      <w:r/>
    </w:p>
    <w:p>
      <w:pPr>
        <w:pStyle w:val="1161"/>
        <w:ind w:firstLine="480"/>
        <w:spacing w:line="460" w:lineRule="exact"/>
        <w:rPr>
          <w:color w:val="000000"/>
        </w:rPr>
      </w:pPr>
      <w:r>
        <w:rPr>
          <w:rFonts w:hint="eastAsia"/>
          <w:color w:val="000000"/>
        </w:rPr>
        <w:t xml:space="preserve">主要设备有：</w:t>
      </w:r>
      <w:r>
        <w:rPr>
          <w:color w:val="000000"/>
          <w:u w:val="single"/>
        </w:rPr>
        <w:t xml:space="preserve">            </w:t>
      </w:r>
      <w:r>
        <w:rPr>
          <w:color w:val="000000"/>
        </w:rPr>
      </w:r>
      <w:r/>
    </w:p>
    <w:p>
      <w:pPr>
        <w:pStyle w:val="1161"/>
        <w:ind w:firstLine="480"/>
        <w:spacing w:line="460" w:lineRule="exact"/>
        <w:rPr>
          <w:color w:val="000000"/>
        </w:rPr>
      </w:pPr>
      <w:r>
        <w:rPr>
          <w:rFonts w:hint="eastAsia"/>
          <w:color w:val="000000"/>
        </w:rPr>
        <w:t xml:space="preserve">主要专业技术能力有</w:t>
      </w:r>
      <w:r>
        <w:rPr>
          <w:rFonts w:hint="eastAsia"/>
          <w:color w:val="000000"/>
          <w:u w:val="single"/>
        </w:rPr>
        <w:t xml:space="preserve">                 </w:t>
      </w:r>
      <w:r>
        <w:rPr>
          <w:color w:val="000000"/>
        </w:rPr>
      </w:r>
      <w:r/>
    </w:p>
    <w:p>
      <w:pPr>
        <w:pStyle w:val="1161"/>
        <w:ind w:firstLine="480"/>
        <w:spacing w:line="460" w:lineRule="exact"/>
        <w:rPr>
          <w:color w:val="000000"/>
        </w:rPr>
      </w:pPr>
      <w:r>
        <w:rPr>
          <w:rFonts w:hint="eastAsia"/>
          <w:color w:val="000000"/>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rPr>
      </w:r>
      <w:r/>
    </w:p>
    <w:p>
      <w:pPr>
        <w:pStyle w:val="1161"/>
        <w:ind w:firstLine="480"/>
        <w:spacing w:line="460" w:lineRule="exact"/>
        <w:rPr>
          <w:color w:val="000000"/>
        </w:rPr>
      </w:pPr>
      <w:r>
        <w:rPr>
          <w:rFonts w:hint="eastAsia"/>
          <w:color w:val="000000"/>
        </w:rPr>
        <w:t xml:space="preserve">七、我单位具备法律、行政法规规定的其他条件。</w:t>
      </w:r>
      <w:r>
        <w:rPr>
          <w:color w:val="000000"/>
        </w:rPr>
      </w:r>
      <w:r/>
    </w:p>
    <w:p>
      <w:pPr>
        <w:pStyle w:val="1161"/>
        <w:ind w:firstLine="480"/>
        <w:spacing w:line="460" w:lineRule="exact"/>
        <w:rPr>
          <w:color w:val="000000"/>
        </w:rPr>
      </w:pPr>
      <w:r>
        <w:rPr>
          <w:rFonts w:hint="eastAsia"/>
          <w:color w:val="000000"/>
        </w:rPr>
        <w:t xml:space="preserve">八、与我单位存在“单位负责人为同一人或者存在直接控股、管理关系”的其他单位信息如下（如无此情形的，填写“无”）：</w:t>
      </w:r>
      <w:r>
        <w:rPr>
          <w:color w:val="000000"/>
        </w:rPr>
      </w:r>
      <w:r/>
    </w:p>
    <w:p>
      <w:pPr>
        <w:pStyle w:val="1161"/>
        <w:ind w:firstLine="480"/>
        <w:spacing w:line="460" w:lineRule="exact"/>
        <w:rPr>
          <w:color w:val="000000"/>
        </w:rPr>
      </w:pPr>
      <w:r>
        <w:rPr>
          <w:rFonts w:hint="eastAsia"/>
          <w:color w:val="000000"/>
        </w:rPr>
        <w:t xml:space="preserve">1、与我单位的法定代表人（单位负责人）为同一人的其他单位如下：</w:t>
      </w:r>
      <w:r>
        <w:rPr>
          <w:rFonts w:hint="eastAsia"/>
          <w:color w:val="000000"/>
          <w:u w:val="single"/>
        </w:rPr>
        <w:t xml:space="preserve">     </w:t>
      </w:r>
      <w:r>
        <w:rPr>
          <w:rFonts w:hint="eastAsia"/>
          <w:color w:val="000000"/>
        </w:rPr>
        <w:t xml:space="preserve">          </w:t>
      </w:r>
      <w:r>
        <w:rPr>
          <w:color w:val="000000"/>
        </w:rPr>
      </w:r>
      <w:r/>
    </w:p>
    <w:p>
      <w:pPr>
        <w:pStyle w:val="1161"/>
        <w:ind w:firstLine="480"/>
        <w:spacing w:line="460" w:lineRule="exact"/>
        <w:rPr>
          <w:color w:val="000000"/>
        </w:rPr>
      </w:pPr>
      <w:r>
        <w:rPr>
          <w:rFonts w:hint="eastAsia"/>
          <w:color w:val="000000"/>
        </w:rPr>
        <w:t xml:space="preserve">2、我单位直接控股的其他单位如下：</w:t>
      </w:r>
      <w:r>
        <w:rPr>
          <w:rFonts w:hint="eastAsia"/>
          <w:color w:val="000000"/>
          <w:u w:val="single"/>
        </w:rPr>
        <w:t xml:space="preserve">                    </w:t>
      </w:r>
      <w:r>
        <w:rPr>
          <w:rFonts w:hint="eastAsia"/>
          <w:color w:val="000000"/>
        </w:rPr>
        <w:t xml:space="preserve"> </w:t>
      </w:r>
      <w:r>
        <w:rPr>
          <w:color w:val="000000"/>
        </w:rPr>
      </w:r>
      <w:r/>
    </w:p>
    <w:p>
      <w:pPr>
        <w:pStyle w:val="1161"/>
        <w:ind w:firstLine="480"/>
        <w:spacing w:line="460" w:lineRule="exact"/>
        <w:rPr>
          <w:color w:val="000000"/>
        </w:rPr>
      </w:pPr>
      <w:r>
        <w:rPr>
          <w:rFonts w:hint="eastAsia"/>
          <w:color w:val="000000"/>
        </w:rPr>
        <w:t xml:space="preserve">3、与我单位存在管理关系的其他单位如下：</w:t>
      </w:r>
      <w:r>
        <w:rPr>
          <w:rFonts w:hint="eastAsia"/>
          <w:color w:val="000000"/>
          <w:u w:val="single"/>
        </w:rPr>
        <w:t xml:space="preserve">              </w:t>
      </w:r>
      <w:r>
        <w:rPr>
          <w:rFonts w:hint="eastAsia"/>
          <w:color w:val="000000"/>
        </w:rPr>
        <w:t xml:space="preserve"> </w:t>
      </w:r>
      <w:r>
        <w:rPr>
          <w:color w:val="000000"/>
        </w:rPr>
      </w:r>
      <w:r/>
    </w:p>
    <w:p>
      <w:pPr>
        <w:pStyle w:val="1161"/>
        <w:ind w:firstLine="480"/>
        <w:spacing w:line="460" w:lineRule="exact"/>
        <w:rPr>
          <w:color w:val="000000"/>
        </w:rPr>
      </w:pPr>
      <w:r>
        <w:rPr>
          <w:rFonts w:hint="eastAsia"/>
          <w:color w:val="000000"/>
        </w:rPr>
        <w:t xml:space="preserve">九、</w:t>
      </w:r>
      <w:r>
        <w:rPr>
          <w:color w:val="000000"/>
        </w:rPr>
        <w:t xml:space="preserve">我</w:t>
      </w:r>
      <w:r>
        <w:rPr>
          <w:rFonts w:hint="eastAsia"/>
          <w:color w:val="000000"/>
        </w:rPr>
        <w:t xml:space="preserve">单位</w:t>
      </w:r>
      <w:r>
        <w:rPr>
          <w:color w:val="000000"/>
        </w:rPr>
        <w:t xml:space="preserve">不属于为本项目提供整体设计、规范编制或者项目管理、监理、检测等服务的供应商。</w:t>
      </w:r>
      <w:r>
        <w:rPr>
          <w:color w:val="000000"/>
        </w:rPr>
      </w:r>
      <w:r/>
    </w:p>
    <w:p>
      <w:pPr>
        <w:pStyle w:val="1161"/>
        <w:ind w:firstLine="480"/>
        <w:spacing w:line="460" w:lineRule="exact"/>
        <w:rPr>
          <w:color w:val="000000"/>
        </w:rPr>
      </w:pPr>
      <w:r>
        <w:rPr>
          <w:rFonts w:hint="eastAsia"/>
          <w:color w:val="000000"/>
        </w:rPr>
        <w:t xml:space="preserve">十、</w:t>
      </w:r>
      <w:r>
        <w:rPr>
          <w:color w:val="000000"/>
        </w:rPr>
        <w:t xml:space="preserve">我单位无以下不良信用记录情形：</w:t>
      </w:r>
      <w:r>
        <w:rPr>
          <w:color w:val="000000"/>
        </w:rPr>
      </w:r>
      <w:r/>
    </w:p>
    <w:p>
      <w:pPr>
        <w:pStyle w:val="1161"/>
        <w:ind w:firstLine="480"/>
        <w:spacing w:line="460" w:lineRule="exact"/>
        <w:rPr>
          <w:color w:val="000000"/>
        </w:rPr>
      </w:pPr>
      <w:r>
        <w:rPr>
          <w:color w:val="000000"/>
        </w:rPr>
        <w:t xml:space="preserve">1</w:t>
      </w:r>
      <w:r>
        <w:rPr>
          <w:rFonts w:hint="eastAsia"/>
          <w:color w:val="000000"/>
        </w:rPr>
        <w:t xml:space="preserve">、在“信用中国”网站被列入失信被执行人和重大税收违法案件当事人名单；</w:t>
      </w:r>
      <w:r>
        <w:rPr>
          <w:color w:val="000000"/>
        </w:rPr>
      </w:r>
      <w:r/>
    </w:p>
    <w:p>
      <w:pPr>
        <w:pStyle w:val="1161"/>
        <w:ind w:firstLine="480"/>
        <w:spacing w:line="460" w:lineRule="exact"/>
        <w:rPr>
          <w:color w:val="000000"/>
        </w:rPr>
      </w:pPr>
      <w:r>
        <w:rPr>
          <w:color w:val="000000"/>
        </w:rPr>
        <w:t xml:space="preserve">2</w:t>
      </w:r>
      <w:r>
        <w:rPr>
          <w:rFonts w:hint="eastAsia"/>
          <w:color w:val="000000"/>
        </w:rPr>
        <w:t xml:space="preserve">、在“中国政府采购网”网站被列入政府采购严重违法失信行为记录名单；</w:t>
      </w:r>
      <w:r>
        <w:rPr>
          <w:color w:val="000000"/>
        </w:rPr>
      </w:r>
      <w:r/>
    </w:p>
    <w:p>
      <w:pPr>
        <w:pStyle w:val="1161"/>
        <w:ind w:firstLine="480"/>
        <w:spacing w:line="460" w:lineRule="exact"/>
        <w:rPr>
          <w:color w:val="000000"/>
        </w:rPr>
      </w:pPr>
      <w:r>
        <w:rPr>
          <w:color w:val="000000"/>
        </w:rPr>
        <w:t xml:space="preserve">3</w:t>
      </w:r>
      <w:r>
        <w:rPr>
          <w:rFonts w:hint="eastAsia"/>
          <w:color w:val="000000"/>
        </w:rPr>
        <w:t xml:space="preserve">、</w:t>
      </w:r>
      <w:r>
        <w:rPr>
          <w:color w:val="000000"/>
        </w:rPr>
        <w:t xml:space="preserve">不符合《政府采购法》第二十二条规定的条件。</w:t>
      </w:r>
      <w:r>
        <w:rPr>
          <w:color w:val="000000"/>
        </w:rPr>
      </w:r>
      <w:r/>
    </w:p>
    <w:p>
      <w:pPr>
        <w:pStyle w:val="1161"/>
        <w:ind w:firstLine="480"/>
        <w:spacing w:line="460" w:lineRule="exact"/>
        <w:rPr>
          <w:color w:val="000000"/>
        </w:rPr>
      </w:pPr>
      <w:r>
        <w:rPr>
          <w:color w:val="000000"/>
        </w:rPr>
      </w:r>
      <w:r/>
    </w:p>
    <w:p>
      <w:pPr>
        <w:pStyle w:val="1161"/>
        <w:ind w:firstLine="480"/>
        <w:spacing w:line="460" w:lineRule="exact"/>
        <w:rPr>
          <w:color w:val="000000"/>
        </w:rPr>
      </w:pPr>
      <w:r>
        <w:rPr>
          <w:rFonts w:hint="eastAsia"/>
          <w:color w:val="000000"/>
        </w:rPr>
        <w:t xml:space="preserve">我单位保证上述声明的事项都是真实的，如有虚假，我单位愿意承担相应的法律责任，并承担因此所造成的一切损失。</w:t>
      </w:r>
      <w:r>
        <w:rPr>
          <w:color w:val="000000"/>
        </w:rPr>
      </w:r>
      <w:r/>
    </w:p>
    <w:p>
      <w:pPr>
        <w:pStyle w:val="1161"/>
        <w:ind w:firstLine="480"/>
        <w:spacing w:line="460" w:lineRule="exact"/>
        <w:rPr>
          <w:color w:val="000000"/>
        </w:rPr>
      </w:pPr>
      <w:r>
        <w:rPr>
          <w:color w:val="000000"/>
        </w:rPr>
      </w:r>
      <w:r/>
    </w:p>
    <w:p>
      <w:pPr>
        <w:pStyle w:val="1161"/>
        <w:ind w:firstLine="480"/>
        <w:spacing w:line="460" w:lineRule="exact"/>
        <w:rPr>
          <w:color w:val="000000"/>
        </w:rPr>
      </w:pPr>
      <w:r>
        <w:rPr>
          <w:color w:val="000000"/>
        </w:rPr>
      </w:r>
      <w:r/>
    </w:p>
    <w:p>
      <w:pPr>
        <w:pStyle w:val="1161"/>
        <w:ind w:firstLine="480"/>
        <w:spacing w:line="460" w:lineRule="exact"/>
        <w:rPr>
          <w:color w:val="000000"/>
        </w:rPr>
      </w:pPr>
      <w:r>
        <w:rPr>
          <w:rFonts w:hint="eastAsia"/>
          <w:color w:val="000000"/>
        </w:rPr>
        <w:t xml:space="preserve">                                            供应商：（加盖公章）</w:t>
      </w:r>
      <w:r>
        <w:rPr>
          <w:color w:val="000000"/>
        </w:rPr>
      </w:r>
      <w:r/>
    </w:p>
    <w:p>
      <w:pPr>
        <w:pStyle w:val="1161"/>
        <w:ind w:firstLine="480"/>
        <w:spacing w:line="460" w:lineRule="exact"/>
        <w:rPr>
          <w:color w:val="000000"/>
        </w:rPr>
      </w:pPr>
      <w:r>
        <w:rPr>
          <w:rFonts w:hint="eastAsia"/>
          <w:color w:val="000000"/>
        </w:rPr>
        <w:t xml:space="preserve">                                           法定代表人（或单位负责人）签字或盖章：</w:t>
      </w:r>
      <w:r>
        <w:rPr>
          <w:color w:val="000000"/>
        </w:rPr>
      </w:r>
      <w:r/>
    </w:p>
    <w:p>
      <w:pPr>
        <w:pStyle w:val="1161"/>
        <w:ind w:firstLine="4920"/>
        <w:spacing w:line="460" w:lineRule="exact"/>
        <w:rPr>
          <w:rFonts w:hint="eastAsia"/>
          <w:color w:val="000000"/>
        </w:rPr>
      </w:pPr>
      <w:r>
        <w:rPr>
          <w:rFonts w:hint="eastAsia"/>
          <w:color w:val="000000"/>
        </w:rPr>
        <w:t xml:space="preserve">日期：    年    月    日</w:t>
      </w:r>
      <w:r>
        <w:rPr>
          <w:rFonts w:hint="eastAsia"/>
          <w:color w:val="000000"/>
        </w:rPr>
      </w:r>
      <w:r/>
    </w:p>
    <w:p>
      <w:pPr>
        <w:pStyle w:val="1147"/>
        <w:spacing w:line="360" w:lineRule="auto"/>
        <w:rPr>
          <w:rFonts w:hint="eastAsia"/>
          <w:color w:val="000000"/>
          <w:sz w:val="24"/>
        </w:rPr>
      </w:pPr>
      <w:r>
        <w:rPr>
          <w:rFonts w:hint="eastAsia"/>
          <w:color w:val="000000"/>
          <w:sz w:val="24"/>
        </w:rPr>
      </w:r>
      <w:r/>
    </w:p>
    <w:p>
      <w:pPr>
        <w:pStyle w:val="1147"/>
        <w:spacing w:line="360" w:lineRule="auto"/>
        <w:rPr>
          <w:color w:val="000000"/>
          <w:sz w:val="24"/>
        </w:rPr>
      </w:pPr>
      <w:r>
        <w:rPr>
          <w:color w:val="000000"/>
          <w:sz w:val="24"/>
        </w:rPr>
        <w:t xml:space="preserve">说明：</w:t>
      </w:r>
      <w:r>
        <w:rPr>
          <w:rFonts w:hint="eastAsia"/>
          <w:color w:val="000000"/>
          <w:sz w:val="24"/>
        </w:rPr>
        <w:t xml:space="preserve">供应商承诺不实的，依据《政府采购法》第七十七条“提供虚假材料谋取中标、成交的”有关规定予以处理</w:t>
      </w:r>
      <w:r>
        <w:rPr>
          <w:color w:val="000000"/>
          <w:sz w:val="24"/>
        </w:rPr>
        <w:t xml:space="preserve">。</w:t>
      </w:r>
      <w:r>
        <w:rPr>
          <w:color w:val="000000"/>
          <w:sz w:val="24"/>
        </w:rPr>
      </w:r>
      <w:r/>
    </w:p>
    <w:p>
      <w:pPr>
        <w:pStyle w:val="1147"/>
        <w:spacing w:line="360" w:lineRule="auto"/>
        <w:tabs>
          <w:tab w:val="left" w:pos="5580" w:leader="none"/>
        </w:tabs>
        <w:rPr>
          <w:color w:val="000000"/>
          <w:sz w:val="24"/>
        </w:rPr>
        <w:sectPr>
          <w:footerReference w:type="default" r:id="rId19"/>
          <w:footnotePr/>
          <w:endnotePr/>
          <w:type w:val="nextPage"/>
          <w:pgSz w:w="11907" w:h="16840" w:orient="portrait"/>
          <w:pgMar w:top="1418" w:right="1134" w:bottom="1418" w:left="1701" w:header="851" w:footer="851" w:gutter="0"/>
          <w:cols w:num="1" w:sep="0" w:space="1701" w:equalWidth="1"/>
          <w:docGrid w:linePitch="360"/>
        </w:sectPr>
      </w:pPr>
      <w:r>
        <w:rPr>
          <w:color w:val="000000"/>
          <w:sz w:val="24"/>
        </w:rPr>
      </w:r>
      <w:r/>
    </w:p>
    <w:p>
      <w:pPr>
        <w:pStyle w:val="1147"/>
        <w:spacing w:line="360" w:lineRule="auto"/>
        <w:rPr>
          <w:color w:val="000000"/>
          <w:sz w:val="24"/>
          <w:szCs w:val="20"/>
        </w:rPr>
        <w:outlineLvl w:val="2"/>
      </w:pPr>
      <w:r>
        <w:rPr>
          <w:color w:val="000000"/>
          <w:sz w:val="24"/>
          <w:szCs w:val="20"/>
        </w:rPr>
        <w:t xml:space="preserve">2 落实政府采购政策需满足的资格要求</w:t>
      </w:r>
      <w:r>
        <w:rPr>
          <w:color w:val="000000"/>
          <w:sz w:val="24"/>
          <w:szCs w:val="20"/>
        </w:rPr>
      </w:r>
      <w:r/>
    </w:p>
    <w:p>
      <w:pPr>
        <w:pStyle w:val="1147"/>
        <w:spacing w:line="360" w:lineRule="auto"/>
        <w:rPr>
          <w:color w:val="000000"/>
          <w:sz w:val="24"/>
          <w:szCs w:val="20"/>
        </w:rPr>
        <w:outlineLvl w:val="2"/>
      </w:pPr>
      <w:r>
        <w:rPr>
          <w:color w:val="000000"/>
          <w:sz w:val="24"/>
          <w:szCs w:val="20"/>
        </w:rPr>
        <w:t xml:space="preserve">2-1 中小企业声明函</w:t>
      </w:r>
      <w:r>
        <w:rPr>
          <w:color w:val="000000"/>
          <w:sz w:val="24"/>
          <w:szCs w:val="20"/>
        </w:rPr>
      </w:r>
      <w:r/>
    </w:p>
    <w:p>
      <w:pPr>
        <w:pStyle w:val="1147"/>
        <w:spacing w:line="360" w:lineRule="auto"/>
        <w:tabs>
          <w:tab w:val="left" w:pos="5580" w:leader="none"/>
        </w:tabs>
        <w:rPr>
          <w:color w:val="000000"/>
          <w:sz w:val="24"/>
        </w:rPr>
      </w:pPr>
      <w:r>
        <w:rPr>
          <w:color w:val="000000"/>
          <w:sz w:val="24"/>
        </w:rPr>
        <w:t xml:space="preserve">说明：</w:t>
      </w:r>
      <w:r>
        <w:rPr>
          <w:color w:val="000000"/>
          <w:sz w:val="24"/>
        </w:rPr>
      </w:r>
      <w:r/>
    </w:p>
    <w:p>
      <w:pPr>
        <w:pStyle w:val="1147"/>
        <w:spacing w:line="360" w:lineRule="auto"/>
        <w:tabs>
          <w:tab w:val="left" w:pos="5580" w:leader="none"/>
        </w:tabs>
        <w:rPr>
          <w:color w:val="000000"/>
          <w:sz w:val="24"/>
        </w:rPr>
      </w:pPr>
      <w:r>
        <w:rPr>
          <w:color w:val="000000"/>
          <w:sz w:val="24"/>
        </w:rPr>
        <w:t xml:space="preserve">（1）如本项目（包）不专门面向中小企业预留采购份额，</w:t>
      </w:r>
      <w:r>
        <w:rPr>
          <w:rFonts w:hint="eastAsia"/>
          <w:color w:val="000000"/>
          <w:sz w:val="24"/>
        </w:rPr>
        <w:t xml:space="preserve">供应商非必须</w:t>
      </w:r>
      <w:r>
        <w:rPr>
          <w:color w:val="000000"/>
          <w:sz w:val="24"/>
        </w:rPr>
        <w:t xml:space="preserve">提供</w:t>
      </w:r>
      <w:r>
        <w:rPr>
          <w:rFonts w:hint="eastAsia"/>
          <w:color w:val="000000"/>
          <w:sz w:val="24"/>
        </w:rPr>
        <w:t xml:space="preserve">；当小微企业拟享受中小企业扶持政策时，仍应提供</w:t>
      </w:r>
      <w:r>
        <w:rPr>
          <w:color w:val="000000"/>
          <w:sz w:val="24"/>
        </w:rPr>
        <w:t xml:space="preserve">《中小企业声明函》</w:t>
      </w:r>
      <w:r>
        <w:rPr>
          <w:rFonts w:hint="eastAsia"/>
          <w:color w:val="000000"/>
          <w:sz w:val="24"/>
        </w:rPr>
        <w:t xml:space="preserve">，</w:t>
      </w:r>
      <w:r>
        <w:rPr>
          <w:color w:val="000000"/>
          <w:sz w:val="24"/>
        </w:rPr>
        <w:t xml:space="preserve">否则不得享受相关中小企业扶持政策。</w:t>
      </w:r>
      <w:r>
        <w:rPr>
          <w:color w:val="000000"/>
          <w:sz w:val="24"/>
        </w:rPr>
      </w:r>
      <w:r/>
    </w:p>
    <w:p>
      <w:pPr>
        <w:pStyle w:val="1147"/>
        <w:spacing w:line="360" w:lineRule="auto"/>
        <w:tabs>
          <w:tab w:val="left" w:pos="5580" w:leader="none"/>
        </w:tabs>
        <w:rPr>
          <w:color w:val="000000"/>
          <w:sz w:val="24"/>
        </w:rPr>
      </w:pPr>
      <w:r>
        <w:rPr>
          <w:color w:val="000000"/>
          <w:sz w:val="24"/>
        </w:rPr>
        <w:t xml:space="preserve">（2）如本项目（包）专门面向中小/小微企业采购，须提供《中小企业声明函》</w:t>
      </w:r>
      <w:r>
        <w:rPr>
          <w:color w:val="000000"/>
          <w:sz w:val="24"/>
          <w:szCs w:val="20"/>
        </w:rPr>
        <w:t xml:space="preserve">（实质性格式）</w:t>
      </w:r>
      <w:r>
        <w:rPr>
          <w:color w:val="000000"/>
          <w:sz w:val="24"/>
        </w:rPr>
        <w:t xml:space="preserve">。</w:t>
      </w:r>
      <w:r>
        <w:rPr>
          <w:color w:val="000000"/>
          <w:sz w:val="24"/>
        </w:rPr>
      </w:r>
      <w:r/>
    </w:p>
    <w:p>
      <w:pPr>
        <w:pStyle w:val="1147"/>
        <w:spacing w:line="360" w:lineRule="auto"/>
        <w:tabs>
          <w:tab w:val="left" w:pos="5580" w:leader="none"/>
        </w:tabs>
        <w:rPr>
          <w:color w:val="000000"/>
          <w:sz w:val="24"/>
        </w:rPr>
      </w:pPr>
      <w:r>
        <w:rPr>
          <w:color w:val="000000"/>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color w:val="000000"/>
          <w:sz w:val="24"/>
        </w:rPr>
      </w:r>
      <w:r/>
    </w:p>
    <w:p>
      <w:pPr>
        <w:pStyle w:val="1147"/>
        <w:spacing w:line="360" w:lineRule="auto"/>
        <w:tabs>
          <w:tab w:val="left" w:pos="5580" w:leader="none"/>
        </w:tabs>
        <w:rPr>
          <w:color w:val="000000"/>
          <w:sz w:val="24"/>
        </w:rPr>
      </w:pPr>
      <w:r>
        <w:rPr>
          <w:color w:val="000000"/>
          <w:sz w:val="24"/>
        </w:rPr>
        <w:t xml:space="preserve">（4）其它</w:t>
      </w:r>
      <w:r>
        <w:rPr>
          <w:color w:val="000000"/>
          <w:sz w:val="24"/>
        </w:rPr>
      </w:r>
      <w:r/>
    </w:p>
    <w:p>
      <w:pPr>
        <w:pStyle w:val="1147"/>
        <w:spacing w:line="360" w:lineRule="auto"/>
        <w:tabs>
          <w:tab w:val="left" w:pos="5580" w:leader="none"/>
        </w:tabs>
        <w:rPr>
          <w:color w:val="000000"/>
          <w:sz w:val="24"/>
        </w:rPr>
      </w:pPr>
      <w:r>
        <w:rPr>
          <w:color w:val="000000"/>
          <w:sz w:val="24"/>
        </w:rPr>
        <w:t xml:space="preserve">1）中小企业参加政府采购活动，应当出具此格式文件。《中小企业声明函》由参加政府采购活动的供应商出具。联合体</w:t>
      </w:r>
      <w:r>
        <w:rPr>
          <w:rFonts w:hint="eastAsia"/>
          <w:color w:val="000000"/>
          <w:sz w:val="24"/>
        </w:rPr>
        <w:t xml:space="preserve">响应</w:t>
      </w:r>
      <w:r>
        <w:rPr>
          <w:color w:val="000000"/>
          <w:sz w:val="24"/>
        </w:rPr>
        <w:t xml:space="preserve">的，《中小企业声明函》由牵头人出具。</w:t>
      </w:r>
      <w:r>
        <w:rPr>
          <w:color w:val="000000"/>
          <w:sz w:val="24"/>
        </w:rPr>
      </w:r>
      <w:r/>
    </w:p>
    <w:p>
      <w:pPr>
        <w:pStyle w:val="1147"/>
        <w:spacing w:line="360" w:lineRule="auto"/>
        <w:tabs>
          <w:tab w:val="left" w:pos="5580" w:leader="none"/>
        </w:tabs>
        <w:rPr>
          <w:color w:val="000000"/>
          <w:sz w:val="24"/>
        </w:rPr>
      </w:pPr>
      <w:r>
        <w:rPr>
          <w:color w:val="000000"/>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rPr>
      </w:r>
      <w:r/>
    </w:p>
    <w:p>
      <w:pPr>
        <w:pStyle w:val="1147"/>
        <w:spacing w:line="360" w:lineRule="auto"/>
        <w:tabs>
          <w:tab w:val="left" w:pos="5580" w:leader="none"/>
        </w:tabs>
        <w:rPr>
          <w:color w:val="000000"/>
          <w:sz w:val="24"/>
        </w:rPr>
      </w:pPr>
      <w:r>
        <w:rPr>
          <w:color w:val="000000"/>
          <w:sz w:val="24"/>
        </w:rPr>
        <w:t xml:space="preserve">3）对于多标的的采购项目，供应商应充分、准确地了解所投产品制造企业信息。对相关情况了解不清楚的，不建议填报本声明函。</w:t>
      </w:r>
      <w:r>
        <w:rPr>
          <w:color w:val="000000"/>
          <w:sz w:val="24"/>
        </w:rPr>
      </w:r>
      <w:r/>
    </w:p>
    <w:p>
      <w:pPr>
        <w:pStyle w:val="1147"/>
        <w:spacing w:line="360" w:lineRule="auto"/>
        <w:tabs>
          <w:tab w:val="left" w:pos="5580" w:leader="none"/>
        </w:tabs>
        <w:rPr>
          <w:color w:val="000000"/>
          <w:sz w:val="24"/>
        </w:rPr>
      </w:pPr>
      <w:r>
        <w:rPr>
          <w:color w:val="000000"/>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color w:val="000000"/>
          <w:sz w:val="24"/>
        </w:rPr>
      </w:r>
      <w:r/>
    </w:p>
    <w:p>
      <w:pPr>
        <w:pStyle w:val="1147"/>
        <w:spacing w:line="360" w:lineRule="auto"/>
        <w:tabs>
          <w:tab w:val="left" w:pos="5580" w:leader="none"/>
        </w:tabs>
        <w:rPr>
          <w:color w:val="000000"/>
          <w:sz w:val="24"/>
        </w:rPr>
      </w:pPr>
      <w:r>
        <w:rPr>
          <w:color w:val="000000"/>
          <w:sz w:val="24"/>
        </w:rPr>
      </w:r>
      <w:r/>
    </w:p>
    <w:p>
      <w:pPr>
        <w:pStyle w:val="1147"/>
        <w:jc w:val="center"/>
        <w:widowControl/>
        <w:rPr>
          <w:b/>
          <w:bCs/>
          <w:color w:val="000000"/>
          <w:sz w:val="36"/>
          <w:szCs w:val="36"/>
        </w:rPr>
      </w:pPr>
      <w:r>
        <w:rPr>
          <w:color w:val="000000"/>
          <w:sz w:val="24"/>
        </w:rPr>
        <w:br w:type="page" w:clear="all"/>
      </w:r>
      <w:r>
        <w:rPr>
          <w:rFonts w:hint="eastAsia"/>
          <w:b/>
          <w:bCs/>
          <w:color w:val="000000"/>
          <w:sz w:val="36"/>
          <w:szCs w:val="36"/>
        </w:rPr>
        <w:t xml:space="preserve">中小企业声明函（工程、服务）格式</w:t>
      </w:r>
      <w:r>
        <w:rPr>
          <w:b/>
          <w:bCs/>
          <w:color w:val="000000"/>
          <w:sz w:val="36"/>
          <w:szCs w:val="36"/>
        </w:rPr>
      </w:r>
      <w:r/>
    </w:p>
    <w:p>
      <w:pPr>
        <w:pStyle w:val="1147"/>
        <w:ind w:firstLine="504"/>
        <w:spacing w:line="360" w:lineRule="auto"/>
        <w:rPr>
          <w:color w:val="000000"/>
          <w:spacing w:val="6"/>
          <w:sz w:val="24"/>
        </w:rPr>
      </w:pPr>
      <w:r>
        <w:rPr>
          <w:color w:val="000000"/>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spacing w:val="6"/>
          <w:sz w:val="24"/>
        </w:rPr>
      </w:r>
      <w:r/>
    </w:p>
    <w:p>
      <w:pPr>
        <w:pStyle w:val="1147"/>
        <w:ind w:firstLine="504"/>
        <w:spacing w:line="360" w:lineRule="auto"/>
        <w:rPr>
          <w:color w:val="000000"/>
          <w:spacing w:val="6"/>
          <w:sz w:val="24"/>
        </w:rPr>
      </w:pPr>
      <w:r>
        <w:rPr>
          <w:color w:val="000000"/>
          <w:spacing w:val="6"/>
          <w:sz w:val="24"/>
        </w:rPr>
        <w:t xml:space="preserve">1.</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行业；承建（承接）企业为</w:t>
      </w:r>
      <w:r>
        <w:rPr>
          <w:color w:val="000000"/>
          <w:spacing w:val="6"/>
          <w:sz w:val="24"/>
          <w:u w:val="single"/>
        </w:rPr>
        <w:t xml:space="preserve">（企业名称）</w:t>
      </w:r>
      <w:r>
        <w:rPr>
          <w:color w:val="000000"/>
          <w:spacing w:val="6"/>
          <w:sz w:val="24"/>
        </w:rPr>
        <w:t xml:space="preserve">，从业人员______人，营业收入为______万元，资产总额为______万元</w:t>
      </w:r>
      <w:r>
        <w:rPr>
          <w:color w:val="000000"/>
          <w:spacing w:val="6"/>
          <w:sz w:val="24"/>
          <w:vertAlign w:val="superscript"/>
        </w:rPr>
        <w:t xml:space="preserve">1</w:t>
      </w:r>
      <w:r>
        <w:rPr>
          <w:color w:val="000000"/>
          <w:spacing w:val="6"/>
          <w:sz w:val="24"/>
        </w:rPr>
        <w:t xml:space="preserve">，属于（中型企业、小型企业、微型企业）；</w:t>
      </w:r>
      <w:r>
        <w:rPr>
          <w:color w:val="000000"/>
          <w:spacing w:val="6"/>
          <w:sz w:val="24"/>
        </w:rPr>
      </w:r>
      <w:r/>
    </w:p>
    <w:p>
      <w:pPr>
        <w:pStyle w:val="1147"/>
        <w:ind w:firstLine="504"/>
        <w:spacing w:line="360" w:lineRule="auto"/>
        <w:rPr>
          <w:color w:val="000000"/>
          <w:spacing w:val="6"/>
          <w:sz w:val="24"/>
        </w:rPr>
      </w:pPr>
      <w:r>
        <w:rPr>
          <w:color w:val="000000"/>
          <w:spacing w:val="6"/>
          <w:sz w:val="24"/>
        </w:rPr>
        <w:t xml:space="preserve">2.</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行业；承建（承接）企业为</w:t>
      </w:r>
      <w:r>
        <w:rPr>
          <w:color w:val="000000"/>
          <w:spacing w:val="6"/>
          <w:sz w:val="24"/>
          <w:u w:val="single"/>
        </w:rPr>
        <w:t xml:space="preserve">（企业名称）</w:t>
      </w:r>
      <w:r>
        <w:rPr>
          <w:color w:val="000000"/>
          <w:spacing w:val="6"/>
          <w:sz w:val="24"/>
        </w:rPr>
        <w:t xml:space="preserve">，从业人员______人，营业收入为______万元，资产总额为______万元，属于</w:t>
      </w:r>
      <w:r>
        <w:rPr>
          <w:color w:val="000000"/>
          <w:spacing w:val="6"/>
          <w:sz w:val="24"/>
          <w:u w:val="single"/>
        </w:rPr>
        <w:t xml:space="preserve">（中型企业、小型企业、微型企业）</w:t>
      </w:r>
      <w:r>
        <w:rPr>
          <w:color w:val="000000"/>
          <w:spacing w:val="6"/>
          <w:sz w:val="24"/>
        </w:rPr>
        <w:t xml:space="preserve">；</w:t>
      </w:r>
      <w:r>
        <w:rPr>
          <w:color w:val="000000"/>
          <w:spacing w:val="6"/>
          <w:sz w:val="24"/>
        </w:rPr>
      </w:r>
      <w:r/>
    </w:p>
    <w:p>
      <w:pPr>
        <w:pStyle w:val="1147"/>
        <w:ind w:firstLine="504"/>
        <w:spacing w:line="360" w:lineRule="auto"/>
        <w:rPr>
          <w:color w:val="000000"/>
          <w:spacing w:val="6"/>
          <w:sz w:val="24"/>
        </w:rPr>
      </w:pPr>
      <w:r>
        <w:rPr>
          <w:color w:val="000000"/>
          <w:spacing w:val="6"/>
          <w:sz w:val="24"/>
        </w:rPr>
      </w:r>
      <w:r/>
    </w:p>
    <w:p>
      <w:pPr>
        <w:pStyle w:val="1147"/>
        <w:ind w:firstLine="504"/>
        <w:spacing w:line="360" w:lineRule="auto"/>
        <w:rPr>
          <w:color w:val="000000"/>
          <w:spacing w:val="6"/>
          <w:sz w:val="24"/>
        </w:rPr>
      </w:pPr>
      <w:r>
        <w:rPr>
          <w:color w:val="000000"/>
          <w:spacing w:val="6"/>
          <w:sz w:val="24"/>
        </w:rPr>
        <w:t xml:space="preserve">……</w:t>
      </w:r>
      <w:r>
        <w:rPr>
          <w:color w:val="000000"/>
          <w:spacing w:val="6"/>
          <w:sz w:val="24"/>
        </w:rPr>
      </w:r>
      <w:r/>
    </w:p>
    <w:p>
      <w:pPr>
        <w:pStyle w:val="1147"/>
        <w:ind w:firstLine="504"/>
        <w:spacing w:line="360" w:lineRule="auto"/>
        <w:rPr>
          <w:color w:val="000000"/>
          <w:spacing w:val="6"/>
          <w:sz w:val="24"/>
        </w:rPr>
      </w:pPr>
      <w:r>
        <w:rPr>
          <w:color w:val="000000"/>
          <w:spacing w:val="6"/>
          <w:sz w:val="24"/>
        </w:rPr>
        <w:t xml:space="preserve">以上企业，不属于大企业的分支机构，不存在控股股东为大企业的情形，也不存在与大企业的负责人为同一人的情形。</w:t>
      </w:r>
      <w:r>
        <w:rPr>
          <w:color w:val="000000"/>
          <w:spacing w:val="6"/>
          <w:sz w:val="24"/>
        </w:rPr>
      </w:r>
      <w:r/>
    </w:p>
    <w:p>
      <w:pPr>
        <w:pStyle w:val="1147"/>
        <w:ind w:firstLine="504"/>
        <w:spacing w:line="360" w:lineRule="auto"/>
        <w:rPr>
          <w:color w:val="000000"/>
          <w:spacing w:val="6"/>
          <w:sz w:val="24"/>
        </w:rPr>
      </w:pPr>
      <w:r>
        <w:rPr>
          <w:color w:val="000000"/>
          <w:spacing w:val="6"/>
          <w:sz w:val="24"/>
        </w:rPr>
        <w:t xml:space="preserve">本企业对上述声明内容的真实性负责。如有虚假，将依法承担相应责任。</w:t>
      </w:r>
      <w:r>
        <w:rPr>
          <w:color w:val="000000"/>
          <w:spacing w:val="6"/>
          <w:sz w:val="24"/>
        </w:rPr>
      </w:r>
      <w:r/>
    </w:p>
    <w:p>
      <w:pPr>
        <w:pStyle w:val="1147"/>
        <w:ind w:right="360" w:firstLine="480"/>
        <w:jc w:val="right"/>
        <w:spacing w:line="360" w:lineRule="auto"/>
        <w:rPr>
          <w:color w:val="000000"/>
          <w:sz w:val="24"/>
        </w:rPr>
      </w:pPr>
      <w:r>
        <w:rPr>
          <w:color w:val="000000"/>
          <w:sz w:val="24"/>
        </w:rPr>
      </w:r>
      <w:r/>
    </w:p>
    <w:p>
      <w:pPr>
        <w:pStyle w:val="1147"/>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147"/>
        <w:ind w:right="360" w:firstLine="480"/>
        <w:jc w:val="right"/>
        <w:spacing w:line="360" w:lineRule="auto"/>
        <w:rPr>
          <w:color w:val="000000"/>
          <w:sz w:val="24"/>
        </w:rPr>
      </w:pPr>
      <w:r>
        <w:rPr>
          <w:color w:val="000000"/>
          <w:sz w:val="24"/>
        </w:rPr>
        <w:t xml:space="preserve">日 期：________</w:t>
      </w:r>
      <w:r>
        <w:rPr>
          <w:color w:val="000000"/>
          <w:sz w:val="24"/>
        </w:rPr>
      </w:r>
      <w:r/>
    </w:p>
    <w:p>
      <w:pPr>
        <w:pStyle w:val="1147"/>
        <w:jc w:val="left"/>
        <w:rPr>
          <w:color w:val="000000"/>
          <w:sz w:val="24"/>
          <w:szCs w:val="21"/>
        </w:rPr>
      </w:pPr>
      <w:r>
        <w:rPr>
          <w:color w:val="000000"/>
          <w:sz w:val="24"/>
          <w:szCs w:val="21"/>
        </w:rPr>
      </w:r>
      <w:r/>
    </w:p>
    <w:p>
      <w:pPr>
        <w:pStyle w:val="1147"/>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147"/>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147"/>
        <w:jc w:val="left"/>
        <w:rPr>
          <w:color w:val="000000"/>
          <w:szCs w:val="21"/>
          <w:vertAlign w:val="superscript"/>
        </w:rPr>
      </w:pPr>
      <w:r>
        <w:rPr>
          <w:color w:val="000000"/>
          <w:szCs w:val="21"/>
          <w:vertAlign w:val="superscript"/>
        </w:rPr>
      </w:r>
      <w:r/>
    </w:p>
    <w:p>
      <w:pPr>
        <w:pStyle w:val="1147"/>
        <w:ind w:right="360" w:firstLine="480"/>
        <w:jc w:val="right"/>
        <w:spacing w:line="360" w:lineRule="auto"/>
        <w:rPr>
          <w:color w:val="000000"/>
          <w:sz w:val="24"/>
        </w:rPr>
      </w:pPr>
      <w:r>
        <w:rPr>
          <w:color w:val="000000"/>
          <w:sz w:val="24"/>
        </w:rPr>
      </w:r>
      <w:r/>
    </w:p>
    <w:p>
      <w:pPr>
        <w:pStyle w:val="1147"/>
        <w:jc w:val="center"/>
        <w:spacing w:before="240" w:after="240" w:line="360" w:lineRule="auto"/>
        <w:rPr>
          <w:rFonts w:hint="eastAsia"/>
          <w:color w:val="000000"/>
          <w:sz w:val="24"/>
          <w:szCs w:val="20"/>
        </w:rPr>
      </w:pPr>
      <w:r>
        <w:rPr>
          <w:rFonts w:hint="eastAsia"/>
          <w:color w:val="000000"/>
          <w:sz w:val="24"/>
          <w:szCs w:val="20"/>
        </w:rPr>
      </w:r>
      <w:r/>
    </w:p>
    <w:p>
      <w:pPr>
        <w:pStyle w:val="1147"/>
        <w:jc w:val="center"/>
        <w:spacing w:before="240" w:after="240" w:line="360" w:lineRule="auto"/>
        <w:rPr>
          <w:rFonts w:hint="eastAsia"/>
          <w:color w:val="000000"/>
          <w:sz w:val="24"/>
          <w:szCs w:val="20"/>
        </w:rPr>
      </w:pPr>
      <w:r>
        <w:rPr>
          <w:rFonts w:hint="eastAsia"/>
          <w:color w:val="000000"/>
          <w:sz w:val="24"/>
          <w:szCs w:val="20"/>
        </w:rPr>
      </w:r>
      <w:r/>
    </w:p>
    <w:p>
      <w:pPr>
        <w:pStyle w:val="1147"/>
        <w:jc w:val="center"/>
        <w:spacing w:before="240" w:after="240" w:line="360" w:lineRule="auto"/>
        <w:rPr>
          <w:rFonts w:hint="eastAsia"/>
          <w:color w:val="000000"/>
          <w:sz w:val="24"/>
          <w:szCs w:val="20"/>
        </w:rPr>
      </w:pPr>
      <w:r>
        <w:rPr>
          <w:rFonts w:hint="eastAsia"/>
          <w:color w:val="000000"/>
          <w:sz w:val="24"/>
          <w:szCs w:val="20"/>
        </w:rPr>
      </w:r>
      <w:r/>
    </w:p>
    <w:p>
      <w:pPr>
        <w:pStyle w:val="1147"/>
        <w:jc w:val="center"/>
        <w:spacing w:before="240" w:after="240" w:line="360" w:lineRule="auto"/>
        <w:rPr>
          <w:rFonts w:hint="eastAsia"/>
          <w:color w:val="000000"/>
          <w:sz w:val="24"/>
          <w:szCs w:val="20"/>
        </w:rPr>
      </w:pPr>
      <w:r>
        <w:rPr>
          <w:rFonts w:hint="eastAsia"/>
          <w:color w:val="000000"/>
          <w:sz w:val="24"/>
          <w:szCs w:val="20"/>
        </w:rPr>
      </w:r>
      <w:r/>
    </w:p>
    <w:p>
      <w:pPr>
        <w:pStyle w:val="1147"/>
        <w:jc w:val="center"/>
        <w:spacing w:before="240" w:after="240" w:line="360" w:lineRule="auto"/>
        <w:rPr>
          <w:color w:val="000000"/>
          <w:sz w:val="24"/>
          <w:szCs w:val="20"/>
        </w:rPr>
      </w:pPr>
      <w:r>
        <w:rPr>
          <w:color w:val="000000"/>
          <w:sz w:val="24"/>
          <w:szCs w:val="20"/>
        </w:rPr>
      </w:r>
      <w:r/>
    </w:p>
    <w:p>
      <w:pPr>
        <w:pStyle w:val="1147"/>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1147"/>
        <w:jc w:val="center"/>
        <w:rPr>
          <w:color w:val="000000"/>
          <w:sz w:val="36"/>
          <w:szCs w:val="36"/>
        </w:rPr>
      </w:pPr>
      <w:r>
        <w:rPr>
          <w:color w:val="000000"/>
          <w:sz w:val="36"/>
          <w:szCs w:val="36"/>
        </w:rPr>
      </w:r>
      <w:r/>
    </w:p>
    <w:p>
      <w:pPr>
        <w:pStyle w:val="1147"/>
        <w:ind w:firstLine="504"/>
        <w:spacing w:line="588" w:lineRule="exact"/>
        <w:rPr>
          <w:color w:val="000000"/>
          <w:spacing w:val="6"/>
          <w:sz w:val="24"/>
        </w:rPr>
      </w:pPr>
      <w:r>
        <w:rPr>
          <w:color w:val="000000"/>
          <w:spacing w:val="6"/>
          <w:sz w:val="24"/>
        </w:rPr>
        <w:t xml:space="preserve">本单位郑重声明，根据《财政部 民政部 中国残疾人联合会关于促进残疾人就业政府采购政策的通知》（财库</w:t>
      </w:r>
      <w:r>
        <w:rPr>
          <w:color w:val="000000"/>
          <w:sz w:val="24"/>
        </w:rPr>
        <w:t xml:space="preserve">〔2017〕 141</w:t>
      </w:r>
      <w:r>
        <w:rPr>
          <w:color w:val="000000"/>
          <w:spacing w:val="6"/>
          <w:sz w:val="24"/>
        </w:rPr>
        <w:t xml:space="preserve">号）的规定，本单位</w:t>
      </w:r>
      <w:r>
        <w:rPr>
          <w:b/>
          <w:color w:val="000000"/>
          <w:sz w:val="24"/>
        </w:rPr>
        <w:t xml:space="preserve">（请进行勾选）</w:t>
      </w:r>
      <w:r>
        <w:rPr>
          <w:color w:val="000000"/>
          <w:spacing w:val="6"/>
          <w:sz w:val="24"/>
        </w:rPr>
        <w:t xml:space="preserve">：</w:t>
      </w:r>
      <w:r>
        <w:rPr>
          <w:color w:val="000000"/>
          <w:spacing w:val="6"/>
          <w:sz w:val="24"/>
        </w:rPr>
      </w:r>
      <w:r/>
    </w:p>
    <w:p>
      <w:pPr>
        <w:pStyle w:val="1147"/>
        <w:ind w:firstLine="482"/>
        <w:spacing w:line="588" w:lineRule="exact"/>
        <w:rPr>
          <w:b/>
          <w:color w:val="000000"/>
          <w:spacing w:val="6"/>
          <w:sz w:val="24"/>
        </w:rPr>
      </w:pPr>
      <w:r>
        <w:rPr>
          <w:b/>
          <w:color w:val="000000"/>
          <w:sz w:val="24"/>
        </w:rPr>
        <w:t xml:space="preserve">□</w:t>
      </w:r>
      <w:r>
        <w:rPr>
          <w:b/>
          <w:color w:val="000000"/>
          <w:spacing w:val="6"/>
          <w:sz w:val="24"/>
        </w:rPr>
        <w:t xml:space="preserve">不属于符合条件的残疾人福利性单位。</w:t>
      </w:r>
      <w:r>
        <w:rPr>
          <w:b/>
          <w:color w:val="000000"/>
          <w:spacing w:val="6"/>
          <w:sz w:val="24"/>
        </w:rPr>
      </w:r>
      <w:r/>
    </w:p>
    <w:p>
      <w:pPr>
        <w:pStyle w:val="1147"/>
        <w:ind w:firstLine="482"/>
        <w:spacing w:line="588" w:lineRule="exact"/>
        <w:rPr>
          <w:color w:val="000000"/>
          <w:spacing w:val="6"/>
          <w:sz w:val="24"/>
        </w:rPr>
      </w:pPr>
      <w:r>
        <w:rPr>
          <w:b/>
          <w:color w:val="000000"/>
          <w:sz w:val="24"/>
        </w:rPr>
        <w:t xml:space="preserve">□</w:t>
      </w:r>
      <w:r>
        <w:rPr>
          <w:b/>
          <w:color w:val="000000"/>
          <w:spacing w:val="6"/>
          <w:sz w:val="24"/>
        </w:rPr>
        <w:t xml:space="preserve">属于符合条件的残疾人福利性单位，</w:t>
      </w:r>
      <w:r>
        <w:rPr>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rPr>
      </w:r>
      <w:r/>
    </w:p>
    <w:p>
      <w:pPr>
        <w:pStyle w:val="1147"/>
        <w:ind w:firstLine="506"/>
        <w:spacing w:line="588" w:lineRule="exact"/>
        <w:rPr>
          <w:color w:val="000000"/>
          <w:spacing w:val="6"/>
          <w:sz w:val="24"/>
        </w:rPr>
      </w:pPr>
      <w:r>
        <w:rPr>
          <w:b/>
          <w:color w:val="000000"/>
          <w:spacing w:val="6"/>
          <w:sz w:val="24"/>
        </w:rPr>
        <w:t xml:space="preserve">本单位对上述声明的真实性负责。如有虚假，将依法承担相应责任。</w:t>
      </w:r>
      <w:r>
        <w:rPr>
          <w:color w:val="000000"/>
          <w:spacing w:val="6"/>
          <w:sz w:val="24"/>
        </w:rPr>
      </w:r>
      <w:r/>
    </w:p>
    <w:p>
      <w:pPr>
        <w:pStyle w:val="1147"/>
        <w:ind w:firstLine="504"/>
        <w:spacing w:line="588" w:lineRule="exact"/>
        <w:rPr>
          <w:color w:val="000000"/>
          <w:spacing w:val="6"/>
          <w:sz w:val="24"/>
        </w:rPr>
      </w:pPr>
      <w:r>
        <w:rPr>
          <w:color w:val="000000"/>
          <w:spacing w:val="6"/>
          <w:sz w:val="24"/>
        </w:rPr>
      </w:r>
      <w:r/>
    </w:p>
    <w:p>
      <w:pPr>
        <w:pStyle w:val="1147"/>
        <w:ind w:firstLine="504"/>
        <w:spacing w:line="588" w:lineRule="exact"/>
        <w:rPr>
          <w:color w:val="000000"/>
          <w:spacing w:val="6"/>
          <w:sz w:val="24"/>
        </w:rPr>
      </w:pPr>
      <w:r>
        <w:rPr>
          <w:color w:val="000000"/>
          <w:spacing w:val="6"/>
          <w:sz w:val="24"/>
        </w:rPr>
      </w:r>
      <w:r/>
    </w:p>
    <w:p>
      <w:pPr>
        <w:pStyle w:val="1147"/>
        <w:ind w:right="1560" w:firstLine="504"/>
        <w:jc w:val="center"/>
        <w:spacing w:line="588" w:lineRule="exact"/>
        <w:tabs>
          <w:tab w:val="left" w:pos="4860" w:leader="none"/>
        </w:tabs>
        <w:rPr>
          <w:color w:val="000000"/>
          <w:spacing w:val="6"/>
          <w:sz w:val="24"/>
        </w:rPr>
      </w:pPr>
      <w:r>
        <w:rPr>
          <w:color w:val="000000"/>
          <w:spacing w:val="6"/>
          <w:sz w:val="24"/>
        </w:rPr>
        <w:t xml:space="preserve">               单位名称（盖章）：</w:t>
      </w:r>
      <w:r>
        <w:rPr>
          <w:color w:val="000000"/>
          <w:spacing w:val="6"/>
          <w:sz w:val="24"/>
        </w:rPr>
      </w:r>
      <w:r/>
    </w:p>
    <w:p>
      <w:pPr>
        <w:pStyle w:val="1147"/>
        <w:ind w:right="1560" w:firstLine="504"/>
        <w:jc w:val="center"/>
        <w:spacing w:line="588" w:lineRule="exact"/>
        <w:tabs>
          <w:tab w:val="left" w:pos="4860" w:leader="none"/>
        </w:tabs>
        <w:rPr>
          <w:color w:val="000000"/>
          <w:spacing w:val="6"/>
          <w:sz w:val="24"/>
        </w:rPr>
      </w:pPr>
      <w:r>
        <w:rPr>
          <w:color w:val="000000"/>
          <w:spacing w:val="6"/>
          <w:sz w:val="24"/>
        </w:rPr>
        <w:t xml:space="preserve">       日  期：</w:t>
      </w:r>
      <w:r>
        <w:rPr>
          <w:color w:val="000000"/>
          <w:spacing w:val="6"/>
          <w:sz w:val="24"/>
        </w:rPr>
      </w:r>
      <w:r/>
    </w:p>
    <w:p>
      <w:pPr>
        <w:pStyle w:val="1147"/>
        <w:spacing w:line="360" w:lineRule="auto"/>
        <w:tabs>
          <w:tab w:val="left" w:pos="8280" w:leader="none"/>
        </w:tabs>
        <w:rPr>
          <w:color w:val="000000"/>
          <w:sz w:val="24"/>
          <w:szCs w:val="20"/>
        </w:rPr>
      </w:pPr>
      <w:r>
        <w:rPr>
          <w:color w:val="000000"/>
          <w:sz w:val="24"/>
          <w:szCs w:val="20"/>
        </w:rPr>
        <w:br w:type="page" w:clear="all"/>
      </w:r>
      <w:r>
        <w:rPr>
          <w:rFonts w:hint="eastAsia"/>
          <w:color w:val="000000"/>
          <w:sz w:val="24"/>
          <w:szCs w:val="20"/>
          <w:lang w:val="en-US" w:eastAsia="zh-CN"/>
        </w:rPr>
        <w:t xml:space="preserve">2</w:t>
      </w:r>
      <w:r>
        <w:rPr>
          <w:color w:val="000000"/>
          <w:sz w:val="24"/>
          <w:szCs w:val="20"/>
        </w:rPr>
        <w:t xml:space="preserve">-3</w:t>
      </w:r>
      <w:r>
        <w:rPr>
          <w:color w:val="000000"/>
          <w:sz w:val="24"/>
        </w:rPr>
        <w:t xml:space="preserve">其它落实政府采购政策的资格要求</w:t>
      </w:r>
      <w:r>
        <w:rPr>
          <w:color w:val="000000"/>
          <w:sz w:val="24"/>
          <w:szCs w:val="20"/>
        </w:rPr>
        <w:t xml:space="preserve">（如有）</w:t>
      </w:r>
      <w:r>
        <w:rPr>
          <w:color w:val="000000"/>
          <w:sz w:val="24"/>
          <w:szCs w:val="20"/>
        </w:rPr>
      </w:r>
      <w:r/>
    </w:p>
    <w:p>
      <w:pPr>
        <w:pStyle w:val="1147"/>
        <w:jc w:val="left"/>
        <w:widowControl/>
        <w:rPr>
          <w:color w:val="000000"/>
          <w:sz w:val="24"/>
        </w:rPr>
      </w:pPr>
      <w:r>
        <w:rPr>
          <w:color w:val="000000"/>
          <w:sz w:val="24"/>
        </w:rPr>
      </w:r>
      <w:r/>
    </w:p>
    <w:p>
      <w:pPr>
        <w:pStyle w:val="1147"/>
        <w:jc w:val="left"/>
        <w:widowControl/>
        <w:rPr>
          <w:color w:val="000000"/>
          <w:sz w:val="24"/>
        </w:rPr>
      </w:pPr>
      <w:r>
        <w:rPr>
          <w:color w:val="000000"/>
          <w:sz w:val="24"/>
        </w:rPr>
        <w:br w:type="page" w:clear="all"/>
      </w:r>
      <w:r>
        <w:rPr>
          <w:color w:val="000000"/>
          <w:sz w:val="24"/>
          <w:szCs w:val="20"/>
        </w:rPr>
        <w:t xml:space="preserve">3 </w:t>
      </w:r>
      <w:r>
        <w:rPr>
          <w:color w:val="000000"/>
          <w:sz w:val="24"/>
        </w:rPr>
        <w:t xml:space="preserve">本项目的特定资格要求</w:t>
      </w:r>
      <w:r>
        <w:rPr>
          <w:color w:val="000000"/>
          <w:sz w:val="24"/>
        </w:rPr>
      </w:r>
      <w:r/>
    </w:p>
    <w:p>
      <w:pPr>
        <w:pStyle w:val="1147"/>
        <w:ind w:firstLine="482"/>
        <w:spacing w:line="588" w:lineRule="exact"/>
        <w:rPr>
          <w:rFonts w:ascii="Times New Roman" w:hAnsi="Times New Roman" w:eastAsia="宋体" w:cs="Times New Roman"/>
          <w:color w:val="0000ff"/>
          <w:spacing w:val="6"/>
          <w:sz w:val="24"/>
          <w:lang w:val="en-US" w:eastAsia="zh-CN"/>
        </w:rPr>
      </w:pPr>
      <w:r>
        <w:rPr>
          <w:rFonts w:hint="eastAsia" w:ascii="Times New Roman" w:hAnsi="Times New Roman" w:eastAsia="宋体" w:cs="Times New Roman"/>
          <w:color w:val="0000ff"/>
          <w:spacing w:val="6"/>
          <w:sz w:val="24"/>
          <w:lang w:val="en-US" w:eastAsia="zh-CN"/>
        </w:rPr>
        <w:t xml:space="preserve">详见公告</w:t>
      </w:r>
      <w:r>
        <w:rPr>
          <w:rFonts w:ascii="Times New Roman" w:hAnsi="Times New Roman" w:eastAsia="宋体" w:cs="Times New Roman"/>
          <w:color w:val="0000ff"/>
          <w:spacing w:val="6"/>
          <w:sz w:val="24"/>
          <w:lang w:val="en-US" w:eastAsia="zh-CN"/>
        </w:rPr>
      </w:r>
      <w:r/>
    </w:p>
    <w:p>
      <w:pPr>
        <w:pStyle w:val="1226"/>
        <w:rPr>
          <w:color w:val="000000"/>
        </w:rPr>
      </w:pPr>
      <w:r>
        <w:rPr>
          <w:color w:val="000000"/>
        </w:rPr>
      </w:r>
      <w:r/>
    </w:p>
    <w:p>
      <w:pPr>
        <w:pStyle w:val="1226"/>
        <w:rPr>
          <w:color w:val="000000"/>
        </w:rPr>
      </w:pPr>
      <w:r>
        <w:rPr>
          <w:color w:val="000000"/>
        </w:rPr>
      </w:r>
      <w:r/>
    </w:p>
    <w:p>
      <w:pPr>
        <w:pStyle w:val="1147"/>
        <w:spacing w:line="360" w:lineRule="auto"/>
        <w:rPr>
          <w:color w:val="000000"/>
          <w:sz w:val="24"/>
          <w:szCs w:val="20"/>
        </w:rPr>
        <w:outlineLvl w:val="2"/>
      </w:pPr>
      <w:r>
        <w:rPr>
          <w:color w:val="000000"/>
          <w:sz w:val="24"/>
          <w:szCs w:val="20"/>
        </w:rPr>
      </w:r>
      <w:r/>
    </w:p>
    <w:p>
      <w:pPr>
        <w:pStyle w:val="1147"/>
        <w:spacing w:line="360" w:lineRule="auto"/>
        <w:rPr>
          <w:color w:val="000000"/>
          <w:sz w:val="24"/>
          <w:szCs w:val="20"/>
        </w:rPr>
        <w:outlineLvl w:val="2"/>
      </w:pPr>
      <w:r>
        <w:rPr>
          <w:color w:val="000000"/>
          <w:sz w:val="24"/>
          <w:szCs w:val="20"/>
        </w:rPr>
      </w:r>
      <w:r/>
    </w:p>
    <w:p>
      <w:pPr>
        <w:pStyle w:val="1147"/>
        <w:spacing w:line="360" w:lineRule="auto"/>
        <w:rPr>
          <w:color w:val="000000"/>
          <w:sz w:val="24"/>
          <w:szCs w:val="20"/>
        </w:rPr>
        <w:outlineLvl w:val="2"/>
      </w:pPr>
      <w:r>
        <w:rPr>
          <w:color w:val="000000"/>
          <w:sz w:val="24"/>
          <w:szCs w:val="20"/>
        </w:rPr>
      </w:r>
      <w:r/>
    </w:p>
    <w:p>
      <w:pPr>
        <w:pStyle w:val="1147"/>
        <w:spacing w:line="360" w:lineRule="auto"/>
        <w:rPr>
          <w:color w:val="000000"/>
          <w:sz w:val="24"/>
          <w:szCs w:val="20"/>
        </w:rPr>
        <w:outlineLvl w:val="2"/>
      </w:pPr>
      <w:r>
        <w:rPr>
          <w:color w:val="000000"/>
          <w:sz w:val="24"/>
          <w:szCs w:val="20"/>
        </w:rPr>
        <w:t xml:space="preserve">3-2其他特定资格要求</w:t>
      </w:r>
      <w:r>
        <w:rPr>
          <w:color w:val="000000"/>
          <w:sz w:val="24"/>
          <w:szCs w:val="20"/>
        </w:rPr>
      </w:r>
      <w:r/>
    </w:p>
    <w:p>
      <w:pPr>
        <w:pStyle w:val="1147"/>
        <w:ind w:firstLine="482"/>
        <w:spacing w:line="588" w:lineRule="exact"/>
        <w:rPr>
          <w:rFonts w:ascii="Times New Roman" w:hAnsi="Times New Roman" w:eastAsia="宋体" w:cs="Times New Roman"/>
          <w:color w:val="0000ff"/>
          <w:spacing w:val="6"/>
          <w:sz w:val="24"/>
          <w:lang w:val="en-US" w:eastAsia="zh-CN"/>
        </w:rPr>
      </w:pPr>
      <w:r>
        <w:rPr>
          <w:rFonts w:hint="eastAsia" w:ascii="Times New Roman" w:hAnsi="Times New Roman" w:eastAsia="宋体" w:cs="Times New Roman"/>
          <w:color w:val="0000ff"/>
          <w:spacing w:val="6"/>
          <w:sz w:val="24"/>
          <w:lang w:val="en-US" w:eastAsia="zh-CN"/>
        </w:rPr>
        <w:t xml:space="preserve">详见公告</w:t>
      </w:r>
      <w:r>
        <w:rPr>
          <w:rFonts w:ascii="Times New Roman" w:hAnsi="Times New Roman" w:eastAsia="宋体" w:cs="Times New Roman"/>
          <w:color w:val="0000ff"/>
          <w:spacing w:val="6"/>
          <w:sz w:val="24"/>
          <w:lang w:val="en-US" w:eastAsia="zh-CN"/>
        </w:rPr>
      </w:r>
      <w:r/>
    </w:p>
    <w:p>
      <w:pPr>
        <w:pStyle w:val="1147"/>
        <w:spacing w:line="360" w:lineRule="auto"/>
        <w:tabs>
          <w:tab w:val="left" w:pos="5580" w:leader="none"/>
        </w:tabs>
        <w:rPr>
          <w:color w:val="000000"/>
          <w:sz w:val="24"/>
          <w:szCs w:val="20"/>
        </w:rPr>
      </w:pPr>
      <w:r>
        <w:rPr>
          <w:color w:val="000000"/>
          <w:sz w:val="24"/>
          <w:szCs w:val="20"/>
        </w:rPr>
      </w:r>
      <w:r/>
    </w:p>
    <w:p>
      <w:pPr>
        <w:pStyle w:val="1147"/>
        <w:spacing w:line="360" w:lineRule="auto"/>
        <w:rPr>
          <w:color w:val="000000"/>
          <w:sz w:val="24"/>
          <w:szCs w:val="20"/>
        </w:rPr>
        <w:outlineLvl w:val="2"/>
      </w:pPr>
      <w:r>
        <w:rPr>
          <w:b/>
          <w:color w:val="000000"/>
          <w:sz w:val="24"/>
        </w:rPr>
        <w:br w:type="page" w:clear="all"/>
      </w:r>
      <w:bookmarkStart w:id="676" w:name="_Toc265228395"/>
      <w:r/>
      <w:bookmarkStart w:id="677" w:name="_Toc142311059"/>
      <w:r/>
      <w:bookmarkStart w:id="678" w:name="_Toc195842922"/>
      <w:r/>
      <w:bookmarkStart w:id="679" w:name="_Toc480942350"/>
      <w:r/>
      <w:bookmarkStart w:id="680" w:name="_Toc520356218"/>
      <w:r/>
      <w:bookmarkStart w:id="681" w:name="_Toc305158899"/>
      <w:r/>
      <w:bookmarkStart w:id="682" w:name="_Toc264969247"/>
      <w:r/>
      <w:bookmarkStart w:id="683" w:name="_Toc226309801"/>
      <w:r/>
      <w:bookmarkStart w:id="684" w:name="_Toc226965747"/>
      <w:r/>
      <w:bookmarkStart w:id="685" w:name="_Ref467988705"/>
      <w:r/>
      <w:bookmarkStart w:id="686" w:name="_Toc150774762"/>
      <w:r/>
      <w:bookmarkStart w:id="687" w:name="_Toc305158825"/>
      <w:r/>
      <w:bookmarkStart w:id="688" w:name="_Toc150480795"/>
      <w:r/>
      <w:bookmarkStart w:id="689" w:name="_Toc127151557"/>
      <w:r/>
      <w:bookmarkStart w:id="690" w:name="_Toc226337253"/>
      <w:r/>
      <w:bookmarkStart w:id="691" w:name="_Toc226965830"/>
      <w:r>
        <w:rPr>
          <w:rFonts w:hint="eastAsia"/>
          <w:color w:val="000000"/>
          <w:sz w:val="24"/>
        </w:rPr>
        <w:t xml:space="preserve">4</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1147"/>
        <w:spacing w:line="360" w:lineRule="auto"/>
        <w:tabs>
          <w:tab w:val="left" w:pos="5580" w:leader="none"/>
        </w:tabs>
        <w:rPr>
          <w:color w:val="000000"/>
          <w:sz w:val="24"/>
        </w:rPr>
      </w:pPr>
      <w:r>
        <w:rPr>
          <w:color w:val="000000"/>
          <w:sz w:val="24"/>
        </w:rPr>
      </w:r>
      <w:r/>
    </w:p>
    <w:p>
      <w:pPr>
        <w:pStyle w:val="1147"/>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1147"/>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147"/>
        <w:spacing w:line="360" w:lineRule="auto"/>
        <w:tabs>
          <w:tab w:val="left" w:pos="5580" w:leader="none"/>
        </w:tabs>
        <w:rPr>
          <w:color w:val="000000"/>
          <w:sz w:val="24"/>
          <w:szCs w:val="20"/>
        </w:rPr>
      </w:pPr>
      <w:r>
        <w:rPr>
          <w:color w:val="000000"/>
          <w:sz w:val="24"/>
          <w:szCs w:val="20"/>
        </w:rPr>
      </w:r>
      <w:r/>
    </w:p>
    <w:p>
      <w:pPr>
        <w:pStyle w:val="1147"/>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1147"/>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1147"/>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color w:val="000000"/>
          <w:sz w:val="24"/>
        </w:rPr>
        <w:t xml:space="preserve">60</w:t>
      </w:r>
      <w:r>
        <w:rPr>
          <w:color w:val="000000"/>
          <w:sz w:val="24"/>
          <w:szCs w:val="20"/>
        </w:rPr>
        <w:t xml:space="preserve">个日历日。</w:t>
      </w:r>
      <w:r>
        <w:rPr>
          <w:color w:val="000000"/>
          <w:sz w:val="24"/>
          <w:szCs w:val="20"/>
        </w:rPr>
      </w:r>
      <w:r/>
    </w:p>
    <w:p>
      <w:pPr>
        <w:pStyle w:val="1147"/>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1147"/>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147"/>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1147"/>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147"/>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1147"/>
        <w:ind w:left="420"/>
        <w:spacing w:line="360" w:lineRule="auto"/>
        <w:tabs>
          <w:tab w:val="left" w:pos="5580" w:leader="none"/>
        </w:tabs>
        <w:rPr>
          <w:color w:val="000000"/>
          <w:sz w:val="24"/>
          <w:szCs w:val="20"/>
        </w:rPr>
      </w:pPr>
      <w:r>
        <w:rPr>
          <w:color w:val="000000"/>
          <w:sz w:val="24"/>
          <w:szCs w:val="20"/>
        </w:rPr>
      </w:r>
      <w:r/>
    </w:p>
    <w:p>
      <w:pPr>
        <w:pStyle w:val="1147"/>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147"/>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147"/>
        <w:ind w:left="420"/>
        <w:spacing w:line="360" w:lineRule="auto"/>
        <w:tabs>
          <w:tab w:val="left" w:pos="5580" w:leader="none"/>
        </w:tabs>
        <w:rPr>
          <w:color w:val="000000"/>
          <w:sz w:val="24"/>
          <w:szCs w:val="20"/>
        </w:rPr>
      </w:pPr>
      <w:r>
        <w:rPr>
          <w:color w:val="000000"/>
          <w:sz w:val="24"/>
          <w:szCs w:val="20"/>
        </w:rPr>
      </w:r>
      <w:r/>
    </w:p>
    <w:p>
      <w:pPr>
        <w:pStyle w:val="1147"/>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1147"/>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147"/>
        <w:ind w:left="420"/>
        <w:spacing w:line="360" w:lineRule="auto"/>
        <w:tabs>
          <w:tab w:val="left" w:pos="5580" w:leader="none"/>
        </w:tabs>
        <w:rPr>
          <w:color w:val="000000"/>
          <w:sz w:val="24"/>
          <w:szCs w:val="20"/>
          <w:u w:val="single"/>
        </w:rPr>
      </w:pPr>
      <w:r>
        <w:rPr>
          <w:color w:val="000000"/>
          <w:sz w:val="24"/>
          <w:szCs w:val="20"/>
          <w:u w:val="single"/>
        </w:rPr>
      </w:r>
      <w:r/>
    </w:p>
    <w:p>
      <w:pPr>
        <w:pStyle w:val="1147"/>
        <w:jc w:val="left"/>
        <w:widowControl/>
        <w:rPr>
          <w:rFonts w:hint="eastAsia"/>
          <w:color w:val="000000"/>
          <w:sz w:val="24"/>
        </w:rPr>
      </w:pPr>
      <w:r/>
      <w:bookmarkStart w:id="692" w:name="_Hlt520355938"/>
      <w:r/>
      <w:bookmarkEnd w:id="692"/>
      <w:r/>
      <w:bookmarkStart w:id="693" w:name="_Hlt520356243"/>
      <w:r/>
      <w:bookmarkEnd w:id="693"/>
      <w:r>
        <w:rPr>
          <w:color w:val="000000"/>
          <w:sz w:val="24"/>
        </w:rPr>
        <w:br w:type="page" w:clear="all"/>
      </w:r>
      <w:r>
        <w:rPr>
          <w:rFonts w:hint="eastAsia"/>
          <w:color w:val="000000"/>
          <w:sz w:val="24"/>
        </w:rPr>
      </w:r>
      <w:r/>
    </w:p>
    <w:p>
      <w:pPr>
        <w:pStyle w:val="1147"/>
        <w:jc w:val="left"/>
        <w:widowControl/>
        <w:rPr>
          <w:rFonts w:hint="eastAsia"/>
          <w:color w:val="000000"/>
          <w:sz w:val="24"/>
        </w:rPr>
      </w:pPr>
      <w:r>
        <w:rPr>
          <w:rFonts w:hint="eastAsia"/>
          <w:color w:val="000000"/>
          <w:sz w:val="24"/>
        </w:rPr>
        <w:t xml:space="preserve">5</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1147"/>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1147"/>
        <w:jc w:val="center"/>
        <w:spacing w:line="360" w:lineRule="auto"/>
        <w:rPr>
          <w:rFonts w:ascii="宋体" w:hAnsi="宋体"/>
          <w:b/>
          <w:color w:val="000000"/>
          <w:sz w:val="32"/>
          <w:szCs w:val="32"/>
        </w:rPr>
      </w:pPr>
      <w:r>
        <w:rPr>
          <w:rFonts w:hint="eastAsia" w:ascii="宋体" w:hAnsi="宋体"/>
          <w:b/>
          <w:color w:val="000000"/>
          <w:sz w:val="32"/>
          <w:szCs w:val="32"/>
        </w:rPr>
        <w:t xml:space="preserve">法定代表人资格证明书</w:t>
      </w:r>
      <w:r>
        <w:rPr>
          <w:rFonts w:ascii="宋体" w:hAnsi="宋体"/>
          <w:b/>
          <w:color w:val="000000"/>
          <w:sz w:val="32"/>
          <w:szCs w:val="32"/>
        </w:rPr>
      </w:r>
      <w:r/>
    </w:p>
    <w:p>
      <w:pPr>
        <w:pStyle w:val="1147"/>
        <w:spacing w:line="560" w:lineRule="exact"/>
        <w:rPr>
          <w:rFonts w:ascii="宋体" w:hAnsi="宋体"/>
          <w:color w:val="000000"/>
          <w:sz w:val="24"/>
        </w:rPr>
      </w:pPr>
      <w:r>
        <w:rPr>
          <w:rFonts w:hint="eastAsia" w:ascii="宋体" w:hAnsi="宋体"/>
          <w:color w:val="000000"/>
          <w:sz w:val="24"/>
        </w:rPr>
        <w:t xml:space="preserve">单位名称:</w:t>
      </w:r>
      <w:r>
        <w:rPr>
          <w:rFonts w:ascii="宋体" w:hAnsi="宋体"/>
          <w:color w:val="000000"/>
          <w:sz w:val="24"/>
        </w:rPr>
      </w:r>
      <w:r/>
    </w:p>
    <w:p>
      <w:pPr>
        <w:pStyle w:val="1147"/>
        <w:spacing w:line="560" w:lineRule="exact"/>
        <w:rPr>
          <w:rFonts w:ascii="宋体" w:hAnsi="宋体"/>
          <w:color w:val="000000"/>
          <w:sz w:val="24"/>
        </w:rPr>
      </w:pPr>
      <w:r>
        <w:rPr>
          <w:rFonts w:hint="eastAsia" w:ascii="宋体" w:hAnsi="宋体"/>
          <w:color w:val="000000"/>
          <w:sz w:val="24"/>
        </w:rPr>
        <w:t xml:space="preserve">地址:</w:t>
      </w:r>
      <w:r>
        <w:rPr>
          <w:rFonts w:ascii="宋体" w:hAnsi="宋体"/>
          <w:color w:val="000000"/>
          <w:sz w:val="24"/>
        </w:rPr>
      </w:r>
      <w:r/>
    </w:p>
    <w:p>
      <w:pPr>
        <w:pStyle w:val="1147"/>
        <w:spacing w:line="560" w:lineRule="exact"/>
        <w:rPr>
          <w:rFonts w:ascii="宋体" w:hAnsi="宋体"/>
          <w:color w:val="000000"/>
          <w:sz w:val="24"/>
        </w:rPr>
      </w:pPr>
      <w:r>
        <w:rPr>
          <w:rFonts w:hint="eastAsia" w:ascii="宋体" w:hAnsi="宋体"/>
          <w:color w:val="000000"/>
          <w:sz w:val="24"/>
        </w:rPr>
        <w:t xml:space="preserve">姓名:     性别:       年龄:      职务:</w:t>
      </w:r>
      <w:r>
        <w:rPr>
          <w:rFonts w:ascii="宋体" w:hAnsi="宋体"/>
          <w:color w:val="000000"/>
          <w:sz w:val="24"/>
        </w:rPr>
      </w:r>
      <w:r/>
    </w:p>
    <w:p>
      <w:pPr>
        <w:pStyle w:val="1147"/>
        <w:spacing w:line="560" w:lineRule="exact"/>
        <w:rPr>
          <w:rFonts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（供应商名称）</w:t>
      </w:r>
      <w:r>
        <w:rPr>
          <w:rFonts w:hint="eastAsia" w:ascii="宋体" w:hAnsi="宋体"/>
          <w:color w:val="000000"/>
          <w:sz w:val="24"/>
        </w:rPr>
        <w:t xml:space="preserve">的法定代表人。为参与</w:t>
      </w:r>
      <w:r>
        <w:rPr>
          <w:rFonts w:hint="eastAsia" w:ascii="宋体" w:hAnsi="宋体"/>
          <w:color w:val="000000"/>
          <w:sz w:val="24"/>
          <w:u w:val="single"/>
        </w:rPr>
        <w:t xml:space="preserve">（项目名称）</w:t>
      </w:r>
      <w:r>
        <w:rPr>
          <w:rFonts w:hint="eastAsia" w:ascii="宋体" w:hAnsi="宋体"/>
          <w:color w:val="000000"/>
          <w:sz w:val="24"/>
        </w:rPr>
        <w:t xml:space="preserve">的政府采购活动，</w:t>
      </w:r>
      <w:r>
        <w:rPr>
          <w:rFonts w:ascii="宋体" w:hAnsi="宋体"/>
          <w:color w:val="000000"/>
          <w:sz w:val="24"/>
          <w:szCs w:val="20"/>
        </w:rPr>
        <w:t xml:space="preserve">签署、澄清确认、递交、撤回、修改</w:t>
      </w:r>
      <w:r>
        <w:rPr>
          <w:rFonts w:hint="eastAsia" w:ascii="宋体" w:hAnsi="宋体"/>
          <w:color w:val="000000"/>
          <w:sz w:val="24"/>
        </w:rPr>
        <w:t xml:space="preserve">上述项目的响应文件、进行合同磋商、签署合同和处理与之有关的一切事务。</w:t>
      </w:r>
      <w:r>
        <w:rPr>
          <w:rFonts w:ascii="宋体" w:hAnsi="宋体"/>
          <w:color w:val="000000"/>
          <w:sz w:val="24"/>
        </w:rPr>
      </w:r>
      <w:r/>
    </w:p>
    <w:p>
      <w:pPr>
        <w:pStyle w:val="1147"/>
        <w:spacing w:line="560" w:lineRule="exact"/>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1147"/>
        <w:spacing w:line="560" w:lineRule="exact"/>
        <w:rPr>
          <w:rFonts w:ascii="宋体" w:hAnsi="宋体"/>
          <w:color w:val="000000"/>
          <w:sz w:val="24"/>
        </w:rPr>
      </w:pPr>
      <w:r>
        <w:rPr>
          <w:rFonts w:ascii="宋体" w:hAnsi="宋体"/>
          <w:color w:val="000000"/>
          <w:sz w:val="24"/>
        </w:rPr>
      </w:r>
      <w:r/>
    </w:p>
    <w:p>
      <w:pPr>
        <w:pStyle w:val="1178"/>
        <w:ind w:right="-46"/>
        <w:spacing w:line="583" w:lineRule="auto"/>
        <w:tabs>
          <w:tab w:val="left" w:pos="567" w:leader="none"/>
        </w:tabs>
        <w:rPr>
          <w:color w:val="000000"/>
          <w:spacing w:val="-3"/>
        </w:rPr>
      </w:pPr>
      <w:r>
        <w:rPr>
          <w:color w:val="000000"/>
        </w:rPr>
        <w:t xml:space="preserve">附：</w:t>
      </w:r>
      <w:r>
        <w:rPr>
          <w:color w:val="000000"/>
          <w:spacing w:val="-3"/>
        </w:rPr>
        <w:t xml:space="preserve">法</w:t>
      </w:r>
      <w:r>
        <w:rPr>
          <w:color w:val="000000"/>
        </w:rPr>
        <w:t xml:space="preserve">定</w:t>
      </w:r>
      <w:r>
        <w:rPr>
          <w:color w:val="000000"/>
          <w:spacing w:val="-3"/>
        </w:rPr>
        <w:t xml:space="preserve">代</w:t>
      </w:r>
      <w:r>
        <w:rPr>
          <w:color w:val="000000"/>
        </w:rPr>
        <w:t xml:space="preserve">表</w:t>
      </w:r>
      <w:r>
        <w:rPr>
          <w:color w:val="000000"/>
          <w:spacing w:val="-3"/>
        </w:rPr>
        <w:t xml:space="preserve">人</w:t>
      </w:r>
      <w:r>
        <w:rPr>
          <w:color w:val="000000"/>
        </w:rPr>
        <w:t xml:space="preserve">（</w:t>
      </w:r>
      <w:r>
        <w:rPr>
          <w:color w:val="000000"/>
          <w:spacing w:val="-3"/>
        </w:rPr>
        <w:t xml:space="preserve">单</w:t>
      </w:r>
      <w:r>
        <w:rPr>
          <w:color w:val="000000"/>
        </w:rPr>
        <w:t xml:space="preserve">位</w:t>
      </w:r>
      <w:r>
        <w:rPr>
          <w:color w:val="000000"/>
          <w:spacing w:val="-3"/>
        </w:rPr>
        <w:t xml:space="preserve">负</w:t>
      </w:r>
      <w:r>
        <w:rPr>
          <w:color w:val="000000"/>
        </w:rPr>
        <w:t xml:space="preserve">责人</w:t>
      </w:r>
      <w:r>
        <w:rPr>
          <w:color w:val="000000"/>
          <w:spacing w:val="-3"/>
        </w:rPr>
        <w:t xml:space="preserve">）有效期内的身</w:t>
      </w:r>
      <w:r>
        <w:rPr>
          <w:rFonts w:hint="eastAsia"/>
          <w:color w:val="000000"/>
          <w:spacing w:val="-3"/>
        </w:rPr>
        <w:t xml:space="preserve">份</w:t>
      </w:r>
      <w:r>
        <w:rPr>
          <w:color w:val="000000"/>
          <w:spacing w:val="-3"/>
        </w:rPr>
        <w:t xml:space="preserve">证正反面</w:t>
      </w:r>
      <w:r>
        <w:rPr>
          <w:rFonts w:hint="eastAsia"/>
          <w:color w:val="000000"/>
          <w:spacing w:val="-3"/>
        </w:rPr>
        <w:t xml:space="preserve">电子</w:t>
      </w:r>
      <w:r>
        <w:rPr>
          <w:color w:val="000000"/>
          <w:spacing w:val="-3"/>
        </w:rPr>
        <w:t xml:space="preserve">件</w:t>
      </w:r>
      <w:r>
        <w:rPr>
          <w:rFonts w:hint="eastAsia"/>
          <w:color w:val="000000"/>
          <w:spacing w:val="-3"/>
        </w:rPr>
        <w:t xml:space="preserve">。</w:t>
      </w:r>
      <w:r>
        <w:rPr>
          <w:color w:val="000000"/>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1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147"/>
        <w:spacing w:line="560" w:lineRule="exact"/>
        <w:rPr>
          <w:rFonts w:ascii="宋体" w:hAnsi="宋体"/>
          <w:color w:val="000000"/>
          <w:sz w:val="24"/>
        </w:rPr>
      </w:pPr>
      <w:r>
        <w:rPr>
          <w:rFonts w:hint="eastAsia" w:ascii="宋体" w:hAnsi="宋体"/>
          <w:color w:val="000000"/>
          <w:sz w:val="24"/>
        </w:rPr>
        <w:t xml:space="preserve">                     供应商：（加盖公章）</w:t>
      </w:r>
      <w:r>
        <w:rPr>
          <w:rFonts w:ascii="宋体" w:hAnsi="宋体"/>
          <w:color w:val="000000"/>
          <w:sz w:val="24"/>
        </w:rPr>
      </w:r>
      <w:r/>
    </w:p>
    <w:p>
      <w:pPr>
        <w:pStyle w:val="1147"/>
        <w:spacing w:line="560" w:lineRule="exact"/>
        <w:rPr>
          <w:rFonts w:ascii="宋体" w:hAnsi="宋体"/>
          <w:color w:val="000000"/>
          <w:sz w:val="24"/>
        </w:rPr>
      </w:pPr>
      <w:r>
        <w:rPr>
          <w:rFonts w:hint="eastAsia" w:ascii="宋体" w:hAnsi="宋体"/>
          <w:color w:val="000000"/>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ascii="宋体" w:hAnsi="宋体"/>
          <w:color w:val="000000"/>
          <w:sz w:val="24"/>
        </w:rPr>
      </w:r>
      <w:r/>
    </w:p>
    <w:p>
      <w:pPr>
        <w:pStyle w:val="1147"/>
        <w:ind w:firstLine="4320"/>
        <w:spacing w:line="560" w:lineRule="exac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1147"/>
        <w:jc w:val="left"/>
        <w:widowControl/>
        <w:rPr>
          <w:rFonts w:hint="eastAsia"/>
          <w:color w:val="000000"/>
          <w:sz w:val="24"/>
        </w:rPr>
      </w:pPr>
      <w:r>
        <w:rPr>
          <w:rFonts w:hint="eastAsia"/>
          <w:color w:val="000000"/>
          <w:sz w:val="24"/>
        </w:rPr>
      </w:r>
      <w:r/>
    </w:p>
    <w:p>
      <w:pPr>
        <w:pStyle w:val="1147"/>
        <w:jc w:val="left"/>
        <w:widowControl/>
        <w:rPr>
          <w:rFonts w:hint="eastAsia"/>
          <w:color w:val="000000"/>
          <w:sz w:val="24"/>
        </w:rPr>
      </w:pPr>
      <w:r>
        <w:rPr>
          <w:rFonts w:hint="eastAsia"/>
          <w:color w:val="000000"/>
          <w:sz w:val="24"/>
        </w:rPr>
      </w:r>
      <w:r/>
    </w:p>
    <w:p>
      <w:pPr>
        <w:pStyle w:val="1147"/>
        <w:jc w:val="left"/>
        <w:widowControl/>
        <w:rPr>
          <w:rFonts w:hint="eastAsia"/>
          <w:color w:val="000000"/>
          <w:sz w:val="24"/>
        </w:rPr>
      </w:pPr>
      <w:r>
        <w:rPr>
          <w:rFonts w:hint="eastAsia"/>
          <w:color w:val="000000"/>
          <w:sz w:val="24"/>
        </w:rPr>
      </w:r>
      <w:r/>
    </w:p>
    <w:p>
      <w:pPr>
        <w:pStyle w:val="1147"/>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147"/>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147"/>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147"/>
        <w:jc w:val="left"/>
        <w:widowControl/>
        <w:rPr>
          <w:rFonts w:hint="eastAsia"/>
          <w:color w:val="000000"/>
          <w:sz w:val="24"/>
        </w:rPr>
      </w:pPr>
      <w:r>
        <w:rPr>
          <w:rFonts w:hint="eastAsia"/>
          <w:color w:val="000000"/>
          <w:sz w:val="24"/>
        </w:rPr>
      </w:r>
      <w:r/>
    </w:p>
    <w:p>
      <w:pPr>
        <w:pStyle w:val="1147"/>
        <w:jc w:val="left"/>
        <w:widowControl/>
        <w:rPr>
          <w:rFonts w:hint="eastAsia"/>
          <w:color w:val="000000"/>
          <w:sz w:val="24"/>
        </w:rPr>
      </w:pPr>
      <w:r>
        <w:rPr>
          <w:rFonts w:hint="eastAsia"/>
          <w:color w:val="000000"/>
          <w:sz w:val="24"/>
        </w:rPr>
      </w:r>
      <w:r/>
    </w:p>
    <w:p>
      <w:pPr>
        <w:pStyle w:val="1147"/>
        <w:jc w:val="left"/>
        <w:widowControl/>
        <w:rPr>
          <w:rFonts w:hint="eastAsia"/>
          <w:color w:val="000000"/>
          <w:sz w:val="24"/>
        </w:rPr>
      </w:pPr>
      <w:r>
        <w:rPr>
          <w:rFonts w:hint="eastAsia"/>
          <w:color w:val="000000"/>
          <w:sz w:val="24"/>
        </w:rPr>
      </w:r>
      <w:r/>
    </w:p>
    <w:p>
      <w:pPr>
        <w:pStyle w:val="1147"/>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法定代表人授权委托书</w:t>
      </w:r>
      <w:r>
        <w:rPr>
          <w:rFonts w:ascii="宋体" w:hAnsi="宋体"/>
          <w:color w:val="000000"/>
          <w:sz w:val="24"/>
          <w:szCs w:val="24"/>
        </w:rPr>
        <w:t xml:space="preserve">（实质性格式）</w:t>
      </w:r>
      <w:r>
        <w:rPr>
          <w:rFonts w:ascii="宋体" w:hAnsi="宋体" w:cs="宋体"/>
          <w:color w:val="000000"/>
          <w:sz w:val="24"/>
          <w:szCs w:val="24"/>
        </w:rPr>
      </w:r>
      <w:r/>
    </w:p>
    <w:p>
      <w:pPr>
        <w:pStyle w:val="1147"/>
        <w:ind w:firstLine="420"/>
        <w:spacing w:line="400" w:lineRule="exact"/>
        <w:rPr>
          <w:rFonts w:ascii="宋体" w:hAnsi="宋体" w:cs="宋体"/>
          <w:color w:val="000000"/>
          <w:sz w:val="24"/>
          <w:szCs w:val="24"/>
        </w:rPr>
      </w:pPr>
      <w:r>
        <w:rPr>
          <w:rFonts w:ascii="宋体" w:hAnsi="宋体" w:cs="宋体"/>
          <w:color w:val="000000"/>
          <w:sz w:val="24"/>
          <w:szCs w:val="24"/>
        </w:rPr>
      </w:r>
      <w:r/>
    </w:p>
    <w:p>
      <w:pPr>
        <w:pStyle w:val="1147"/>
        <w:ind w:firstLine="420"/>
        <w:spacing w:line="400" w:lineRule="exact"/>
        <w:rPr>
          <w:rFonts w:ascii="宋体" w:hAnsi="宋体" w:cs="微软雅黑"/>
          <w:color w:val="000000"/>
          <w:sz w:val="24"/>
          <w:szCs w:val="24"/>
        </w:rPr>
      </w:pPr>
      <w:r>
        <w:rPr>
          <w:rFonts w:hint="eastAsia" w:ascii="宋体" w:hAnsi="宋体" w:cs="宋体"/>
          <w:color w:val="000000"/>
          <w:sz w:val="24"/>
          <w:szCs w:val="24"/>
        </w:rPr>
        <w:t xml:space="preserve">本授权委托书声明：</w:t>
      </w:r>
      <w:r>
        <w:rPr>
          <w:rFonts w:hint="eastAsia" w:ascii="宋体" w:hAnsi="宋体" w:cs="微软雅黑"/>
          <w:color w:val="000000"/>
          <w:sz w:val="24"/>
          <w:szCs w:val="24"/>
        </w:rPr>
        <w:t xml:space="preserve">注册于</w:t>
      </w:r>
      <w:r>
        <w:rPr>
          <w:rFonts w:hint="eastAsia" w:ascii="宋体" w:hAnsi="宋体" w:cs="微软雅黑"/>
          <w:color w:val="000000"/>
          <w:sz w:val="24"/>
          <w:szCs w:val="24"/>
          <w:u w:val="single"/>
        </w:rPr>
        <w:t xml:space="preserve">            </w:t>
      </w:r>
      <w:r>
        <w:rPr>
          <w:rFonts w:hint="eastAsia" w:ascii="宋体" w:hAnsi="宋体" w:cs="微软雅黑"/>
          <w:color w:val="000000"/>
          <w:sz w:val="24"/>
          <w:szCs w:val="24"/>
        </w:rPr>
        <w:t xml:space="preserve">（响应人住址）的</w:t>
      </w:r>
      <w:r>
        <w:rPr>
          <w:rFonts w:hint="eastAsia" w:ascii="宋体" w:hAnsi="宋体" w:cs="微软雅黑"/>
          <w:color w:val="000000"/>
          <w:sz w:val="24"/>
          <w:szCs w:val="24"/>
          <w:u w:val="single"/>
        </w:rPr>
        <w:t xml:space="preserve">            </w:t>
      </w:r>
      <w:r>
        <w:rPr>
          <w:rFonts w:hint="eastAsia" w:ascii="宋体" w:hAnsi="宋体" w:cs="微软雅黑"/>
          <w:color w:val="000000"/>
          <w:sz w:val="24"/>
          <w:szCs w:val="24"/>
        </w:rPr>
        <w:t xml:space="preserve">（响应人名称）法定代表人</w:t>
      </w:r>
      <w:r>
        <w:rPr>
          <w:rFonts w:hint="eastAsia" w:ascii="宋体" w:hAnsi="宋体" w:cs="微软雅黑"/>
          <w:color w:val="000000"/>
          <w:sz w:val="24"/>
          <w:szCs w:val="24"/>
          <w:u w:val="single"/>
        </w:rPr>
        <w:t xml:space="preserve">            </w:t>
      </w:r>
      <w:r>
        <w:rPr>
          <w:rFonts w:hint="eastAsia" w:ascii="宋体" w:hAnsi="宋体" w:cs="微软雅黑"/>
          <w:color w:val="000000"/>
          <w:sz w:val="24"/>
          <w:szCs w:val="24"/>
        </w:rPr>
        <w:t xml:space="preserve">（法定代表人姓名、职务）代表本公司授权在下面签字的</w:t>
      </w:r>
      <w:r>
        <w:rPr>
          <w:rFonts w:hint="eastAsia" w:ascii="宋体" w:hAnsi="宋体" w:cs="微软雅黑"/>
          <w:color w:val="000000"/>
          <w:sz w:val="24"/>
          <w:szCs w:val="24"/>
          <w:u w:val="single"/>
        </w:rPr>
        <w:t xml:space="preserve">          </w:t>
      </w:r>
      <w:r>
        <w:rPr>
          <w:rFonts w:hint="eastAsia" w:ascii="宋体" w:hAnsi="宋体" w:cs="微软雅黑"/>
          <w:color w:val="000000"/>
          <w:sz w:val="24"/>
          <w:szCs w:val="24"/>
        </w:rPr>
        <w:t xml:space="preserve">（响应人代表姓名、职务）为本公司的合法代理人，就贵方组织的</w:t>
      </w:r>
      <w:r>
        <w:rPr>
          <w:rFonts w:hint="eastAsia" w:ascii="宋体" w:hAnsi="宋体" w:cs="微软雅黑"/>
          <w:color w:val="000000"/>
          <w:sz w:val="24"/>
          <w:szCs w:val="24"/>
          <w:u w:val="single"/>
        </w:rPr>
        <w:t xml:space="preserve">                    </w:t>
      </w:r>
      <w:r>
        <w:rPr>
          <w:rFonts w:hint="eastAsia" w:ascii="宋体" w:hAnsi="宋体" w:cs="微软雅黑"/>
          <w:color w:val="000000"/>
          <w:sz w:val="24"/>
          <w:szCs w:val="24"/>
        </w:rPr>
        <w:t xml:space="preserve"> 项目，项目编号：</w:t>
      </w:r>
      <w:r>
        <w:rPr>
          <w:rFonts w:hint="eastAsia" w:ascii="宋体" w:hAnsi="宋体" w:cs="微软雅黑"/>
          <w:color w:val="000000"/>
          <w:sz w:val="24"/>
          <w:szCs w:val="24"/>
          <w:u w:val="single"/>
        </w:rPr>
        <w:t xml:space="preserve">          </w:t>
      </w:r>
      <w:r>
        <w:rPr>
          <w:rFonts w:hint="eastAsia" w:ascii="宋体" w:hAnsi="宋体" w:cs="微软雅黑"/>
          <w:color w:val="000000"/>
          <w:sz w:val="24"/>
          <w:szCs w:val="24"/>
        </w:rPr>
        <w:t xml:space="preserve">，以本公司名义处理一切与之有关的事务。</w:t>
      </w:r>
      <w:r>
        <w:rPr>
          <w:rFonts w:ascii="宋体" w:hAnsi="宋体" w:cs="微软雅黑"/>
          <w:color w:val="000000"/>
          <w:sz w:val="24"/>
          <w:szCs w:val="24"/>
        </w:rPr>
      </w:r>
      <w:r/>
    </w:p>
    <w:p>
      <w:pPr>
        <w:pStyle w:val="1147"/>
        <w:spacing w:line="400" w:lineRule="exact"/>
        <w:rPr>
          <w:rFonts w:ascii="宋体" w:hAnsi="宋体" w:cs="微软雅黑"/>
          <w:color w:val="000000"/>
          <w:sz w:val="24"/>
          <w:szCs w:val="24"/>
        </w:rPr>
      </w:pPr>
      <w:r>
        <w:rPr>
          <w:rFonts w:hint="eastAsia" w:ascii="宋体" w:hAnsi="宋体" w:cs="微软雅黑"/>
          <w:color w:val="000000"/>
          <w:sz w:val="24"/>
          <w:szCs w:val="24"/>
        </w:rPr>
        <w:t xml:space="preserve">    本授权书于</w:t>
      </w:r>
      <w:r>
        <w:rPr>
          <w:rFonts w:hint="eastAsia" w:ascii="宋体" w:hAnsi="宋体" w:cs="微软雅黑"/>
          <w:color w:val="000000"/>
          <w:sz w:val="24"/>
          <w:szCs w:val="24"/>
          <w:u w:val="single"/>
        </w:rPr>
        <w:t xml:space="preserve">    </w:t>
      </w:r>
      <w:r>
        <w:rPr>
          <w:rFonts w:hint="eastAsia" w:ascii="宋体" w:hAnsi="宋体" w:cs="微软雅黑"/>
          <w:color w:val="000000"/>
          <w:sz w:val="24"/>
          <w:szCs w:val="24"/>
        </w:rPr>
        <w:t xml:space="preserve">年</w:t>
      </w:r>
      <w:r>
        <w:rPr>
          <w:rFonts w:hint="eastAsia" w:ascii="宋体" w:hAnsi="宋体" w:cs="微软雅黑"/>
          <w:color w:val="000000"/>
          <w:sz w:val="24"/>
          <w:szCs w:val="24"/>
          <w:u w:val="single"/>
        </w:rPr>
        <w:t xml:space="preserve">  </w:t>
      </w:r>
      <w:r>
        <w:rPr>
          <w:rFonts w:hint="eastAsia" w:ascii="宋体" w:hAnsi="宋体" w:cs="微软雅黑"/>
          <w:color w:val="000000"/>
          <w:sz w:val="24"/>
          <w:szCs w:val="24"/>
        </w:rPr>
        <w:t xml:space="preserve">月</w:t>
      </w:r>
      <w:r>
        <w:rPr>
          <w:rFonts w:hint="eastAsia" w:ascii="宋体" w:hAnsi="宋体" w:cs="微软雅黑"/>
          <w:color w:val="000000"/>
          <w:sz w:val="24"/>
          <w:szCs w:val="24"/>
          <w:u w:val="single"/>
        </w:rPr>
        <w:t xml:space="preserve">  </w:t>
      </w:r>
      <w:r>
        <w:rPr>
          <w:rFonts w:hint="eastAsia" w:ascii="宋体" w:hAnsi="宋体" w:cs="微软雅黑"/>
          <w:color w:val="000000"/>
          <w:sz w:val="24"/>
          <w:szCs w:val="24"/>
        </w:rPr>
        <w:t xml:space="preserve">日签字生效，特此声明。</w:t>
      </w:r>
      <w:r>
        <w:rPr>
          <w:rFonts w:ascii="宋体" w:hAnsi="宋体" w:cs="微软雅黑"/>
          <w:color w:val="000000"/>
          <w:sz w:val="24"/>
          <w:szCs w:val="24"/>
        </w:rPr>
      </w:r>
      <w:r/>
    </w:p>
    <w:p>
      <w:pPr>
        <w:pStyle w:val="1147"/>
        <w:spacing w:line="400" w:lineRule="exact"/>
        <w:rPr>
          <w:rFonts w:ascii="宋体" w:hAnsi="宋体" w:cs="宋体"/>
          <w:color w:val="000000"/>
          <w:sz w:val="24"/>
          <w:szCs w:val="24"/>
        </w:rPr>
      </w:pPr>
      <w:r>
        <w:rPr>
          <w:rFonts w:ascii="宋体" w:hAnsi="宋体" w:cs="宋体"/>
          <w:color w:val="000000"/>
          <w:sz w:val="24"/>
          <w:szCs w:val="24"/>
        </w:rPr>
      </w:r>
      <w:r/>
    </w:p>
    <w:p>
      <w:pPr>
        <w:pStyle w:val="1147"/>
        <w:spacing w:line="400" w:lineRule="exact"/>
        <w:rPr>
          <w:rFonts w:ascii="宋体" w:hAnsi="宋体" w:cs="宋体"/>
          <w:color w:val="000000"/>
          <w:sz w:val="24"/>
          <w:szCs w:val="24"/>
          <w:u w:val="single"/>
        </w:rPr>
      </w:pPr>
      <w:r>
        <w:rPr>
          <w:rFonts w:hint="eastAsia" w:ascii="宋体" w:hAnsi="宋体" w:cs="宋体"/>
          <w:color w:val="000000"/>
          <w:sz w:val="24"/>
          <w:szCs w:val="24"/>
        </w:rPr>
        <w:t xml:space="preserve">法定代表人签字或盖章：</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1147"/>
        <w:spacing w:line="400" w:lineRule="exact"/>
        <w:rPr>
          <w:rFonts w:ascii="宋体" w:hAnsi="宋体" w:cs="宋体"/>
          <w:color w:val="000000"/>
          <w:sz w:val="24"/>
          <w:szCs w:val="24"/>
          <w:u w:val="single"/>
        </w:rPr>
      </w:pPr>
      <w:r>
        <w:rPr>
          <w:rFonts w:hint="eastAsia" w:ascii="宋体" w:hAnsi="宋体" w:cs="宋体"/>
          <w:color w:val="000000"/>
          <w:sz w:val="24"/>
          <w:szCs w:val="24"/>
        </w:rPr>
        <w:t xml:space="preserve">日期：</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1147"/>
        <w:spacing w:line="400" w:lineRule="exact"/>
        <w:rPr>
          <w:rFonts w:ascii="宋体" w:hAnsi="宋体" w:cs="宋体"/>
          <w:color w:val="000000"/>
          <w:sz w:val="24"/>
          <w:szCs w:val="24"/>
          <w:u w:val="single"/>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1147"/>
        <w:spacing w:line="400" w:lineRule="exact"/>
        <w:rPr>
          <w:rFonts w:ascii="宋体" w:hAnsi="宋体" w:cs="宋体"/>
          <w:color w:val="000000"/>
          <w:sz w:val="24"/>
          <w:szCs w:val="24"/>
          <w:u w:val="single"/>
        </w:rPr>
      </w:pPr>
      <w:r>
        <w:rPr>
          <w:rFonts w:hint="eastAsia" w:ascii="宋体" w:hAnsi="宋体" w:cs="宋体"/>
          <w:color w:val="000000"/>
          <w:sz w:val="24"/>
          <w:szCs w:val="24"/>
        </w:rPr>
        <w:t xml:space="preserve">身份证号码：</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1147"/>
        <w:spacing w:line="400" w:lineRule="exact"/>
        <w:rPr>
          <w:rFonts w:ascii="宋体" w:hAnsi="宋体" w:cs="宋体"/>
          <w:color w:val="000000"/>
          <w:sz w:val="24"/>
          <w:szCs w:val="24"/>
        </w:rPr>
      </w:pPr>
      <w:r>
        <w:rPr>
          <w:rFonts w:ascii="宋体" w:hAnsi="宋体" w:cs="宋体"/>
          <w:color w:val="000000"/>
          <w:sz w:val="24"/>
          <w:szCs w:val="24"/>
        </w:rPr>
      </w:r>
      <w:r/>
    </w:p>
    <w:p>
      <w:pPr>
        <w:pStyle w:val="1147"/>
        <w:spacing w:line="400" w:lineRule="exact"/>
        <w:rPr>
          <w:rFonts w:ascii="宋体" w:hAnsi="宋体" w:cs="宋体"/>
          <w:color w:val="000000"/>
          <w:sz w:val="24"/>
          <w:szCs w:val="24"/>
          <w:u w:val="single"/>
        </w:rPr>
      </w:pPr>
      <w:r>
        <w:rPr>
          <w:rFonts w:hint="eastAsia" w:ascii="宋体" w:hAnsi="宋体" w:cs="宋体"/>
          <w:color w:val="000000"/>
          <w:sz w:val="24"/>
          <w:szCs w:val="24"/>
        </w:rPr>
        <w:t xml:space="preserve">响应人代表签字或盖章：</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1147"/>
        <w:spacing w:line="400" w:lineRule="exact"/>
        <w:rPr>
          <w:rFonts w:ascii="宋体" w:hAnsi="宋体" w:cs="宋体"/>
          <w:color w:val="000000"/>
          <w:sz w:val="24"/>
          <w:szCs w:val="24"/>
          <w:u w:val="single"/>
        </w:rPr>
      </w:pPr>
      <w:r>
        <w:rPr>
          <w:rFonts w:hint="eastAsia" w:ascii="宋体" w:hAnsi="宋体" w:cs="宋体"/>
          <w:color w:val="000000"/>
          <w:sz w:val="24"/>
          <w:szCs w:val="24"/>
        </w:rPr>
        <w:t xml:space="preserve">日期：</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1147"/>
        <w:spacing w:line="400" w:lineRule="exact"/>
        <w:rPr>
          <w:rFonts w:ascii="宋体" w:hAnsi="宋体" w:cs="宋体"/>
          <w:color w:val="000000"/>
          <w:sz w:val="24"/>
          <w:szCs w:val="24"/>
          <w:u w:val="single"/>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1147"/>
        <w:spacing w:line="400" w:lineRule="exact"/>
        <w:rPr>
          <w:rFonts w:ascii="宋体" w:hAnsi="宋体" w:cs="宋体"/>
          <w:color w:val="000000"/>
          <w:sz w:val="24"/>
          <w:szCs w:val="24"/>
          <w:u w:val="single"/>
        </w:rPr>
      </w:pPr>
      <w:r>
        <w:rPr>
          <w:rFonts w:hint="eastAsia" w:ascii="宋体" w:hAnsi="宋体" w:cs="宋体"/>
          <w:color w:val="000000"/>
          <w:sz w:val="24"/>
          <w:szCs w:val="24"/>
        </w:rPr>
        <w:t xml:space="preserve">身份证号码：</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1147"/>
        <w:spacing w:line="400" w:lineRule="exact"/>
        <w:rPr>
          <w:rFonts w:ascii="宋体" w:hAnsi="宋体" w:cs="宋体"/>
          <w:color w:val="000000"/>
          <w:sz w:val="24"/>
          <w:szCs w:val="24"/>
        </w:rPr>
      </w:pPr>
      <w:r>
        <w:rPr>
          <w:rFonts w:ascii="宋体" w:hAnsi="宋体" w:cs="宋体"/>
          <w:color w:val="000000"/>
          <w:sz w:val="24"/>
          <w:szCs w:val="24"/>
        </w:rPr>
      </w:r>
      <w:r/>
    </w:p>
    <w:p>
      <w:pPr>
        <w:pStyle w:val="1147"/>
        <w:spacing w:line="400" w:lineRule="exact"/>
        <w:rPr>
          <w:rFonts w:ascii="宋体" w:hAnsi="宋体" w:cs="宋体"/>
          <w:color w:val="000000"/>
          <w:sz w:val="24"/>
          <w:szCs w:val="24"/>
          <w:u w:val="single"/>
        </w:rPr>
      </w:pPr>
      <w:r>
        <w:rPr>
          <w:rFonts w:hint="eastAsia" w:ascii="宋体" w:hAnsi="宋体" w:cs="宋体"/>
          <w:color w:val="000000"/>
          <w:sz w:val="24"/>
          <w:szCs w:val="24"/>
        </w:rPr>
        <w:t xml:space="preserve">响应人全称：</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1147"/>
        <w:spacing w:line="400" w:lineRule="exact"/>
        <w:rPr>
          <w:rFonts w:ascii="宋体" w:hAnsi="宋体" w:cs="宋体"/>
          <w:color w:val="000000"/>
          <w:sz w:val="24"/>
          <w:szCs w:val="24"/>
        </w:rPr>
      </w:pPr>
      <w:r>
        <w:rPr>
          <w:rFonts w:ascii="宋体" w:hAnsi="宋体" w:cs="宋体"/>
          <w:color w:val="000000"/>
          <w:sz w:val="24"/>
          <w:szCs w:val="24"/>
        </w:rPr>
      </w:r>
      <w:r/>
    </w:p>
    <w:p>
      <w:pPr>
        <w:pStyle w:val="1147"/>
        <w:spacing w:line="400" w:lineRule="exact"/>
        <w:rPr>
          <w:rFonts w:ascii="宋体" w:hAnsi="宋体" w:cs="宋体"/>
          <w:color w:val="000000"/>
          <w:sz w:val="24"/>
          <w:szCs w:val="24"/>
          <w:u w:val="single"/>
        </w:rPr>
      </w:pPr>
      <w:r>
        <w:rPr>
          <w:rFonts w:hint="eastAsia" w:ascii="宋体" w:hAnsi="宋体" w:cs="宋体"/>
          <w:color w:val="000000"/>
          <w:sz w:val="24"/>
          <w:szCs w:val="24"/>
        </w:rPr>
        <w:t xml:space="preserve">响应人公章：</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1147"/>
        <w:spacing w:line="400" w:lineRule="exact"/>
        <w:rPr>
          <w:rFonts w:ascii="宋体" w:hAnsi="宋体" w:cs="宋体"/>
          <w:color w:val="000000"/>
          <w:sz w:val="24"/>
          <w:szCs w:val="24"/>
        </w:rPr>
      </w:pPr>
      <w:r>
        <w:rPr>
          <w:rFonts w:ascii="宋体" w:hAnsi="宋体" w:cs="宋体"/>
          <w:color w:val="000000"/>
          <w:sz w:val="24"/>
          <w:szCs w:val="24"/>
        </w:rPr>
      </w:r>
      <w:r/>
    </w:p>
    <w:p>
      <w:pPr>
        <w:pStyle w:val="1147"/>
        <w:spacing w:line="400" w:lineRule="exact"/>
        <w:rPr>
          <w:rFonts w:ascii="宋体" w:hAnsi="宋体" w:cs="宋体"/>
          <w:color w:val="000000"/>
          <w:sz w:val="24"/>
          <w:szCs w:val="24"/>
        </w:rPr>
      </w:pPr>
      <w:r>
        <w:rPr>
          <w:rFonts w:ascii="宋体" w:hAnsi="宋体" w:cs="宋体"/>
          <w:color w:val="000000"/>
          <w:sz w:val="24"/>
          <w:szCs w:val="24"/>
        </w:rPr>
      </w:r>
      <w:r/>
    </w:p>
    <w:p>
      <w:pPr>
        <w:pStyle w:val="1147"/>
        <w:spacing w:line="400" w:lineRule="exact"/>
        <w:rPr>
          <w:rFonts w:ascii="宋体" w:hAnsi="宋体" w:cs="宋体"/>
          <w:color w:val="000000"/>
          <w:sz w:val="24"/>
          <w:szCs w:val="24"/>
        </w:rPr>
      </w:pPr>
      <w:r>
        <w:rPr>
          <w:rFonts w:hint="eastAsia" w:ascii="宋体" w:hAnsi="宋体" w:cs="宋体"/>
          <w:color w:val="000000"/>
          <w:sz w:val="24"/>
          <w:szCs w:val="24"/>
        </w:rPr>
        <w:t xml:space="preserve">响应人代表身份证（复印件）</w:t>
      </w:r>
      <w:r>
        <w:rPr>
          <w:rFonts w:ascii="宋体" w:hAnsi="宋体" w:cs="宋体"/>
          <w:color w:val="000000"/>
          <w:sz w:val="24"/>
          <w:szCs w:val="24"/>
        </w:rPr>
      </w:r>
      <w:r/>
    </w:p>
    <w:tbl>
      <w:tblPr>
        <w:tblW w:w="96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03"/>
        <w:gridCol w:w="4819"/>
      </w:tblGrid>
      <w:tr>
        <w:trPr/>
        <w:tc>
          <w:tcPr>
            <w:tcW w:w="4803" w:type="dxa"/>
            <w:vAlign w:val="center"/>
            <w:textDirection w:val="lrTb"/>
            <w:noWrap w:val="false"/>
          </w:tcPr>
          <w:p>
            <w:pPr>
              <w:pStyle w:val="1150"/>
              <w:ind w:firstLine="1265"/>
              <w:rPr>
                <w:rFonts w:hAnsi="宋体"/>
                <w:bCs/>
                <w:color w:val="000000"/>
                <w:sz w:val="24"/>
                <w:szCs w:val="24"/>
              </w:rPr>
            </w:pPr>
            <w:r>
              <w:rPr>
                <w:rFonts w:hint="eastAsia" w:hAnsi="宋体" w:cs="宋体"/>
                <w:bCs/>
                <w:color w:val="000000"/>
                <w:sz w:val="24"/>
                <w:szCs w:val="24"/>
              </w:rPr>
              <w:t xml:space="preserve">身份证正面</w:t>
            </w:r>
            <w:r>
              <w:rPr>
                <w:rFonts w:hAnsi="宋体"/>
                <w:bCs/>
                <w:color w:val="000000"/>
                <w:sz w:val="24"/>
                <w:szCs w:val="24"/>
              </w:rPr>
            </w:r>
            <w:r/>
          </w:p>
          <w:p>
            <w:pPr>
              <w:pStyle w:val="1147"/>
              <w:jc w:val="center"/>
              <w:rPr>
                <w:rFonts w:ascii="宋体" w:hAnsi="宋体"/>
                <w:color w:val="000000"/>
                <w:sz w:val="24"/>
                <w:szCs w:val="24"/>
              </w:rPr>
            </w:pPr>
            <w:r>
              <w:rPr>
                <w:rFonts w:ascii="宋体" w:hAnsi="宋体"/>
                <w:color w:val="000000"/>
                <w:sz w:val="24"/>
                <w:szCs w:val="24"/>
              </w:rPr>
            </w:r>
            <w:r/>
          </w:p>
          <w:p>
            <w:pPr>
              <w:pStyle w:val="1150"/>
              <w:jc w:val="center"/>
              <w:rPr>
                <w:rFonts w:hAnsi="宋体"/>
                <w:bCs/>
                <w:color w:val="000000"/>
                <w:sz w:val="24"/>
                <w:szCs w:val="24"/>
              </w:rPr>
            </w:pPr>
            <w:r>
              <w:rPr>
                <w:rFonts w:hAnsi="宋体"/>
                <w:bCs/>
                <w:color w:val="000000"/>
                <w:sz w:val="24"/>
                <w:szCs w:val="24"/>
              </w:rPr>
            </w:r>
            <w:r/>
          </w:p>
        </w:tc>
        <w:tc>
          <w:tcPr>
            <w:tcW w:w="4819" w:type="dxa"/>
            <w:vAlign w:val="top"/>
            <w:textDirection w:val="lrTb"/>
            <w:noWrap w:val="false"/>
          </w:tcPr>
          <w:p>
            <w:pPr>
              <w:pStyle w:val="1150"/>
              <w:ind w:firstLine="1687"/>
              <w:rPr>
                <w:rFonts w:hAnsi="宋体"/>
                <w:bCs/>
                <w:color w:val="000000"/>
                <w:sz w:val="24"/>
                <w:szCs w:val="24"/>
              </w:rPr>
            </w:pPr>
            <w:r>
              <w:rPr>
                <w:rFonts w:hint="eastAsia" w:hAnsi="宋体" w:cs="宋体"/>
                <w:bCs/>
                <w:color w:val="000000"/>
                <w:sz w:val="24"/>
                <w:szCs w:val="24"/>
              </w:rPr>
              <w:t xml:space="preserve">身份证反面</w:t>
            </w:r>
            <w:r>
              <w:rPr>
                <w:rFonts w:hAnsi="宋体"/>
                <w:bCs/>
                <w:color w:val="000000"/>
                <w:sz w:val="24"/>
                <w:szCs w:val="24"/>
              </w:rPr>
            </w:r>
            <w:r/>
          </w:p>
          <w:p>
            <w:pPr>
              <w:pStyle w:val="1150"/>
              <w:rPr>
                <w:rFonts w:hAnsi="宋体"/>
                <w:bCs/>
                <w:color w:val="000000"/>
                <w:sz w:val="24"/>
                <w:szCs w:val="24"/>
              </w:rPr>
            </w:pPr>
            <w:r>
              <w:rPr>
                <w:rFonts w:hAnsi="宋体"/>
                <w:bCs/>
                <w:color w:val="000000"/>
                <w:sz w:val="24"/>
                <w:szCs w:val="24"/>
              </w:rPr>
            </w:r>
            <w:r/>
          </w:p>
        </w:tc>
      </w:tr>
    </w:tbl>
    <w:p>
      <w:pPr>
        <w:pStyle w:val="1147"/>
        <w:jc w:val="left"/>
        <w:widowControl/>
        <w:rPr>
          <w:rFonts w:hint="eastAsia"/>
          <w:color w:val="000000"/>
          <w:sz w:val="24"/>
        </w:rPr>
      </w:pPr>
      <w:r>
        <w:rPr>
          <w:rFonts w:ascii="宋体" w:hAnsi="宋体"/>
          <w:color w:val="000000"/>
          <w:sz w:val="24"/>
        </w:rPr>
        <w:br w:type="page" w:clear="all"/>
      </w:r>
      <w:r>
        <w:rPr>
          <w:rFonts w:hint="eastAsia"/>
          <w:color w:val="000000"/>
          <w:sz w:val="24"/>
        </w:rPr>
        <w:t xml:space="preserve">6  政府采购供应商信用承诺书</w:t>
      </w:r>
      <w:r>
        <w:rPr>
          <w:color w:val="000000"/>
          <w:sz w:val="24"/>
          <w:szCs w:val="20"/>
        </w:rPr>
        <w:t xml:space="preserve">（实质性格式）</w:t>
      </w:r>
      <w:r>
        <w:rPr>
          <w:rFonts w:hint="eastAsia"/>
          <w:color w:val="000000"/>
          <w:sz w:val="24"/>
        </w:rPr>
      </w:r>
      <w:r/>
    </w:p>
    <w:p>
      <w:pPr>
        <w:pStyle w:val="1147"/>
        <w:ind w:firstLine="32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147"/>
        <w:ind w:firstLine="321"/>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政府采购供应商信用承诺书</w:t>
      </w:r>
      <w:r>
        <w:rPr>
          <w:rFonts w:ascii="黑体" w:hAnsi="黑体" w:eastAsia="黑体"/>
          <w:b/>
          <w:color w:val="000000"/>
          <w:sz w:val="32"/>
          <w:szCs w:val="32"/>
        </w:rPr>
      </w:r>
      <w:r/>
    </w:p>
    <w:p>
      <w:pPr>
        <w:pStyle w:val="1147"/>
        <w:ind w:firstLine="640"/>
        <w:rPr>
          <w:color w:val="000000"/>
        </w:rPr>
      </w:pPr>
      <w:r>
        <w:rPr>
          <w:color w:val="000000"/>
        </w:rPr>
      </w:r>
      <w:r/>
    </w:p>
    <w:p>
      <w:pPr>
        <w:pStyle w:val="1147"/>
        <w:ind w:firstLine="480"/>
        <w:spacing w:line="276" w:lineRule="auto"/>
        <w:rPr>
          <w:rFonts w:ascii="宋体" w:hAnsi="宋体"/>
          <w:color w:val="000000"/>
          <w:sz w:val="24"/>
        </w:rPr>
      </w:pPr>
      <w:r>
        <w:rPr>
          <w:rFonts w:hint="eastAsia" w:ascii="宋体" w:hAnsi="宋体"/>
          <w:color w:val="000000"/>
          <w:sz w:val="24"/>
        </w:rPr>
        <w:t xml:space="preserve">为维护公开、公平、公正的政府采购市场秩序，树立诚实守信的供应商形象，本单位在参与政府采购活动中,自愿作出以下承诺：</w:t>
      </w:r>
      <w:r>
        <w:rPr>
          <w:rFonts w:ascii="宋体" w:hAnsi="宋体"/>
          <w:color w:val="000000"/>
          <w:sz w:val="24"/>
        </w:rPr>
      </w:r>
      <w:r/>
    </w:p>
    <w:p>
      <w:pPr>
        <w:pStyle w:val="1147"/>
        <w:ind w:firstLine="480"/>
        <w:spacing w:line="276" w:lineRule="auto"/>
        <w:rPr>
          <w:rFonts w:ascii="宋体" w:hAnsi="宋体"/>
          <w:color w:val="000000"/>
          <w:sz w:val="24"/>
        </w:rPr>
      </w:pPr>
      <w:r>
        <w:rPr>
          <w:rFonts w:hint="eastAsia" w:ascii="宋体" w:hAnsi="宋体"/>
          <w:color w:val="000000"/>
          <w:sz w:val="24"/>
        </w:rPr>
        <w:t xml:space="preserve">一、严格遵守国家法律、法规和规章，全面履行应尽的责任和义务，全面做到履约守信，具备《政府采购法》第二十二条第一款规定的条件。</w:t>
      </w:r>
      <w:r>
        <w:rPr>
          <w:rFonts w:ascii="宋体" w:hAnsi="宋体"/>
          <w:color w:val="000000"/>
          <w:sz w:val="24"/>
        </w:rPr>
      </w:r>
      <w:r/>
    </w:p>
    <w:p>
      <w:pPr>
        <w:pStyle w:val="1147"/>
        <w:ind w:firstLine="480"/>
        <w:spacing w:line="276" w:lineRule="auto"/>
        <w:rPr>
          <w:rFonts w:ascii="宋体" w:hAnsi="宋体"/>
          <w:color w:val="000000"/>
          <w:sz w:val="24"/>
        </w:rPr>
      </w:pPr>
      <w:r>
        <w:rPr>
          <w:rFonts w:hint="eastAsia" w:ascii="宋体" w:hAnsi="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rPr>
      </w:r>
      <w:r/>
    </w:p>
    <w:p>
      <w:pPr>
        <w:pStyle w:val="1147"/>
        <w:ind w:firstLine="480"/>
        <w:spacing w:line="276" w:lineRule="auto"/>
        <w:rPr>
          <w:rFonts w:ascii="宋体" w:hAnsi="宋体"/>
          <w:color w:val="000000"/>
          <w:sz w:val="24"/>
        </w:rPr>
      </w:pPr>
      <w:r>
        <w:rPr>
          <w:rFonts w:hint="eastAsia" w:ascii="宋体" w:hAnsi="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rPr>
      </w:r>
      <w:r/>
    </w:p>
    <w:p>
      <w:pPr>
        <w:pStyle w:val="1147"/>
        <w:ind w:firstLine="480"/>
        <w:spacing w:line="276" w:lineRule="auto"/>
        <w:rPr>
          <w:rFonts w:ascii="宋体" w:hAnsi="宋体"/>
          <w:color w:val="000000"/>
          <w:sz w:val="24"/>
        </w:rPr>
      </w:pPr>
      <w:r>
        <w:rPr>
          <w:rFonts w:hint="eastAsia" w:ascii="宋体" w:hAnsi="宋体"/>
          <w:color w:val="000000"/>
          <w:sz w:val="24"/>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rPr>
      </w:r>
      <w:r/>
    </w:p>
    <w:p>
      <w:pPr>
        <w:pStyle w:val="1147"/>
        <w:ind w:firstLine="480"/>
        <w:spacing w:line="276" w:lineRule="auto"/>
        <w:rPr>
          <w:rFonts w:ascii="宋体" w:hAnsi="宋体"/>
          <w:color w:val="000000"/>
          <w:sz w:val="24"/>
        </w:rPr>
      </w:pPr>
      <w:r>
        <w:rPr>
          <w:rFonts w:hint="eastAsia" w:ascii="宋体" w:hAnsi="宋体"/>
          <w:color w:val="000000"/>
          <w:sz w:val="24"/>
        </w:rPr>
        <w:t xml:space="preserve">五、承诺本单位自觉接受行政管理部门、行业组织、社会公众、新闻舆论的监督。 </w:t>
      </w:r>
      <w:r>
        <w:rPr>
          <w:rFonts w:ascii="宋体" w:hAnsi="宋体"/>
          <w:color w:val="000000"/>
          <w:sz w:val="24"/>
        </w:rPr>
      </w:r>
      <w:r/>
    </w:p>
    <w:p>
      <w:pPr>
        <w:pStyle w:val="1147"/>
        <w:ind w:firstLine="480"/>
        <w:spacing w:line="276" w:lineRule="auto"/>
        <w:rPr>
          <w:rFonts w:ascii="宋体" w:hAnsi="宋体"/>
          <w:color w:val="000000"/>
          <w:sz w:val="24"/>
        </w:rPr>
      </w:pPr>
      <w:r>
        <w:rPr>
          <w:rFonts w:hint="eastAsia" w:ascii="宋体" w:hAnsi="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rPr>
      </w:r>
      <w:r/>
    </w:p>
    <w:p>
      <w:pPr>
        <w:pStyle w:val="1147"/>
        <w:ind w:firstLine="480"/>
        <w:spacing w:line="276" w:lineRule="auto"/>
        <w:rPr>
          <w:rFonts w:ascii="宋体" w:hAnsi="宋体"/>
          <w:color w:val="000000"/>
          <w:sz w:val="24"/>
        </w:rPr>
      </w:pPr>
      <w:r>
        <w:rPr>
          <w:rFonts w:hint="eastAsia" w:ascii="宋体" w:hAnsi="宋体"/>
          <w:color w:val="000000"/>
          <w:sz w:val="24"/>
        </w:rPr>
        <w:t xml:space="preserve">七、承诺本单位在信用中国（江苏）网站中无违法违规、较重或严重失信记录。 </w:t>
      </w:r>
      <w:r>
        <w:rPr>
          <w:rFonts w:ascii="宋体" w:hAnsi="宋体"/>
          <w:color w:val="000000"/>
          <w:sz w:val="24"/>
        </w:rPr>
      </w:r>
      <w:r/>
    </w:p>
    <w:p>
      <w:pPr>
        <w:pStyle w:val="1147"/>
        <w:ind w:firstLine="480"/>
        <w:spacing w:line="276" w:lineRule="auto"/>
        <w:rPr>
          <w:rFonts w:ascii="宋体" w:hAnsi="宋体"/>
          <w:color w:val="000000"/>
          <w:sz w:val="24"/>
        </w:rPr>
      </w:pPr>
      <w:r>
        <w:rPr>
          <w:rFonts w:hint="eastAsia" w:ascii="宋体" w:hAnsi="宋体"/>
          <w:color w:val="000000"/>
          <w:sz w:val="24"/>
        </w:rPr>
        <w:t xml:space="preserve">八、承诺本单位提出政府采购质疑和投诉坚持依法依规、诚实信用原则。</w:t>
      </w:r>
      <w:r>
        <w:rPr>
          <w:rFonts w:ascii="宋体" w:hAnsi="宋体"/>
          <w:color w:val="000000"/>
          <w:sz w:val="24"/>
        </w:rPr>
      </w:r>
      <w:r/>
    </w:p>
    <w:p>
      <w:pPr>
        <w:pStyle w:val="1147"/>
        <w:ind w:firstLine="480"/>
        <w:spacing w:line="276" w:lineRule="auto"/>
        <w:rPr>
          <w:rFonts w:ascii="宋体" w:hAnsi="宋体"/>
          <w:color w:val="000000"/>
          <w:sz w:val="24"/>
        </w:rPr>
      </w:pPr>
      <w:r>
        <w:rPr>
          <w:rFonts w:hint="eastAsia" w:ascii="宋体" w:hAnsi="宋体"/>
          <w:color w:val="000000"/>
          <w:sz w:val="24"/>
        </w:rPr>
        <w:t xml:space="preserve">九、根据政府采购相关法律法规的规定需要作出的其他承诺。 </w:t>
      </w:r>
      <w:r>
        <w:rPr>
          <w:rFonts w:ascii="宋体" w:hAnsi="宋体"/>
          <w:color w:val="000000"/>
          <w:sz w:val="24"/>
        </w:rPr>
      </w:r>
      <w:r/>
    </w:p>
    <w:p>
      <w:pPr>
        <w:pStyle w:val="1147"/>
        <w:ind w:firstLine="480"/>
        <w:spacing w:line="276" w:lineRule="auto"/>
        <w:rPr>
          <w:rFonts w:ascii="宋体" w:hAnsi="宋体"/>
          <w:color w:val="000000"/>
          <w:sz w:val="24"/>
        </w:rPr>
      </w:pPr>
      <w:r>
        <w:rPr>
          <w:rFonts w:hint="eastAsia" w:ascii="宋体" w:hAnsi="宋体"/>
          <w:color w:val="000000"/>
          <w:sz w:val="24"/>
        </w:rPr>
        <w:t xml:space="preserve">十、承诺本单位若违背承诺约定，经查实，愿意接受行业主管部门和信用管理部门相应的规定处罚，承担违约责任，并依法承担相应的法律责任。</w:t>
      </w:r>
      <w:r>
        <w:rPr>
          <w:rFonts w:ascii="宋体" w:hAnsi="宋体"/>
          <w:color w:val="000000"/>
          <w:sz w:val="24"/>
        </w:rPr>
      </w:r>
      <w:r/>
    </w:p>
    <w:p>
      <w:pPr>
        <w:pStyle w:val="1147"/>
        <w:ind w:firstLine="480"/>
        <w:spacing w:line="276" w:lineRule="auto"/>
        <w:rPr>
          <w:rFonts w:ascii="宋体" w:hAnsi="宋体"/>
          <w:color w:val="000000"/>
          <w:sz w:val="24"/>
        </w:rPr>
      </w:pPr>
      <w:r>
        <w:rPr>
          <w:rFonts w:hint="eastAsia" w:ascii="宋体" w:hAnsi="宋体"/>
          <w:color w:val="000000"/>
          <w:sz w:val="24"/>
        </w:rPr>
        <w:t xml:space="preserve">十一、承诺本单位同意将以上承诺事项上网公示，违背承诺约定行为将作为失信信息，记录到常州市公共信用信息系统，并予以公开。</w:t>
      </w:r>
      <w:r>
        <w:rPr>
          <w:rFonts w:ascii="宋体" w:hAnsi="宋体"/>
          <w:color w:val="000000"/>
          <w:sz w:val="24"/>
        </w:rPr>
      </w:r>
      <w:r/>
    </w:p>
    <w:p>
      <w:pPr>
        <w:pStyle w:val="1395"/>
        <w:ind w:right="1050" w:firstLine="2880"/>
        <w:jc w:val="both"/>
        <w:spacing w:line="276" w:lineRule="auto"/>
        <w:rPr>
          <w:rFonts w:ascii="宋体" w:hAnsi="宋体" w:eastAsia="宋体"/>
          <w:color w:val="000000"/>
          <w:sz w:val="24"/>
          <w:szCs w:val="22"/>
        </w:rPr>
      </w:pPr>
      <w:r>
        <w:rPr>
          <w:rFonts w:ascii="宋体" w:hAnsi="宋体" w:eastAsia="宋体"/>
          <w:color w:val="000000"/>
          <w:sz w:val="24"/>
          <w:szCs w:val="22"/>
        </w:rPr>
      </w:r>
      <w:r/>
    </w:p>
    <w:p>
      <w:pPr>
        <w:pStyle w:val="1147"/>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147"/>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47"/>
        <w:spacing w:line="360" w:lineRule="auto"/>
        <w:rPr>
          <w:rFonts w:eastAsia="宋体"/>
          <w:color w:val="000000"/>
          <w:sz w:val="24"/>
          <w:szCs w:val="20"/>
          <w:lang w:val="en-US" w:eastAsia="zh-CN"/>
        </w:rPr>
        <w:outlineLvl w:val="2"/>
      </w:pPr>
      <w:r>
        <w:rPr>
          <w:color w:val="000000"/>
          <w:sz w:val="24"/>
          <w:szCs w:val="20"/>
        </w:rPr>
        <w:br w:type="page" w:clear="all"/>
      </w:r>
      <w:r>
        <w:rPr>
          <w:color w:val="000000"/>
          <w:sz w:val="24"/>
          <w:szCs w:val="20"/>
        </w:rPr>
        <w:t xml:space="preserve">7  报价一览表</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rPr>
          <w:rFonts w:eastAsia="宋体"/>
          <w:color w:val="000000"/>
          <w:sz w:val="24"/>
          <w:szCs w:val="20"/>
          <w:lang w:val="en-US" w:eastAsia="zh-CN"/>
        </w:rPr>
      </w:r>
      <w:r/>
    </w:p>
    <w:p>
      <w:pPr>
        <w:pStyle w:val="1147"/>
        <w:jc w:val="center"/>
        <w:rPr>
          <w:b/>
          <w:color w:val="000000"/>
          <w:sz w:val="36"/>
          <w:szCs w:val="36"/>
        </w:rPr>
      </w:pPr>
      <w:r/>
      <w:bookmarkStart w:id="694" w:name="_Toc264969248"/>
      <w:r/>
      <w:bookmarkStart w:id="695" w:name="_Toc226309802"/>
      <w:r/>
      <w:bookmarkStart w:id="696" w:name="_Toc164608827"/>
      <w:r/>
      <w:bookmarkStart w:id="697" w:name="_Toc195842923"/>
      <w:r/>
      <w:bookmarkStart w:id="698" w:name="_Toc305158826"/>
      <w:r/>
      <w:bookmarkStart w:id="699" w:name="_Toc226965748"/>
      <w:r/>
      <w:bookmarkStart w:id="700" w:name="_Toc226965831"/>
      <w:r/>
      <w:bookmarkStart w:id="701" w:name="_Toc305158900"/>
      <w:r/>
      <w:bookmarkStart w:id="702" w:name="_Toc265228396"/>
      <w:r/>
      <w:bookmarkStart w:id="703" w:name="_Toc226337254"/>
      <w:r/>
      <w:bookmarkStart w:id="704" w:name="_Toc164608672"/>
      <w:r>
        <w:rPr>
          <w:rFonts w:hint="eastAsia"/>
          <w:b/>
          <w:color w:val="000000"/>
          <w:sz w:val="36"/>
          <w:szCs w:val="36"/>
        </w:rPr>
        <w:t xml:space="preserve">报价一览表</w:t>
      </w:r>
      <w:bookmarkEnd w:id="694"/>
      <w:r/>
      <w:bookmarkEnd w:id="695"/>
      <w:r/>
      <w:bookmarkEnd w:id="696"/>
      <w:r/>
      <w:bookmarkEnd w:id="697"/>
      <w:r/>
      <w:bookmarkEnd w:id="698"/>
      <w:r/>
      <w:bookmarkEnd w:id="699"/>
      <w:r/>
      <w:bookmarkEnd w:id="700"/>
      <w:r/>
      <w:bookmarkEnd w:id="701"/>
      <w:r/>
      <w:bookmarkEnd w:id="702"/>
      <w:r/>
      <w:bookmarkEnd w:id="703"/>
      <w:r/>
      <w:bookmarkEnd w:id="704"/>
      <w:r>
        <w:rPr>
          <w:b/>
          <w:color w:val="000000"/>
          <w:sz w:val="36"/>
          <w:szCs w:val="36"/>
        </w:rPr>
      </w:r>
      <w:r/>
    </w:p>
    <w:p>
      <w:pPr>
        <w:pStyle w:val="1147"/>
        <w:jc w:val="left"/>
        <w:spacing w:line="360" w:lineRule="auto"/>
        <w:tabs>
          <w:tab w:val="left" w:pos="1800" w:leader="none"/>
          <w:tab w:val="left" w:pos="5580" w:leader="none"/>
        </w:tabs>
        <w:rPr>
          <w:color w:val="000000"/>
          <w:sz w:val="24"/>
        </w:rPr>
      </w:pPr>
      <w:r>
        <w:rPr>
          <w:color w:val="000000"/>
          <w:sz w:val="24"/>
        </w:rPr>
      </w:r>
      <w:r/>
    </w:p>
    <w:p>
      <w:pPr>
        <w:pStyle w:val="1147"/>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w:t>
      </w:r>
      <w:r>
        <w:rPr>
          <w:color w:val="000000"/>
          <w:sz w:val="24"/>
          <w:u w:val="single"/>
        </w:rPr>
      </w:r>
      <w:r/>
    </w:p>
    <w:tbl>
      <w:tblPr>
        <w:tblW w:w="462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1"/>
        <w:gridCol w:w="4616"/>
        <w:gridCol w:w="3101"/>
      </w:tblGrid>
      <w:tr>
        <w:trPr>
          <w:trHeight w:val="815"/>
        </w:trPr>
        <w:tc>
          <w:tcPr>
            <w:tcW w:w="411" w:type="dxa"/>
            <w:vAlign w:val="center"/>
            <w:textDirection w:val="lrTb"/>
            <w:noWrap w:val="false"/>
          </w:tcPr>
          <w:p>
            <w:pPr>
              <w:pStyle w:val="1147"/>
              <w:jc w:val="center"/>
              <w:tabs>
                <w:tab w:val="left" w:pos="5580" w:leader="none"/>
              </w:tabs>
              <w:rPr>
                <w:rFonts w:ascii="Times New Roman" w:hAnsi="Times New Roman" w:eastAsia="宋体" w:cs="Times New Roman"/>
                <w:b/>
                <w:sz w:val="24"/>
              </w:rPr>
            </w:pPr>
            <w:r>
              <w:rPr>
                <w:rFonts w:ascii="Times New Roman" w:hAnsi="Times New Roman" w:eastAsia="宋体" w:cs="Times New Roman"/>
                <w:b/>
                <w:sz w:val="24"/>
              </w:rPr>
              <w:t xml:space="preserve">序号</w:t>
            </w:r>
            <w:r>
              <w:rPr>
                <w:rFonts w:ascii="Times New Roman" w:hAnsi="Times New Roman" w:eastAsia="宋体" w:cs="Times New Roman"/>
                <w:b/>
                <w:sz w:val="24"/>
              </w:rPr>
            </w:r>
            <w:r/>
          </w:p>
        </w:tc>
        <w:tc>
          <w:tcPr>
            <w:tcW w:w="2744" w:type="dxa"/>
            <w:vAlign w:val="center"/>
            <w:textDirection w:val="lrTb"/>
            <w:noWrap w:val="false"/>
          </w:tcPr>
          <w:p>
            <w:pPr>
              <w:pStyle w:val="1147"/>
              <w:jc w:val="center"/>
              <w:tabs>
                <w:tab w:val="left" w:pos="5580" w:leader="none"/>
              </w:tabs>
              <w:rPr>
                <w:rFonts w:ascii="Times New Roman" w:hAnsi="Times New Roman" w:eastAsia="宋体" w:cs="Times New Roman"/>
                <w:b/>
                <w:sz w:val="24"/>
              </w:rPr>
            </w:pPr>
            <w:r>
              <w:rPr>
                <w:rFonts w:ascii="Times New Roman" w:hAnsi="Times New Roman" w:eastAsia="宋体" w:cs="Times New Roman"/>
                <w:b/>
                <w:sz w:val="24"/>
              </w:rPr>
              <w:t xml:space="preserve">投标人名称</w:t>
            </w:r>
            <w:r>
              <w:rPr>
                <w:rFonts w:ascii="Times New Roman" w:hAnsi="Times New Roman" w:eastAsia="宋体" w:cs="Times New Roman"/>
                <w:b/>
                <w:sz w:val="24"/>
              </w:rPr>
            </w:r>
            <w:r/>
          </w:p>
        </w:tc>
        <w:tc>
          <w:tcPr>
            <w:tcW w:w="1843" w:type="dxa"/>
            <w:vAlign w:val="center"/>
            <w:textDirection w:val="lrTb"/>
            <w:noWrap w:val="false"/>
          </w:tcPr>
          <w:p>
            <w:pPr>
              <w:pStyle w:val="1147"/>
              <w:jc w:val="center"/>
              <w:tabs>
                <w:tab w:val="left" w:pos="5580" w:leader="none"/>
              </w:tabs>
              <w:rPr>
                <w:rFonts w:ascii="Times New Roman" w:hAnsi="Times New Roman" w:eastAsia="宋体" w:cs="Times New Roman"/>
                <w:b/>
                <w:sz w:val="24"/>
                <w:lang w:val="en-US" w:eastAsia="zh-CN"/>
              </w:rPr>
            </w:pPr>
            <w:r>
              <w:rPr>
                <w:rFonts w:ascii="Times New Roman" w:hAnsi="Times New Roman" w:eastAsia="宋体" w:cs="Times New Roman"/>
                <w:b/>
                <w:sz w:val="24"/>
              </w:rPr>
              <w:t xml:space="preserve">投标</w:t>
            </w:r>
            <w:r>
              <w:rPr>
                <w:rFonts w:hint="eastAsia" w:ascii="Times New Roman" w:hAnsi="Times New Roman" w:eastAsia="宋体" w:cs="Times New Roman"/>
                <w:b/>
                <w:sz w:val="24"/>
                <w:lang w:val="en-US" w:eastAsia="zh-CN"/>
              </w:rPr>
              <w:t xml:space="preserve">优惠率%</w:t>
            </w:r>
            <w:r>
              <w:rPr>
                <w:rFonts w:ascii="Times New Roman" w:hAnsi="Times New Roman" w:eastAsia="宋体" w:cs="Times New Roman"/>
                <w:b/>
                <w:sz w:val="24"/>
                <w:lang w:val="en-US" w:eastAsia="zh-CN"/>
              </w:rPr>
            </w:r>
            <w:r/>
          </w:p>
        </w:tc>
      </w:tr>
      <w:tr>
        <w:trPr>
          <w:trHeight w:val="976"/>
        </w:trPr>
        <w:tc>
          <w:tcPr>
            <w:tcW w:w="411" w:type="dxa"/>
            <w:vAlign w:val="center"/>
            <w:textDirection w:val="lrTb"/>
            <w:noWrap w:val="false"/>
          </w:tcPr>
          <w:p>
            <w:pPr>
              <w:pStyle w:val="1147"/>
              <w:jc w:val="center"/>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tc>
        <w:tc>
          <w:tcPr>
            <w:tcW w:w="2744" w:type="dxa"/>
            <w:vAlign w:val="center"/>
            <w:textDirection w:val="lrTb"/>
            <w:noWrap w:val="false"/>
          </w:tcPr>
          <w:p>
            <w:pPr>
              <w:pStyle w:val="1147"/>
              <w:jc w:val="center"/>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tc>
        <w:tc>
          <w:tcPr>
            <w:tcW w:w="1843" w:type="dxa"/>
            <w:vAlign w:val="center"/>
            <w:textDirection w:val="lrTb"/>
            <w:noWrap w:val="false"/>
          </w:tcPr>
          <w:p>
            <w:pPr>
              <w:pStyle w:val="1147"/>
              <w:jc w:val="center"/>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tc>
      </w:tr>
    </w:tbl>
    <w:p>
      <w:pPr>
        <w:pStyle w:val="1147"/>
        <w:jc w:val="left"/>
        <w:rPr>
          <w:color w:val="000000"/>
          <w:sz w:val="24"/>
        </w:rPr>
      </w:pPr>
      <w:r>
        <w:rPr>
          <w:color w:val="000000"/>
          <w:sz w:val="24"/>
        </w:rPr>
      </w:r>
      <w:r/>
    </w:p>
    <w:p>
      <w:pPr>
        <w:pStyle w:val="1147"/>
        <w:keepLines w:val="0"/>
        <w:keepNext w:val="0"/>
        <w:pageBreakBefore w:val="0"/>
        <w:spacing w:beforeAutospacing="0" w:line="312" w:lineRule="auto"/>
        <w:rPr>
          <w:rFonts w:hint="eastAsia" w:ascii="宋体" w:hAnsi="宋体" w:eastAsia="宋体" w:cs="宋体"/>
          <w:b/>
          <w:bCs/>
          <w:color w:val="000000"/>
          <w:sz w:val="28"/>
          <w:szCs w:val="28"/>
          <w:highlight w:val="none"/>
          <w:lang w:val="en-US" w:eastAsia="zh-CN" w:bidi="ar-SA"/>
        </w:rPr>
        <w:outlineLvl w:val="9"/>
      </w:pPr>
      <w:r>
        <w:rPr>
          <w:rFonts w:hint="eastAsia" w:ascii="宋体" w:hAnsi="宋体" w:eastAsia="宋体" w:cs="宋体"/>
          <w:b/>
          <w:bCs/>
          <w:color w:val="000000"/>
          <w:sz w:val="28"/>
          <w:szCs w:val="28"/>
          <w:highlight w:val="none"/>
          <w:lang w:val="en-US" w:eastAsia="zh-CN" w:bidi="ar-SA"/>
        </w:rPr>
        <w:t xml:space="preserve">注意：</w:t>
      </w:r>
      <w:r>
        <w:rPr>
          <w:rFonts w:hint="eastAsia" w:ascii="宋体" w:hAnsi="宋体" w:eastAsia="宋体" w:cs="宋体"/>
          <w:b/>
          <w:bCs/>
          <w:color w:val="000000"/>
          <w:sz w:val="28"/>
          <w:szCs w:val="28"/>
          <w:highlight w:val="none"/>
          <w:lang w:val="en-US" w:eastAsia="zh-CN" w:bidi="ar-SA"/>
        </w:rPr>
      </w:r>
      <w:r/>
    </w:p>
    <w:p>
      <w:pPr>
        <w:pStyle w:val="1147"/>
        <w:keepLines w:val="0"/>
        <w:keepNext w:val="0"/>
        <w:pageBreakBefore w:val="0"/>
        <w:spacing w:beforeAutospacing="0" w:line="312" w:lineRule="auto"/>
        <w:rPr>
          <w:rFonts w:hint="eastAsia" w:ascii="仿宋_GB2312" w:hAnsi="宋体" w:eastAsia="仿宋_GB2312" w:cs="Times New Roman"/>
          <w:b w:val="0"/>
          <w:bCs w:val="0"/>
          <w:color w:val="000000"/>
          <w:sz w:val="28"/>
          <w:szCs w:val="28"/>
          <w:highlight w:val="none"/>
          <w:lang w:val="en-US" w:eastAsia="zh-CN" w:bidi="ar-SA"/>
        </w:rPr>
        <w:outlineLvl w:val="9"/>
      </w:pPr>
      <w:r>
        <w:rPr>
          <w:rFonts w:hint="eastAsia" w:ascii="宋体" w:hAnsi="宋体" w:eastAsia="宋体" w:cs="宋体"/>
          <w:b/>
          <w:bCs/>
          <w:color w:val="000000"/>
          <w:sz w:val="28"/>
          <w:szCs w:val="28"/>
          <w:highlight w:val="none"/>
          <w:lang w:val="en-US" w:eastAsia="zh-CN" w:bidi="ar-SA"/>
        </w:rPr>
        <w:t xml:space="preserve">1.投标人在提交投标文件时，应按照投标工具的提示流程编制提交开标一览表。</w:t>
      </w:r>
      <w:r>
        <w:rPr>
          <w:rFonts w:hint="eastAsia" w:ascii="仿宋_GB2312" w:hAnsi="宋体" w:eastAsia="仿宋_GB2312" w:cs="Times New Roman"/>
          <w:b w:val="0"/>
          <w:bCs w:val="0"/>
          <w:color w:val="000000"/>
          <w:sz w:val="28"/>
          <w:szCs w:val="28"/>
          <w:highlight w:val="none"/>
          <w:lang w:val="en-US" w:eastAsia="zh-CN" w:bidi="ar-SA"/>
        </w:rPr>
      </w:r>
      <w:r/>
    </w:p>
    <w:p>
      <w:pPr>
        <w:pStyle w:val="1147"/>
        <w:numPr>
          <w:ilvl w:val="0"/>
          <w:numId w:val="0"/>
        </w:numPr>
        <w:keepLines w:val="0"/>
        <w:keepNext w:val="0"/>
        <w:pageBreakBefore w:val="0"/>
        <w:spacing w:beforeAutospacing="0" w:line="312" w:lineRule="auto"/>
        <w:rPr>
          <w:rFonts w:hint="eastAsia" w:ascii="宋体" w:hAnsi="宋体" w:eastAsia="宋体" w:cs="宋体"/>
          <w:b/>
          <w:bCs/>
          <w:color w:val="000000"/>
          <w:sz w:val="28"/>
          <w:szCs w:val="28"/>
          <w:highlight w:val="none"/>
          <w:lang w:val="en-US" w:eastAsia="zh-CN" w:bidi="ar-SA"/>
        </w:rPr>
        <w:outlineLvl w:val="9"/>
      </w:pPr>
      <w:r>
        <w:rPr>
          <w:rFonts w:hint="eastAsia" w:ascii="宋体" w:hAnsi="宋体" w:eastAsia="宋体" w:cs="宋体"/>
          <w:b/>
          <w:bCs/>
          <w:color w:val="000000"/>
          <w:sz w:val="28"/>
          <w:szCs w:val="28"/>
          <w:highlight w:val="none"/>
          <w:lang w:val="en-US" w:eastAsia="zh-CN" w:bidi="ar-SA"/>
        </w:rPr>
        <w:t xml:space="preserve">2.本项目采用优惠率报价，投标人根据成本自行决定报价，应包括成本、法定税费和相应的利润，应涵盖本项目采购范围和招标文件所列的各项内容中所述的全部。</w:t>
      </w:r>
      <w:r>
        <w:rPr>
          <w:rFonts w:hint="eastAsia" w:ascii="宋体" w:hAnsi="宋体" w:eastAsia="宋体" w:cs="宋体"/>
          <w:b/>
          <w:bCs/>
          <w:color w:val="000000"/>
          <w:sz w:val="28"/>
          <w:szCs w:val="28"/>
          <w:highlight w:val="none"/>
          <w:lang w:val="en-US" w:eastAsia="zh-CN" w:bidi="ar-SA"/>
        </w:rPr>
      </w:r>
      <w:r/>
    </w:p>
    <w:p>
      <w:pPr>
        <w:pStyle w:val="1147"/>
        <w:numPr>
          <w:ilvl w:val="0"/>
          <w:numId w:val="0"/>
        </w:numPr>
        <w:keepLines w:val="0"/>
        <w:keepNext w:val="0"/>
        <w:pageBreakBefore w:val="0"/>
        <w:spacing w:beforeAutospacing="0" w:line="312" w:lineRule="auto"/>
        <w:rPr>
          <w:rFonts w:hint="eastAsia" w:ascii="宋体" w:hAnsi="宋体" w:eastAsia="宋体" w:cs="宋体"/>
          <w:b/>
          <w:bCs/>
          <w:color w:val="000000"/>
          <w:sz w:val="28"/>
          <w:szCs w:val="28"/>
          <w:highlight w:val="none"/>
          <w:lang w:val="en-US" w:eastAsia="zh-CN" w:bidi="ar-SA"/>
        </w:rPr>
        <w:outlineLvl w:val="9"/>
      </w:pPr>
      <w:r>
        <w:rPr>
          <w:rFonts w:hint="eastAsia" w:ascii="宋体" w:hAnsi="宋体" w:eastAsia="宋体" w:cs="宋体"/>
          <w:b/>
          <w:bCs/>
          <w:color w:val="000000"/>
          <w:sz w:val="28"/>
          <w:szCs w:val="28"/>
          <w:highlight w:val="none"/>
          <w:lang w:val="en-US" w:eastAsia="zh-CN" w:bidi="ar-SA"/>
        </w:rPr>
        <w:t xml:space="preserve">3、本项目报价以优惠率进行报价。</w:t>
      </w:r>
      <w:r>
        <w:rPr>
          <w:rFonts w:hint="eastAsia" w:ascii="宋体" w:hAnsi="宋体" w:eastAsia="宋体" w:cs="宋体"/>
          <w:b/>
          <w:bCs/>
          <w:color w:val="000000"/>
          <w:sz w:val="28"/>
          <w:szCs w:val="28"/>
          <w:highlight w:val="none"/>
          <w:lang w:val="en-US" w:eastAsia="zh-CN" w:bidi="ar-SA"/>
        </w:rPr>
      </w:r>
      <w:r/>
    </w:p>
    <w:p>
      <w:pPr>
        <w:pStyle w:val="1147"/>
        <w:numPr>
          <w:ilvl w:val="0"/>
          <w:numId w:val="0"/>
        </w:numPr>
        <w:keepLines w:val="0"/>
        <w:keepNext w:val="0"/>
        <w:pageBreakBefore w:val="0"/>
        <w:spacing w:beforeAutospacing="0" w:line="312" w:lineRule="auto"/>
        <w:rPr>
          <w:rFonts w:ascii="宋体" w:hAnsi="宋体" w:eastAsia="宋体" w:cs="宋体"/>
          <w:b/>
          <w:bCs/>
          <w:color w:val="000000"/>
          <w:sz w:val="28"/>
          <w:szCs w:val="28"/>
          <w:highlight w:val="none"/>
          <w:lang w:val="en-US" w:eastAsia="zh-CN" w:bidi="ar-SA"/>
        </w:rPr>
        <w:outlineLvl w:val="9"/>
      </w:pPr>
      <w:r>
        <w:rPr>
          <w:rFonts w:hint="eastAsia" w:ascii="宋体" w:hAnsi="宋体" w:eastAsia="宋体" w:cs="宋体"/>
          <w:b/>
          <w:bCs/>
          <w:color w:val="000000"/>
          <w:sz w:val="28"/>
          <w:szCs w:val="28"/>
          <w:highlight w:val="none"/>
          <w:lang w:val="en-US" w:eastAsia="zh-CN" w:bidi="ar-SA"/>
        </w:rPr>
        <w:t xml:space="preserve">例：优惠20个点，则报价填写</w:t>
      </w:r>
      <w:r>
        <w:rPr>
          <w:rFonts w:hint="eastAsia" w:ascii="宋体" w:hAnsi="宋体" w:eastAsia="宋体" w:cs="宋体"/>
          <w:b/>
          <w:bCs/>
          <w:color w:val="000000"/>
          <w:sz w:val="28"/>
          <w:szCs w:val="28"/>
          <w:highlight w:val="none"/>
          <w:u w:val="single"/>
          <w:lang w:val="en-US" w:eastAsia="zh-CN" w:bidi="ar-SA"/>
        </w:rPr>
        <w:t xml:space="preserve"> 20 </w:t>
      </w:r>
      <w:r>
        <w:rPr>
          <w:rFonts w:hint="eastAsia" w:ascii="宋体" w:hAnsi="宋体" w:eastAsia="宋体" w:cs="宋体"/>
          <w:b/>
          <w:bCs/>
          <w:color w:val="000000"/>
          <w:sz w:val="28"/>
          <w:szCs w:val="28"/>
          <w:highlight w:val="none"/>
          <w:lang w:val="en-US" w:eastAsia="zh-CN" w:bidi="ar-SA"/>
        </w:rPr>
        <w:t xml:space="preserve">%；投标报价填写错误不做修正。</w:t>
      </w:r>
      <w:r>
        <w:rPr>
          <w:rFonts w:ascii="宋体" w:hAnsi="宋体" w:eastAsia="宋体" w:cs="宋体"/>
          <w:b/>
          <w:bCs/>
          <w:color w:val="000000"/>
          <w:sz w:val="28"/>
          <w:szCs w:val="28"/>
          <w:highlight w:val="none"/>
          <w:lang w:val="en-US" w:eastAsia="zh-CN" w:bidi="ar-SA"/>
        </w:rPr>
      </w:r>
      <w:r/>
    </w:p>
    <w:p>
      <w:pPr>
        <w:pStyle w:val="1147"/>
        <w:tabs>
          <w:tab w:val="left" w:pos="5580" w:leader="none"/>
        </w:tabs>
        <w:rPr>
          <w:color w:val="000000"/>
          <w:sz w:val="24"/>
          <w:szCs w:val="20"/>
        </w:rPr>
      </w:pPr>
      <w:r>
        <w:rPr>
          <w:rFonts w:hint="eastAsia" w:ascii="宋体" w:hAnsi="宋体" w:eastAsia="宋体" w:cs="宋体"/>
          <w:b/>
          <w:bCs/>
          <w:color w:val="000000"/>
          <w:sz w:val="28"/>
          <w:szCs w:val="28"/>
          <w:highlight w:val="none"/>
          <w:lang w:val="en-US" w:eastAsia="zh-CN" w:bidi="ar-SA"/>
        </w:rPr>
        <w:t xml:space="preserve">4、本项目以采购清单中报价单位的基准价的优惠率方式进行报价，固定单价报价=基准价*（1-优惠率）例如：基准价为100，优惠率为20%，固定单价报价=100*（1-20%）=80</w:t>
      </w:r>
      <w:r>
        <w:rPr>
          <w:color w:val="000000"/>
          <w:sz w:val="24"/>
          <w:szCs w:val="20"/>
        </w:rPr>
      </w:r>
      <w:r/>
    </w:p>
    <w:p>
      <w:pPr>
        <w:pStyle w:val="1147"/>
        <w:spacing w:before="25" w:after="25" w:line="360" w:lineRule="auto"/>
        <w:rPr>
          <w:color w:val="000000"/>
          <w:sz w:val="24"/>
        </w:rPr>
      </w:pPr>
      <w:r>
        <w:rPr>
          <w:color w:val="000000"/>
          <w:sz w:val="24"/>
        </w:rPr>
      </w:r>
      <w:r/>
    </w:p>
    <w:p>
      <w:pPr>
        <w:pStyle w:val="1225"/>
      </w:pPr>
      <w:r/>
      <w:r/>
    </w:p>
    <w:p>
      <w:pPr>
        <w:pStyle w:val="1147"/>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147"/>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47"/>
        <w:spacing w:line="360" w:lineRule="auto"/>
        <w:rPr>
          <w:color w:val="000000"/>
          <w:sz w:val="24"/>
          <w:szCs w:val="20"/>
        </w:rPr>
        <w:outlineLvl w:val="2"/>
      </w:pPr>
      <w:r/>
      <w:bookmarkStart w:id="705" w:name="_Toc127151558"/>
      <w:r/>
      <w:bookmarkStart w:id="706" w:name="_Toc195842924"/>
      <w:r/>
      <w:bookmarkStart w:id="707" w:name="_Toc305158827"/>
      <w:r/>
      <w:bookmarkStart w:id="708" w:name="_Toc226965749"/>
      <w:r/>
      <w:bookmarkStart w:id="709" w:name="_Toc150774763"/>
      <w:r/>
      <w:bookmarkStart w:id="710" w:name="_Toc265228397"/>
      <w:r/>
      <w:bookmarkStart w:id="711" w:name="_Toc150480796"/>
      <w:r/>
      <w:bookmarkStart w:id="712" w:name="_Toc226309803"/>
      <w:r/>
      <w:bookmarkStart w:id="713" w:name="_Toc264969249"/>
      <w:r/>
      <w:bookmarkStart w:id="714" w:name="_Toc305158901"/>
      <w:r/>
      <w:bookmarkStart w:id="715" w:name="_Toc142311060"/>
      <w:r/>
      <w:bookmarkStart w:id="716" w:name="_Toc226337255"/>
      <w:r/>
      <w:bookmarkStart w:id="717" w:name="_Toc226965832"/>
      <w:r>
        <w:rPr>
          <w:color w:val="000000"/>
          <w:sz w:val="24"/>
          <w:szCs w:val="20"/>
        </w:rPr>
      </w:r>
      <w:r/>
    </w:p>
    <w:p>
      <w:pPr>
        <w:pStyle w:val="1147"/>
        <w:spacing w:line="360" w:lineRule="auto"/>
        <w:rPr>
          <w:color w:val="000000"/>
          <w:sz w:val="24"/>
          <w:szCs w:val="20"/>
        </w:rPr>
        <w:outlineLvl w:val="2"/>
      </w:pPr>
      <w:r>
        <w:rPr>
          <w:color w:val="000000"/>
          <w:sz w:val="24"/>
          <w:szCs w:val="20"/>
        </w:rPr>
      </w:r>
      <w:r/>
    </w:p>
    <w:p>
      <w:pPr>
        <w:pStyle w:val="1147"/>
        <w:spacing w:line="360" w:lineRule="auto"/>
        <w:rPr>
          <w:color w:val="000000"/>
          <w:sz w:val="24"/>
          <w:szCs w:val="20"/>
        </w:rPr>
        <w:outlineLvl w:val="2"/>
      </w:pPr>
      <w:r>
        <w:rPr>
          <w:color w:val="000000"/>
          <w:sz w:val="24"/>
          <w:szCs w:val="20"/>
        </w:rPr>
      </w:r>
      <w:r/>
    </w:p>
    <w:p>
      <w:pPr>
        <w:pStyle w:val="1147"/>
        <w:spacing w:line="360" w:lineRule="auto"/>
        <w:rPr>
          <w:color w:val="000000"/>
          <w:sz w:val="24"/>
          <w:szCs w:val="20"/>
        </w:rPr>
        <w:outlineLvl w:val="2"/>
      </w:pPr>
      <w:r>
        <w:rPr>
          <w:color w:val="000000"/>
          <w:sz w:val="24"/>
          <w:szCs w:val="20"/>
        </w:rPr>
      </w:r>
      <w:r/>
    </w:p>
    <w:p>
      <w:pPr>
        <w:pStyle w:val="1147"/>
        <w:spacing w:line="360" w:lineRule="auto"/>
        <w:rPr>
          <w:color w:val="000000"/>
          <w:sz w:val="24"/>
          <w:szCs w:val="20"/>
        </w:rPr>
        <w:outlineLvl w:val="2"/>
      </w:pPr>
      <w:r>
        <w:rPr>
          <w:color w:val="000000"/>
          <w:sz w:val="24"/>
          <w:szCs w:val="20"/>
        </w:rPr>
      </w:r>
      <w:r/>
    </w:p>
    <w:p>
      <w:pPr>
        <w:pStyle w:val="1147"/>
        <w:spacing w:line="360" w:lineRule="auto"/>
        <w:rPr>
          <w:color w:val="000000"/>
          <w:sz w:val="24"/>
          <w:szCs w:val="20"/>
        </w:rPr>
        <w:outlineLvl w:val="2"/>
      </w:pPr>
      <w:r>
        <w:rPr>
          <w:color w:val="000000"/>
          <w:sz w:val="24"/>
          <w:szCs w:val="20"/>
        </w:rPr>
        <w:br w:type="page" w:clear="all"/>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Start w:id="718" w:name="_Toc226965835"/>
      <w:r/>
      <w:bookmarkStart w:id="719" w:name="_Toc226309806"/>
      <w:r/>
      <w:bookmarkStart w:id="720" w:name="_Toc127151562"/>
      <w:r/>
      <w:bookmarkStart w:id="721" w:name="_Toc142311062"/>
      <w:r/>
      <w:bookmarkStart w:id="722" w:name="_Toc195842927"/>
      <w:r/>
      <w:bookmarkStart w:id="723" w:name="_Toc305158904"/>
      <w:r/>
      <w:bookmarkStart w:id="724" w:name="_Toc150480798"/>
      <w:r/>
      <w:bookmarkStart w:id="725" w:name="_Toc264969252"/>
      <w:r/>
      <w:bookmarkStart w:id="726" w:name="_Toc226337258"/>
      <w:r/>
      <w:bookmarkStart w:id="727" w:name="_Toc226965752"/>
      <w:r/>
      <w:bookmarkStart w:id="728" w:name="_Toc265228400"/>
      <w:r/>
      <w:bookmarkStart w:id="729" w:name="_Toc305158830"/>
      <w:r/>
      <w:bookmarkStart w:id="730" w:name="_Toc150774765"/>
      <w:r/>
      <w:bookmarkStart w:id="731" w:name="_Toc150774764"/>
      <w:r/>
      <w:bookmarkStart w:id="732" w:name="_Toc264969251"/>
      <w:r/>
      <w:bookmarkStart w:id="733" w:name="_Toc226337257"/>
      <w:r/>
      <w:bookmarkStart w:id="734" w:name="_Toc226965834"/>
      <w:r/>
      <w:bookmarkStart w:id="735" w:name="_Toc150480797"/>
      <w:r/>
      <w:bookmarkStart w:id="736" w:name="_Toc226965751"/>
      <w:r/>
      <w:bookmarkStart w:id="737" w:name="_Toc226309805"/>
      <w:r/>
      <w:bookmarkStart w:id="738" w:name="_Toc127151561"/>
      <w:r/>
      <w:bookmarkStart w:id="739" w:name="_Toc265228399"/>
      <w:r/>
      <w:bookmarkStart w:id="740" w:name="_Toc195842926"/>
      <w:r/>
      <w:bookmarkStart w:id="741" w:name="_Toc305158829"/>
      <w:r/>
      <w:bookmarkStart w:id="742" w:name="_Toc142311061"/>
      <w:r/>
      <w:bookmarkStart w:id="743" w:name="_Toc305158903"/>
      <w:r>
        <w:rPr>
          <w:rFonts w:hint="eastAsia"/>
          <w:color w:val="000000"/>
          <w:sz w:val="24"/>
          <w:szCs w:val="20"/>
          <w:lang w:val="en-US" w:eastAsia="zh-CN"/>
        </w:rPr>
        <w:t xml:space="preserve">8</w:t>
      </w:r>
      <w:r>
        <w:rPr>
          <w:color w:val="000000"/>
          <w:sz w:val="24"/>
          <w:szCs w:val="20"/>
        </w:rPr>
        <w:t xml:space="preserve">  合同条款偏离表</w:t>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rPr>
          <w:color w:val="000000"/>
          <w:sz w:val="24"/>
          <w:szCs w:val="20"/>
        </w:rPr>
      </w:r>
      <w:r/>
    </w:p>
    <w:p>
      <w:pPr>
        <w:pStyle w:val="1147"/>
        <w:spacing w:line="360" w:lineRule="auto"/>
        <w:rPr>
          <w:color w:val="000000"/>
          <w:sz w:val="24"/>
          <w:szCs w:val="20"/>
        </w:rPr>
      </w:pPr>
      <w:r>
        <w:rPr>
          <w:color w:val="000000"/>
          <w:sz w:val="24"/>
          <w:szCs w:val="20"/>
        </w:rPr>
      </w:r>
      <w:r/>
    </w:p>
    <w:p>
      <w:pPr>
        <w:pStyle w:val="1147"/>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1147"/>
        <w:jc w:val="center"/>
        <w:rPr>
          <w:color w:val="000000"/>
          <w:sz w:val="36"/>
          <w:szCs w:val="36"/>
        </w:rPr>
      </w:pPr>
      <w:r>
        <w:rPr>
          <w:color w:val="000000"/>
          <w:sz w:val="36"/>
          <w:szCs w:val="36"/>
        </w:rPr>
      </w:r>
      <w:r/>
    </w:p>
    <w:p>
      <w:pPr>
        <w:pStyle w:val="1147"/>
        <w:spacing w:line="360" w:lineRule="auto"/>
        <w:rPr>
          <w:color w:val="000000"/>
          <w:sz w:val="24"/>
          <w:szCs w:val="20"/>
        </w:rPr>
      </w:pPr>
      <w:r>
        <w:rPr>
          <w:color w:val="000000"/>
          <w:sz w:val="24"/>
          <w:szCs w:val="20"/>
        </w:rPr>
      </w:r>
      <w:r/>
    </w:p>
    <w:p>
      <w:pPr>
        <w:pStyle w:val="1147"/>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147"/>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1147"/>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1147"/>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34" w:type="dxa"/>
            <w:vAlign w:val="center"/>
            <w:textDirection w:val="lrTb"/>
            <w:noWrap w:val="false"/>
          </w:tcPr>
          <w:p>
            <w:pPr>
              <w:pStyle w:val="1147"/>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1147"/>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2007" w:type="dxa"/>
            <w:vAlign w:val="center"/>
            <w:textDirection w:val="lrTb"/>
            <w:noWrap w:val="false"/>
          </w:tcPr>
          <w:p>
            <w:pPr>
              <w:pStyle w:val="1147"/>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2008" w:type="dxa"/>
            <w:vAlign w:val="center"/>
            <w:textDirection w:val="lrTb"/>
            <w:noWrap w:val="false"/>
          </w:tcPr>
          <w:p>
            <w:pPr>
              <w:pStyle w:val="1147"/>
              <w:jc w:val="center"/>
              <w:rPr>
                <w:color w:val="000000"/>
                <w:sz w:val="24"/>
              </w:rPr>
            </w:pPr>
            <w:r>
              <w:rPr>
                <w:color w:val="000000"/>
                <w:sz w:val="24"/>
              </w:rPr>
              <w:t xml:space="preserve">响应文件内容</w:t>
            </w:r>
            <w:r>
              <w:rPr>
                <w:color w:val="000000"/>
                <w:sz w:val="24"/>
              </w:rPr>
            </w:r>
            <w:r/>
          </w:p>
        </w:tc>
        <w:tc>
          <w:tcPr>
            <w:tcW w:w="2458" w:type="dxa"/>
            <w:vAlign w:val="center"/>
            <w:textDirection w:val="lrTb"/>
            <w:noWrap w:val="false"/>
          </w:tcPr>
          <w:p>
            <w:pPr>
              <w:pStyle w:val="1147"/>
              <w:jc w:val="center"/>
              <w:rPr>
                <w:color w:val="000000"/>
                <w:sz w:val="24"/>
              </w:rPr>
            </w:pPr>
            <w:r>
              <w:rPr>
                <w:color w:val="000000"/>
                <w:sz w:val="24"/>
              </w:rPr>
              <w:t xml:space="preserve">偏离情况</w:t>
            </w:r>
            <w:r>
              <w:rPr>
                <w:color w:val="000000"/>
                <w:sz w:val="24"/>
              </w:rPr>
            </w:r>
            <w:r/>
          </w:p>
          <w:p>
            <w:pPr>
              <w:pStyle w:val="1147"/>
              <w:jc w:val="center"/>
              <w:rPr>
                <w:color w:val="000000"/>
                <w:sz w:val="24"/>
              </w:rPr>
            </w:pPr>
            <w:r>
              <w:rPr>
                <w:color w:val="000000"/>
                <w:sz w:val="24"/>
              </w:rPr>
              <w:t xml:space="preserve">（据实填写）</w:t>
            </w:r>
            <w:r>
              <w:rPr>
                <w:color w:val="000000"/>
                <w:sz w:val="24"/>
              </w:rPr>
            </w:r>
            <w:r/>
          </w:p>
        </w:tc>
        <w:tc>
          <w:tcPr>
            <w:tcW w:w="788" w:type="dxa"/>
            <w:vAlign w:val="center"/>
            <w:textDirection w:val="lrTb"/>
            <w:noWrap w:val="false"/>
          </w:tcPr>
          <w:p>
            <w:pPr>
              <w:pStyle w:val="1147"/>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1147"/>
              <w:jc w:val="center"/>
              <w:rPr>
                <w:color w:val="000000"/>
                <w:sz w:val="24"/>
              </w:rPr>
            </w:pPr>
            <w:r>
              <w:rPr>
                <w:color w:val="000000"/>
                <w:sz w:val="24"/>
              </w:rPr>
            </w:r>
            <w:r/>
          </w:p>
        </w:tc>
        <w:tc>
          <w:tcPr>
            <w:tcW w:w="1301" w:type="dxa"/>
            <w:vAlign w:val="center"/>
            <w:textDirection w:val="lrTb"/>
            <w:noWrap w:val="false"/>
          </w:tcPr>
          <w:p>
            <w:pPr>
              <w:pStyle w:val="1147"/>
              <w:jc w:val="center"/>
              <w:rPr>
                <w:color w:val="000000"/>
                <w:sz w:val="24"/>
              </w:rPr>
            </w:pPr>
            <w:r>
              <w:rPr>
                <w:color w:val="000000"/>
                <w:sz w:val="24"/>
              </w:rPr>
            </w:r>
            <w:r/>
          </w:p>
        </w:tc>
        <w:tc>
          <w:tcPr>
            <w:tcW w:w="2007" w:type="dxa"/>
            <w:vAlign w:val="center"/>
            <w:textDirection w:val="lrTb"/>
            <w:noWrap w:val="false"/>
          </w:tcPr>
          <w:p>
            <w:pPr>
              <w:pStyle w:val="1147"/>
              <w:jc w:val="center"/>
              <w:rPr>
                <w:color w:val="000000"/>
                <w:sz w:val="24"/>
              </w:rPr>
            </w:pPr>
            <w:r>
              <w:rPr>
                <w:color w:val="000000"/>
                <w:sz w:val="24"/>
              </w:rPr>
            </w:r>
            <w:r/>
          </w:p>
        </w:tc>
        <w:tc>
          <w:tcPr>
            <w:tcW w:w="2008" w:type="dxa"/>
            <w:vAlign w:val="center"/>
            <w:textDirection w:val="lrTb"/>
            <w:noWrap w:val="false"/>
          </w:tcPr>
          <w:p>
            <w:pPr>
              <w:pStyle w:val="1147"/>
              <w:jc w:val="center"/>
              <w:rPr>
                <w:color w:val="000000"/>
                <w:sz w:val="24"/>
              </w:rPr>
            </w:pPr>
            <w:r>
              <w:rPr>
                <w:color w:val="000000"/>
                <w:sz w:val="24"/>
              </w:rPr>
            </w:r>
            <w:r/>
          </w:p>
        </w:tc>
        <w:tc>
          <w:tcPr>
            <w:tcW w:w="2458" w:type="dxa"/>
            <w:vAlign w:val="center"/>
            <w:textDirection w:val="lrTb"/>
            <w:noWrap w:val="false"/>
          </w:tcPr>
          <w:p>
            <w:pPr>
              <w:pStyle w:val="1147"/>
              <w:jc w:val="center"/>
              <w:rPr>
                <w:color w:val="000000"/>
                <w:sz w:val="24"/>
              </w:rPr>
            </w:pPr>
            <w:r>
              <w:rPr>
                <w:color w:val="000000"/>
                <w:sz w:val="24"/>
              </w:rPr>
            </w:r>
            <w:r/>
          </w:p>
        </w:tc>
        <w:tc>
          <w:tcPr>
            <w:tcW w:w="788" w:type="dxa"/>
            <w:vAlign w:val="center"/>
            <w:textDirection w:val="lrTb"/>
            <w:noWrap w:val="false"/>
          </w:tcPr>
          <w:p>
            <w:pPr>
              <w:pStyle w:val="1147"/>
              <w:jc w:val="center"/>
              <w:rPr>
                <w:color w:val="000000"/>
                <w:sz w:val="24"/>
              </w:rPr>
            </w:pPr>
            <w:r>
              <w:rPr>
                <w:color w:val="000000"/>
                <w:sz w:val="24"/>
              </w:rPr>
            </w:r>
            <w:r/>
          </w:p>
        </w:tc>
      </w:tr>
      <w:tr>
        <w:trPr>
          <w:trHeight w:val="930"/>
        </w:trPr>
        <w:tc>
          <w:tcPr>
            <w:tcW w:w="834" w:type="dxa"/>
            <w:vAlign w:val="center"/>
            <w:textDirection w:val="lrTb"/>
            <w:noWrap w:val="false"/>
          </w:tcPr>
          <w:p>
            <w:pPr>
              <w:pStyle w:val="1147"/>
              <w:jc w:val="center"/>
              <w:rPr>
                <w:color w:val="000000"/>
                <w:sz w:val="24"/>
              </w:rPr>
            </w:pPr>
            <w:r>
              <w:rPr>
                <w:color w:val="000000"/>
                <w:sz w:val="24"/>
              </w:rPr>
            </w:r>
            <w:r/>
          </w:p>
        </w:tc>
        <w:tc>
          <w:tcPr>
            <w:tcW w:w="1301" w:type="dxa"/>
            <w:vAlign w:val="center"/>
            <w:textDirection w:val="lrTb"/>
            <w:noWrap w:val="false"/>
          </w:tcPr>
          <w:p>
            <w:pPr>
              <w:pStyle w:val="1147"/>
              <w:jc w:val="center"/>
              <w:rPr>
                <w:color w:val="000000"/>
                <w:sz w:val="24"/>
              </w:rPr>
            </w:pPr>
            <w:r>
              <w:rPr>
                <w:color w:val="000000"/>
                <w:sz w:val="24"/>
              </w:rPr>
            </w:r>
            <w:r/>
          </w:p>
        </w:tc>
        <w:tc>
          <w:tcPr>
            <w:tcW w:w="2007" w:type="dxa"/>
            <w:vAlign w:val="center"/>
            <w:textDirection w:val="lrTb"/>
            <w:noWrap w:val="false"/>
          </w:tcPr>
          <w:p>
            <w:pPr>
              <w:pStyle w:val="1147"/>
              <w:jc w:val="center"/>
              <w:rPr>
                <w:color w:val="000000"/>
                <w:sz w:val="24"/>
              </w:rPr>
            </w:pPr>
            <w:r>
              <w:rPr>
                <w:color w:val="000000"/>
                <w:sz w:val="24"/>
              </w:rPr>
            </w:r>
            <w:r/>
          </w:p>
        </w:tc>
        <w:tc>
          <w:tcPr>
            <w:tcW w:w="2008" w:type="dxa"/>
            <w:vAlign w:val="center"/>
            <w:textDirection w:val="lrTb"/>
            <w:noWrap w:val="false"/>
          </w:tcPr>
          <w:p>
            <w:pPr>
              <w:pStyle w:val="1147"/>
              <w:jc w:val="center"/>
              <w:rPr>
                <w:color w:val="000000"/>
                <w:sz w:val="24"/>
              </w:rPr>
            </w:pPr>
            <w:r>
              <w:rPr>
                <w:color w:val="000000"/>
                <w:sz w:val="24"/>
              </w:rPr>
            </w:r>
            <w:r/>
          </w:p>
        </w:tc>
        <w:tc>
          <w:tcPr>
            <w:tcW w:w="2458" w:type="dxa"/>
            <w:vAlign w:val="center"/>
            <w:textDirection w:val="lrTb"/>
            <w:noWrap w:val="false"/>
          </w:tcPr>
          <w:p>
            <w:pPr>
              <w:pStyle w:val="1147"/>
              <w:jc w:val="center"/>
              <w:rPr>
                <w:color w:val="000000"/>
                <w:sz w:val="24"/>
              </w:rPr>
            </w:pPr>
            <w:r>
              <w:rPr>
                <w:color w:val="000000"/>
                <w:sz w:val="24"/>
              </w:rPr>
            </w:r>
            <w:r/>
          </w:p>
        </w:tc>
        <w:tc>
          <w:tcPr>
            <w:tcW w:w="788" w:type="dxa"/>
            <w:vAlign w:val="center"/>
            <w:textDirection w:val="lrTb"/>
            <w:noWrap w:val="false"/>
          </w:tcPr>
          <w:p>
            <w:pPr>
              <w:pStyle w:val="1147"/>
              <w:jc w:val="center"/>
              <w:rPr>
                <w:color w:val="000000"/>
                <w:sz w:val="24"/>
              </w:rPr>
            </w:pPr>
            <w:r>
              <w:rPr>
                <w:color w:val="000000"/>
                <w:sz w:val="24"/>
              </w:rPr>
            </w:r>
            <w:r/>
          </w:p>
        </w:tc>
      </w:tr>
      <w:tr>
        <w:trPr>
          <w:trHeight w:val="930"/>
        </w:trPr>
        <w:tc>
          <w:tcPr>
            <w:tcW w:w="834" w:type="dxa"/>
            <w:vAlign w:val="center"/>
            <w:textDirection w:val="lrTb"/>
            <w:noWrap w:val="false"/>
          </w:tcPr>
          <w:p>
            <w:pPr>
              <w:pStyle w:val="1147"/>
              <w:jc w:val="center"/>
              <w:rPr>
                <w:color w:val="000000"/>
                <w:sz w:val="24"/>
              </w:rPr>
            </w:pPr>
            <w:r>
              <w:rPr>
                <w:color w:val="000000"/>
                <w:sz w:val="24"/>
              </w:rPr>
            </w:r>
            <w:r/>
          </w:p>
        </w:tc>
        <w:tc>
          <w:tcPr>
            <w:tcW w:w="1301" w:type="dxa"/>
            <w:vAlign w:val="center"/>
            <w:textDirection w:val="lrTb"/>
            <w:noWrap w:val="false"/>
          </w:tcPr>
          <w:p>
            <w:pPr>
              <w:pStyle w:val="1147"/>
              <w:jc w:val="center"/>
              <w:rPr>
                <w:color w:val="000000"/>
                <w:sz w:val="24"/>
              </w:rPr>
            </w:pPr>
            <w:r>
              <w:rPr>
                <w:color w:val="000000"/>
                <w:sz w:val="24"/>
              </w:rPr>
            </w:r>
            <w:r/>
          </w:p>
        </w:tc>
        <w:tc>
          <w:tcPr>
            <w:tcW w:w="2007" w:type="dxa"/>
            <w:vAlign w:val="center"/>
            <w:textDirection w:val="lrTb"/>
            <w:noWrap w:val="false"/>
          </w:tcPr>
          <w:p>
            <w:pPr>
              <w:pStyle w:val="1147"/>
              <w:jc w:val="center"/>
              <w:rPr>
                <w:color w:val="000000"/>
                <w:sz w:val="24"/>
              </w:rPr>
            </w:pPr>
            <w:r>
              <w:rPr>
                <w:color w:val="000000"/>
                <w:sz w:val="24"/>
              </w:rPr>
            </w:r>
            <w:r/>
          </w:p>
        </w:tc>
        <w:tc>
          <w:tcPr>
            <w:tcW w:w="2008" w:type="dxa"/>
            <w:vAlign w:val="center"/>
            <w:textDirection w:val="lrTb"/>
            <w:noWrap w:val="false"/>
          </w:tcPr>
          <w:p>
            <w:pPr>
              <w:pStyle w:val="1147"/>
              <w:jc w:val="center"/>
              <w:rPr>
                <w:color w:val="000000"/>
                <w:sz w:val="24"/>
              </w:rPr>
            </w:pPr>
            <w:r>
              <w:rPr>
                <w:color w:val="000000"/>
                <w:sz w:val="24"/>
              </w:rPr>
            </w:r>
            <w:r/>
          </w:p>
        </w:tc>
        <w:tc>
          <w:tcPr>
            <w:tcW w:w="2458" w:type="dxa"/>
            <w:vAlign w:val="center"/>
            <w:textDirection w:val="lrTb"/>
            <w:noWrap w:val="false"/>
          </w:tcPr>
          <w:p>
            <w:pPr>
              <w:pStyle w:val="1147"/>
              <w:jc w:val="center"/>
              <w:rPr>
                <w:color w:val="000000"/>
                <w:sz w:val="24"/>
              </w:rPr>
            </w:pPr>
            <w:r>
              <w:rPr>
                <w:color w:val="000000"/>
                <w:sz w:val="24"/>
              </w:rPr>
            </w:r>
            <w:r/>
          </w:p>
        </w:tc>
        <w:tc>
          <w:tcPr>
            <w:tcW w:w="788" w:type="dxa"/>
            <w:vAlign w:val="center"/>
            <w:textDirection w:val="lrTb"/>
            <w:noWrap w:val="false"/>
          </w:tcPr>
          <w:p>
            <w:pPr>
              <w:pStyle w:val="1147"/>
              <w:jc w:val="center"/>
              <w:rPr>
                <w:color w:val="000000"/>
                <w:sz w:val="24"/>
              </w:rPr>
            </w:pPr>
            <w:r>
              <w:rPr>
                <w:color w:val="000000"/>
                <w:sz w:val="24"/>
              </w:rPr>
            </w:r>
            <w:r/>
          </w:p>
        </w:tc>
      </w:tr>
      <w:tr>
        <w:trPr>
          <w:trHeight w:val="930"/>
        </w:trPr>
        <w:tc>
          <w:tcPr>
            <w:tcW w:w="834" w:type="dxa"/>
            <w:vAlign w:val="center"/>
            <w:textDirection w:val="lrTb"/>
            <w:noWrap w:val="false"/>
          </w:tcPr>
          <w:p>
            <w:pPr>
              <w:pStyle w:val="1147"/>
              <w:jc w:val="center"/>
              <w:rPr>
                <w:color w:val="000000"/>
                <w:sz w:val="24"/>
              </w:rPr>
            </w:pPr>
            <w:r>
              <w:rPr>
                <w:color w:val="000000"/>
                <w:sz w:val="24"/>
              </w:rPr>
            </w:r>
            <w:r/>
          </w:p>
        </w:tc>
        <w:tc>
          <w:tcPr>
            <w:tcW w:w="1301" w:type="dxa"/>
            <w:vAlign w:val="center"/>
            <w:textDirection w:val="lrTb"/>
            <w:noWrap w:val="false"/>
          </w:tcPr>
          <w:p>
            <w:pPr>
              <w:pStyle w:val="1147"/>
              <w:jc w:val="center"/>
              <w:rPr>
                <w:color w:val="000000"/>
                <w:sz w:val="24"/>
              </w:rPr>
            </w:pPr>
            <w:r>
              <w:rPr>
                <w:color w:val="000000"/>
                <w:sz w:val="24"/>
              </w:rPr>
            </w:r>
            <w:r/>
          </w:p>
        </w:tc>
        <w:tc>
          <w:tcPr>
            <w:tcW w:w="2007" w:type="dxa"/>
            <w:vAlign w:val="center"/>
            <w:textDirection w:val="lrTb"/>
            <w:noWrap w:val="false"/>
          </w:tcPr>
          <w:p>
            <w:pPr>
              <w:pStyle w:val="1147"/>
              <w:jc w:val="center"/>
              <w:rPr>
                <w:color w:val="000000"/>
                <w:sz w:val="24"/>
              </w:rPr>
            </w:pPr>
            <w:r>
              <w:rPr>
                <w:color w:val="000000"/>
                <w:sz w:val="24"/>
              </w:rPr>
            </w:r>
            <w:r/>
          </w:p>
        </w:tc>
        <w:tc>
          <w:tcPr>
            <w:tcW w:w="2008" w:type="dxa"/>
            <w:vAlign w:val="center"/>
            <w:textDirection w:val="lrTb"/>
            <w:noWrap w:val="false"/>
          </w:tcPr>
          <w:p>
            <w:pPr>
              <w:pStyle w:val="1147"/>
              <w:jc w:val="center"/>
              <w:rPr>
                <w:color w:val="000000"/>
                <w:sz w:val="24"/>
              </w:rPr>
            </w:pPr>
            <w:r>
              <w:rPr>
                <w:color w:val="000000"/>
                <w:sz w:val="24"/>
              </w:rPr>
            </w:r>
            <w:r/>
          </w:p>
        </w:tc>
        <w:tc>
          <w:tcPr>
            <w:tcW w:w="2458" w:type="dxa"/>
            <w:vAlign w:val="center"/>
            <w:textDirection w:val="lrTb"/>
            <w:noWrap w:val="false"/>
          </w:tcPr>
          <w:p>
            <w:pPr>
              <w:pStyle w:val="1147"/>
              <w:jc w:val="center"/>
              <w:rPr>
                <w:color w:val="000000"/>
                <w:sz w:val="24"/>
              </w:rPr>
            </w:pPr>
            <w:r>
              <w:rPr>
                <w:color w:val="000000"/>
                <w:sz w:val="24"/>
              </w:rPr>
            </w:r>
            <w:r/>
          </w:p>
        </w:tc>
        <w:tc>
          <w:tcPr>
            <w:tcW w:w="788" w:type="dxa"/>
            <w:vAlign w:val="center"/>
            <w:textDirection w:val="lrTb"/>
            <w:noWrap w:val="false"/>
          </w:tcPr>
          <w:p>
            <w:pPr>
              <w:pStyle w:val="1147"/>
              <w:jc w:val="center"/>
              <w:rPr>
                <w:color w:val="000000"/>
                <w:sz w:val="24"/>
              </w:rPr>
            </w:pPr>
            <w:r>
              <w:rPr>
                <w:color w:val="000000"/>
                <w:sz w:val="24"/>
              </w:rPr>
            </w:r>
            <w:r/>
          </w:p>
        </w:tc>
      </w:tr>
    </w:tbl>
    <w:p>
      <w:pPr>
        <w:pStyle w:val="1147"/>
        <w:jc w:val="left"/>
        <w:tabs>
          <w:tab w:val="left" w:pos="1800" w:leader="none"/>
          <w:tab w:val="left" w:pos="5580" w:leader="none"/>
        </w:tabs>
        <w:rPr>
          <w:color w:val="000000"/>
          <w:sz w:val="24"/>
        </w:rPr>
      </w:pPr>
      <w:r>
        <w:rPr>
          <w:color w:val="000000"/>
          <w:sz w:val="24"/>
        </w:rPr>
      </w:r>
      <w:r/>
    </w:p>
    <w:p>
      <w:pPr>
        <w:pStyle w:val="1147"/>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1147"/>
        <w:jc w:val="left"/>
        <w:tabs>
          <w:tab w:val="left" w:pos="1800" w:leader="none"/>
          <w:tab w:val="left" w:pos="5580" w:leader="none"/>
        </w:tabs>
        <w:rPr>
          <w:color w:val="000000"/>
          <w:sz w:val="24"/>
        </w:rPr>
      </w:pPr>
      <w:r>
        <w:rPr>
          <w:color w:val="000000"/>
          <w:sz w:val="24"/>
        </w:rPr>
        <w:t xml:space="preserve">1. </w:t>
      </w:r>
      <w:r>
        <w:rPr>
          <w:rFonts w:hint="eastAsia"/>
          <w:color w:val="000000"/>
          <w:sz w:val="24"/>
        </w:rPr>
        <w:t xml:space="preserve">对合同条款中的所有要求，除本表所列明的所有偏离外，均视作供应商已对之理解和响应。</w:t>
      </w:r>
      <w:r>
        <w:rPr>
          <w:color w:val="000000"/>
          <w:sz w:val="24"/>
        </w:rPr>
      </w:r>
      <w:r/>
    </w:p>
    <w:p>
      <w:pPr>
        <w:pStyle w:val="1147"/>
        <w:spacing w:line="360" w:lineRule="auto"/>
        <w:rPr>
          <w:color w:val="000000"/>
          <w:sz w:val="24"/>
          <w:szCs w:val="20"/>
        </w:rPr>
      </w:pPr>
      <w:r>
        <w:rPr>
          <w:color w:val="000000"/>
          <w:sz w:val="24"/>
          <w:szCs w:val="20"/>
        </w:rPr>
      </w:r>
      <w:r/>
    </w:p>
    <w:p>
      <w:pPr>
        <w:pStyle w:val="1147"/>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147"/>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147"/>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47"/>
        <w:spacing w:line="360" w:lineRule="auto"/>
        <w:rPr>
          <w:color w:val="000000"/>
          <w:sz w:val="24"/>
          <w:szCs w:val="20"/>
        </w:rPr>
        <w:outlineLvl w:val="2"/>
      </w:pPr>
      <w:r>
        <w:rPr>
          <w:color w:val="000000"/>
          <w:sz w:val="24"/>
          <w:szCs w:val="20"/>
        </w:rPr>
        <w:br w:type="page" w:clear="all"/>
      </w:r>
      <w:r>
        <w:rPr>
          <w:rFonts w:hint="eastAsia"/>
          <w:color w:val="000000"/>
          <w:sz w:val="24"/>
          <w:szCs w:val="20"/>
          <w:lang w:val="en-US" w:eastAsia="zh-CN"/>
        </w:rPr>
        <w:t xml:space="preserve">9</w:t>
      </w:r>
      <w:r>
        <w:rPr>
          <w:color w:val="000000"/>
          <w:sz w:val="24"/>
          <w:szCs w:val="20"/>
        </w:rPr>
        <w:t xml:space="preserve">  </w:t>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rPr>
          <w:color w:val="000000"/>
          <w:sz w:val="24"/>
          <w:szCs w:val="20"/>
        </w:rPr>
        <w:t xml:space="preserve">采购需求偏离表</w:t>
      </w:r>
      <w:r>
        <w:rPr>
          <w:color w:val="000000"/>
          <w:sz w:val="24"/>
          <w:szCs w:val="20"/>
        </w:rPr>
      </w:r>
      <w:r/>
    </w:p>
    <w:p>
      <w:pPr>
        <w:pStyle w:val="1147"/>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1147"/>
        <w:jc w:val="center"/>
        <w:rPr>
          <w:color w:val="000000"/>
          <w:sz w:val="36"/>
          <w:szCs w:val="36"/>
        </w:rPr>
      </w:pPr>
      <w:r>
        <w:rPr>
          <w:color w:val="000000"/>
          <w:sz w:val="36"/>
          <w:szCs w:val="36"/>
        </w:rPr>
      </w:r>
      <w:r/>
    </w:p>
    <w:p>
      <w:pPr>
        <w:pStyle w:val="1147"/>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147"/>
              <w:jc w:val="left"/>
              <w:rPr>
                <w:b/>
                <w:color w:val="000000"/>
                <w:sz w:val="24"/>
              </w:rPr>
            </w:pPr>
            <w:r>
              <w:rPr>
                <w:rFonts w:hint="eastAsia"/>
                <w:b/>
                <w:color w:val="000000"/>
                <w:sz w:val="24"/>
              </w:rPr>
              <w:t xml:space="preserve">对本项目采购需求的偏离情况（请进行勾选）：</w:t>
            </w:r>
            <w:r>
              <w:rPr>
                <w:b/>
                <w:color w:val="000000"/>
                <w:sz w:val="24"/>
              </w:rPr>
            </w:r>
            <w:r/>
          </w:p>
          <w:p>
            <w:pPr>
              <w:pStyle w:val="1147"/>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1147"/>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1053"/>
        </w:trPr>
        <w:tc>
          <w:tcPr>
            <w:tcW w:w="775" w:type="dxa"/>
            <w:vAlign w:val="center"/>
            <w:textDirection w:val="lrTb"/>
            <w:noWrap w:val="false"/>
          </w:tcPr>
          <w:p>
            <w:pPr>
              <w:pStyle w:val="1147"/>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1147"/>
              <w:jc w:val="center"/>
              <w:rPr>
                <w:color w:val="000000"/>
                <w:sz w:val="24"/>
              </w:rPr>
            </w:pPr>
            <w:r>
              <w:rPr>
                <w:color w:val="000000"/>
                <w:sz w:val="24"/>
              </w:rPr>
              <w:t xml:space="preserve">磋商文件条目号(页码)</w:t>
            </w:r>
            <w:r>
              <w:rPr>
                <w:color w:val="000000"/>
                <w:sz w:val="24"/>
              </w:rPr>
            </w:r>
            <w:r/>
          </w:p>
        </w:tc>
        <w:tc>
          <w:tcPr>
            <w:tcW w:w="2384" w:type="dxa"/>
            <w:vAlign w:val="center"/>
            <w:textDirection w:val="lrTb"/>
            <w:noWrap w:val="false"/>
          </w:tcPr>
          <w:p>
            <w:pPr>
              <w:pStyle w:val="1147"/>
              <w:jc w:val="center"/>
              <w:rPr>
                <w:color w:val="000000"/>
                <w:sz w:val="24"/>
              </w:rPr>
            </w:pPr>
            <w:r>
              <w:rPr>
                <w:color w:val="000000"/>
                <w:sz w:val="24"/>
              </w:rPr>
              <w:t xml:space="preserve">磋商文件要求</w:t>
            </w:r>
            <w:r>
              <w:rPr>
                <w:color w:val="000000"/>
                <w:sz w:val="24"/>
              </w:rPr>
            </w:r>
            <w:r/>
          </w:p>
        </w:tc>
        <w:tc>
          <w:tcPr>
            <w:tcW w:w="2126" w:type="dxa"/>
            <w:vAlign w:val="center"/>
            <w:textDirection w:val="lrTb"/>
            <w:noWrap w:val="false"/>
          </w:tcPr>
          <w:p>
            <w:pPr>
              <w:pStyle w:val="1147"/>
              <w:jc w:val="center"/>
              <w:rPr>
                <w:color w:val="000000"/>
                <w:sz w:val="24"/>
              </w:rPr>
            </w:pPr>
            <w:r>
              <w:rPr>
                <w:color w:val="000000"/>
                <w:sz w:val="24"/>
              </w:rPr>
              <w:t xml:space="preserve">响应内容</w:t>
            </w:r>
            <w:r>
              <w:rPr>
                <w:color w:val="000000"/>
                <w:sz w:val="24"/>
              </w:rPr>
            </w:r>
            <w:r/>
          </w:p>
        </w:tc>
        <w:tc>
          <w:tcPr>
            <w:tcW w:w="1875" w:type="dxa"/>
            <w:vAlign w:val="center"/>
            <w:textDirection w:val="lrTb"/>
            <w:noWrap w:val="false"/>
          </w:tcPr>
          <w:p>
            <w:pPr>
              <w:pStyle w:val="1147"/>
              <w:jc w:val="center"/>
              <w:rPr>
                <w:color w:val="000000"/>
                <w:sz w:val="24"/>
              </w:rPr>
            </w:pPr>
            <w:r>
              <w:rPr>
                <w:color w:val="000000"/>
                <w:sz w:val="24"/>
              </w:rPr>
              <w:t xml:space="preserve">偏离情况</w:t>
            </w:r>
            <w:r>
              <w:rPr>
                <w:color w:val="000000"/>
                <w:sz w:val="24"/>
              </w:rPr>
            </w:r>
            <w:r/>
          </w:p>
          <w:p>
            <w:pPr>
              <w:pStyle w:val="1147"/>
              <w:jc w:val="center"/>
              <w:rPr>
                <w:color w:val="000000"/>
                <w:sz w:val="24"/>
              </w:rPr>
            </w:pPr>
            <w:r>
              <w:rPr>
                <w:color w:val="000000"/>
                <w:sz w:val="24"/>
                <w:szCs w:val="21"/>
              </w:rPr>
              <w:t xml:space="preserve">（据实填写）</w:t>
            </w:r>
            <w:r>
              <w:rPr>
                <w:color w:val="000000"/>
                <w:sz w:val="24"/>
              </w:rPr>
            </w:r>
            <w:r/>
          </w:p>
        </w:tc>
        <w:tc>
          <w:tcPr>
            <w:tcW w:w="1009" w:type="dxa"/>
            <w:vAlign w:val="center"/>
            <w:textDirection w:val="lrTb"/>
            <w:noWrap w:val="false"/>
          </w:tcPr>
          <w:p>
            <w:pPr>
              <w:pStyle w:val="1147"/>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1147"/>
              <w:jc w:val="center"/>
              <w:rPr>
                <w:color w:val="000000"/>
                <w:sz w:val="24"/>
              </w:rPr>
            </w:pPr>
            <w:r>
              <w:rPr>
                <w:color w:val="000000"/>
                <w:sz w:val="24"/>
              </w:rPr>
            </w:r>
            <w:r/>
          </w:p>
        </w:tc>
        <w:tc>
          <w:tcPr>
            <w:tcW w:w="1482" w:type="dxa"/>
            <w:vAlign w:val="center"/>
            <w:textDirection w:val="lrTb"/>
            <w:noWrap w:val="false"/>
          </w:tcPr>
          <w:p>
            <w:pPr>
              <w:pStyle w:val="1147"/>
              <w:jc w:val="center"/>
              <w:rPr>
                <w:color w:val="000000"/>
                <w:sz w:val="24"/>
              </w:rPr>
            </w:pPr>
            <w:r>
              <w:rPr>
                <w:color w:val="000000"/>
                <w:sz w:val="24"/>
              </w:rPr>
            </w:r>
            <w:r/>
          </w:p>
        </w:tc>
        <w:tc>
          <w:tcPr>
            <w:tcW w:w="2384" w:type="dxa"/>
            <w:vAlign w:val="center"/>
            <w:textDirection w:val="lrTb"/>
            <w:noWrap w:val="false"/>
          </w:tcPr>
          <w:p>
            <w:pPr>
              <w:pStyle w:val="1147"/>
              <w:jc w:val="center"/>
              <w:rPr>
                <w:color w:val="000000"/>
                <w:sz w:val="24"/>
              </w:rPr>
            </w:pPr>
            <w:r>
              <w:rPr>
                <w:color w:val="000000"/>
                <w:sz w:val="24"/>
              </w:rPr>
            </w:r>
            <w:r/>
          </w:p>
        </w:tc>
        <w:tc>
          <w:tcPr>
            <w:tcW w:w="2126" w:type="dxa"/>
            <w:vAlign w:val="center"/>
            <w:textDirection w:val="lrTb"/>
            <w:noWrap w:val="false"/>
          </w:tcPr>
          <w:p>
            <w:pPr>
              <w:pStyle w:val="1147"/>
              <w:jc w:val="center"/>
              <w:rPr>
                <w:color w:val="000000"/>
                <w:sz w:val="24"/>
              </w:rPr>
            </w:pPr>
            <w:r>
              <w:rPr>
                <w:color w:val="000000"/>
                <w:sz w:val="24"/>
              </w:rPr>
            </w:r>
            <w:r/>
          </w:p>
        </w:tc>
        <w:tc>
          <w:tcPr>
            <w:tcW w:w="1875" w:type="dxa"/>
            <w:vAlign w:val="center"/>
            <w:textDirection w:val="lrTb"/>
            <w:noWrap w:val="false"/>
          </w:tcPr>
          <w:p>
            <w:pPr>
              <w:pStyle w:val="1147"/>
              <w:jc w:val="center"/>
              <w:rPr>
                <w:color w:val="000000"/>
                <w:sz w:val="24"/>
              </w:rPr>
            </w:pPr>
            <w:r>
              <w:rPr>
                <w:color w:val="000000"/>
                <w:sz w:val="24"/>
              </w:rPr>
            </w:r>
            <w:r/>
          </w:p>
        </w:tc>
        <w:tc>
          <w:tcPr>
            <w:tcW w:w="1009" w:type="dxa"/>
            <w:vAlign w:val="center"/>
            <w:textDirection w:val="lrTb"/>
            <w:noWrap w:val="false"/>
          </w:tcPr>
          <w:p>
            <w:pPr>
              <w:pStyle w:val="1147"/>
              <w:jc w:val="center"/>
              <w:rPr>
                <w:color w:val="000000"/>
                <w:sz w:val="24"/>
              </w:rPr>
            </w:pPr>
            <w:r>
              <w:rPr>
                <w:color w:val="000000"/>
                <w:sz w:val="24"/>
              </w:rPr>
            </w:r>
            <w:r/>
          </w:p>
        </w:tc>
      </w:tr>
      <w:tr>
        <w:trPr>
          <w:trHeight w:val="930"/>
        </w:trPr>
        <w:tc>
          <w:tcPr>
            <w:tcW w:w="775" w:type="dxa"/>
            <w:vAlign w:val="center"/>
            <w:textDirection w:val="lrTb"/>
            <w:noWrap w:val="false"/>
          </w:tcPr>
          <w:p>
            <w:pPr>
              <w:pStyle w:val="1147"/>
              <w:jc w:val="center"/>
              <w:rPr>
                <w:color w:val="000000"/>
                <w:sz w:val="24"/>
              </w:rPr>
            </w:pPr>
            <w:r>
              <w:rPr>
                <w:color w:val="000000"/>
                <w:sz w:val="24"/>
              </w:rPr>
            </w:r>
            <w:r/>
          </w:p>
        </w:tc>
        <w:tc>
          <w:tcPr>
            <w:tcW w:w="1482" w:type="dxa"/>
            <w:vAlign w:val="center"/>
            <w:textDirection w:val="lrTb"/>
            <w:noWrap w:val="false"/>
          </w:tcPr>
          <w:p>
            <w:pPr>
              <w:pStyle w:val="1147"/>
              <w:jc w:val="center"/>
              <w:rPr>
                <w:color w:val="000000"/>
                <w:sz w:val="24"/>
              </w:rPr>
            </w:pPr>
            <w:r>
              <w:rPr>
                <w:color w:val="000000"/>
                <w:sz w:val="24"/>
              </w:rPr>
            </w:r>
            <w:r/>
          </w:p>
        </w:tc>
        <w:tc>
          <w:tcPr>
            <w:tcW w:w="2384" w:type="dxa"/>
            <w:vAlign w:val="center"/>
            <w:textDirection w:val="lrTb"/>
            <w:noWrap w:val="false"/>
          </w:tcPr>
          <w:p>
            <w:pPr>
              <w:pStyle w:val="1147"/>
              <w:jc w:val="center"/>
              <w:rPr>
                <w:color w:val="000000"/>
                <w:sz w:val="24"/>
              </w:rPr>
            </w:pPr>
            <w:r>
              <w:rPr>
                <w:color w:val="000000"/>
                <w:sz w:val="24"/>
              </w:rPr>
            </w:r>
            <w:r/>
          </w:p>
        </w:tc>
        <w:tc>
          <w:tcPr>
            <w:tcW w:w="2126" w:type="dxa"/>
            <w:vAlign w:val="center"/>
            <w:textDirection w:val="lrTb"/>
            <w:noWrap w:val="false"/>
          </w:tcPr>
          <w:p>
            <w:pPr>
              <w:pStyle w:val="1147"/>
              <w:jc w:val="center"/>
              <w:rPr>
                <w:color w:val="000000"/>
                <w:sz w:val="24"/>
              </w:rPr>
            </w:pPr>
            <w:r>
              <w:rPr>
                <w:color w:val="000000"/>
                <w:sz w:val="24"/>
              </w:rPr>
            </w:r>
            <w:r/>
          </w:p>
        </w:tc>
        <w:tc>
          <w:tcPr>
            <w:tcW w:w="1875" w:type="dxa"/>
            <w:vAlign w:val="center"/>
            <w:textDirection w:val="lrTb"/>
            <w:noWrap w:val="false"/>
          </w:tcPr>
          <w:p>
            <w:pPr>
              <w:pStyle w:val="1147"/>
              <w:jc w:val="center"/>
              <w:rPr>
                <w:color w:val="000000"/>
                <w:sz w:val="24"/>
              </w:rPr>
            </w:pPr>
            <w:r>
              <w:rPr>
                <w:color w:val="000000"/>
                <w:sz w:val="24"/>
              </w:rPr>
            </w:r>
            <w:r/>
          </w:p>
        </w:tc>
        <w:tc>
          <w:tcPr>
            <w:tcW w:w="1009" w:type="dxa"/>
            <w:vAlign w:val="center"/>
            <w:textDirection w:val="lrTb"/>
            <w:noWrap w:val="false"/>
          </w:tcPr>
          <w:p>
            <w:pPr>
              <w:pStyle w:val="1147"/>
              <w:jc w:val="center"/>
              <w:rPr>
                <w:color w:val="000000"/>
                <w:sz w:val="24"/>
              </w:rPr>
            </w:pPr>
            <w:r>
              <w:rPr>
                <w:color w:val="000000"/>
                <w:sz w:val="24"/>
              </w:rPr>
            </w:r>
            <w:r/>
          </w:p>
        </w:tc>
      </w:tr>
      <w:tr>
        <w:trPr>
          <w:trHeight w:val="930"/>
        </w:trPr>
        <w:tc>
          <w:tcPr>
            <w:tcW w:w="775" w:type="dxa"/>
            <w:vAlign w:val="center"/>
            <w:textDirection w:val="lrTb"/>
            <w:noWrap w:val="false"/>
          </w:tcPr>
          <w:p>
            <w:pPr>
              <w:pStyle w:val="1147"/>
              <w:jc w:val="center"/>
              <w:rPr>
                <w:color w:val="000000"/>
                <w:sz w:val="24"/>
              </w:rPr>
            </w:pPr>
            <w:r>
              <w:rPr>
                <w:color w:val="000000"/>
                <w:sz w:val="24"/>
              </w:rPr>
            </w:r>
            <w:r/>
          </w:p>
        </w:tc>
        <w:tc>
          <w:tcPr>
            <w:tcW w:w="1482" w:type="dxa"/>
            <w:vAlign w:val="center"/>
            <w:textDirection w:val="lrTb"/>
            <w:noWrap w:val="false"/>
          </w:tcPr>
          <w:p>
            <w:pPr>
              <w:pStyle w:val="1147"/>
              <w:jc w:val="center"/>
              <w:rPr>
                <w:color w:val="000000"/>
                <w:sz w:val="24"/>
              </w:rPr>
            </w:pPr>
            <w:r>
              <w:rPr>
                <w:color w:val="000000"/>
                <w:sz w:val="24"/>
              </w:rPr>
            </w:r>
            <w:r/>
          </w:p>
        </w:tc>
        <w:tc>
          <w:tcPr>
            <w:tcW w:w="2384" w:type="dxa"/>
            <w:vAlign w:val="center"/>
            <w:textDirection w:val="lrTb"/>
            <w:noWrap w:val="false"/>
          </w:tcPr>
          <w:p>
            <w:pPr>
              <w:pStyle w:val="1147"/>
              <w:jc w:val="center"/>
              <w:rPr>
                <w:color w:val="000000"/>
                <w:sz w:val="24"/>
              </w:rPr>
            </w:pPr>
            <w:r>
              <w:rPr>
                <w:color w:val="000000"/>
                <w:sz w:val="24"/>
              </w:rPr>
            </w:r>
            <w:r/>
          </w:p>
        </w:tc>
        <w:tc>
          <w:tcPr>
            <w:tcW w:w="2126" w:type="dxa"/>
            <w:vAlign w:val="center"/>
            <w:textDirection w:val="lrTb"/>
            <w:noWrap w:val="false"/>
          </w:tcPr>
          <w:p>
            <w:pPr>
              <w:pStyle w:val="1147"/>
              <w:jc w:val="center"/>
              <w:rPr>
                <w:color w:val="000000"/>
                <w:sz w:val="24"/>
              </w:rPr>
            </w:pPr>
            <w:r>
              <w:rPr>
                <w:color w:val="000000"/>
                <w:sz w:val="24"/>
              </w:rPr>
            </w:r>
            <w:r/>
          </w:p>
        </w:tc>
        <w:tc>
          <w:tcPr>
            <w:tcW w:w="1875" w:type="dxa"/>
            <w:vAlign w:val="center"/>
            <w:textDirection w:val="lrTb"/>
            <w:noWrap w:val="false"/>
          </w:tcPr>
          <w:p>
            <w:pPr>
              <w:pStyle w:val="1147"/>
              <w:jc w:val="center"/>
              <w:rPr>
                <w:color w:val="000000"/>
                <w:sz w:val="24"/>
              </w:rPr>
            </w:pPr>
            <w:r>
              <w:rPr>
                <w:color w:val="000000"/>
                <w:sz w:val="24"/>
              </w:rPr>
            </w:r>
            <w:r/>
          </w:p>
        </w:tc>
        <w:tc>
          <w:tcPr>
            <w:tcW w:w="1009" w:type="dxa"/>
            <w:vAlign w:val="center"/>
            <w:textDirection w:val="lrTb"/>
            <w:noWrap w:val="false"/>
          </w:tcPr>
          <w:p>
            <w:pPr>
              <w:pStyle w:val="1147"/>
              <w:jc w:val="center"/>
              <w:rPr>
                <w:color w:val="000000"/>
                <w:sz w:val="24"/>
              </w:rPr>
            </w:pPr>
            <w:r>
              <w:rPr>
                <w:color w:val="000000"/>
                <w:sz w:val="24"/>
              </w:rPr>
            </w:r>
            <w:r/>
          </w:p>
        </w:tc>
      </w:tr>
      <w:tr>
        <w:trPr>
          <w:trHeight w:val="930"/>
        </w:trPr>
        <w:tc>
          <w:tcPr>
            <w:tcW w:w="775" w:type="dxa"/>
            <w:vAlign w:val="center"/>
            <w:textDirection w:val="lrTb"/>
            <w:noWrap w:val="false"/>
          </w:tcPr>
          <w:p>
            <w:pPr>
              <w:pStyle w:val="1147"/>
              <w:jc w:val="center"/>
              <w:rPr>
                <w:color w:val="000000"/>
                <w:sz w:val="24"/>
              </w:rPr>
            </w:pPr>
            <w:r>
              <w:rPr>
                <w:color w:val="000000"/>
                <w:sz w:val="24"/>
              </w:rPr>
            </w:r>
            <w:r/>
          </w:p>
        </w:tc>
        <w:tc>
          <w:tcPr>
            <w:tcW w:w="1482" w:type="dxa"/>
            <w:vAlign w:val="center"/>
            <w:textDirection w:val="lrTb"/>
            <w:noWrap w:val="false"/>
          </w:tcPr>
          <w:p>
            <w:pPr>
              <w:pStyle w:val="1147"/>
              <w:jc w:val="center"/>
              <w:rPr>
                <w:color w:val="000000"/>
                <w:sz w:val="24"/>
              </w:rPr>
            </w:pPr>
            <w:r>
              <w:rPr>
                <w:color w:val="000000"/>
                <w:sz w:val="24"/>
              </w:rPr>
            </w:r>
            <w:r/>
          </w:p>
        </w:tc>
        <w:tc>
          <w:tcPr>
            <w:tcW w:w="2384" w:type="dxa"/>
            <w:vAlign w:val="center"/>
            <w:textDirection w:val="lrTb"/>
            <w:noWrap w:val="false"/>
          </w:tcPr>
          <w:p>
            <w:pPr>
              <w:pStyle w:val="1147"/>
              <w:jc w:val="center"/>
              <w:rPr>
                <w:color w:val="000000"/>
                <w:sz w:val="24"/>
              </w:rPr>
            </w:pPr>
            <w:r>
              <w:rPr>
                <w:color w:val="000000"/>
                <w:sz w:val="24"/>
              </w:rPr>
            </w:r>
            <w:r/>
          </w:p>
        </w:tc>
        <w:tc>
          <w:tcPr>
            <w:tcW w:w="2126" w:type="dxa"/>
            <w:vAlign w:val="center"/>
            <w:textDirection w:val="lrTb"/>
            <w:noWrap w:val="false"/>
          </w:tcPr>
          <w:p>
            <w:pPr>
              <w:pStyle w:val="1147"/>
              <w:jc w:val="center"/>
              <w:rPr>
                <w:color w:val="000000"/>
                <w:sz w:val="24"/>
              </w:rPr>
            </w:pPr>
            <w:r>
              <w:rPr>
                <w:color w:val="000000"/>
                <w:sz w:val="24"/>
              </w:rPr>
            </w:r>
            <w:r/>
          </w:p>
        </w:tc>
        <w:tc>
          <w:tcPr>
            <w:tcW w:w="1875" w:type="dxa"/>
            <w:vAlign w:val="center"/>
            <w:textDirection w:val="lrTb"/>
            <w:noWrap w:val="false"/>
          </w:tcPr>
          <w:p>
            <w:pPr>
              <w:pStyle w:val="1147"/>
              <w:jc w:val="center"/>
              <w:rPr>
                <w:color w:val="000000"/>
                <w:sz w:val="24"/>
              </w:rPr>
            </w:pPr>
            <w:r>
              <w:rPr>
                <w:color w:val="000000"/>
                <w:sz w:val="24"/>
              </w:rPr>
            </w:r>
            <w:r/>
          </w:p>
        </w:tc>
        <w:tc>
          <w:tcPr>
            <w:tcW w:w="1009" w:type="dxa"/>
            <w:vAlign w:val="center"/>
            <w:textDirection w:val="lrTb"/>
            <w:noWrap w:val="false"/>
          </w:tcPr>
          <w:p>
            <w:pPr>
              <w:pStyle w:val="1147"/>
              <w:jc w:val="center"/>
              <w:rPr>
                <w:color w:val="000000"/>
                <w:sz w:val="24"/>
              </w:rPr>
            </w:pPr>
            <w:r>
              <w:rPr>
                <w:color w:val="000000"/>
                <w:sz w:val="24"/>
              </w:rPr>
            </w:r>
            <w:r/>
          </w:p>
        </w:tc>
      </w:tr>
      <w:tr>
        <w:trPr>
          <w:trHeight w:val="930"/>
        </w:trPr>
        <w:tc>
          <w:tcPr>
            <w:tcW w:w="775" w:type="dxa"/>
            <w:vAlign w:val="center"/>
            <w:textDirection w:val="lrTb"/>
            <w:noWrap w:val="false"/>
          </w:tcPr>
          <w:p>
            <w:pPr>
              <w:pStyle w:val="1147"/>
              <w:jc w:val="center"/>
              <w:rPr>
                <w:color w:val="000000"/>
                <w:sz w:val="24"/>
              </w:rPr>
            </w:pPr>
            <w:r>
              <w:rPr>
                <w:color w:val="000000"/>
                <w:sz w:val="24"/>
              </w:rPr>
            </w:r>
            <w:r/>
          </w:p>
        </w:tc>
        <w:tc>
          <w:tcPr>
            <w:tcW w:w="1482" w:type="dxa"/>
            <w:vAlign w:val="center"/>
            <w:textDirection w:val="lrTb"/>
            <w:noWrap w:val="false"/>
          </w:tcPr>
          <w:p>
            <w:pPr>
              <w:pStyle w:val="1147"/>
              <w:jc w:val="center"/>
              <w:rPr>
                <w:color w:val="000000"/>
                <w:sz w:val="24"/>
              </w:rPr>
            </w:pPr>
            <w:r>
              <w:rPr>
                <w:color w:val="000000"/>
                <w:sz w:val="24"/>
              </w:rPr>
            </w:r>
            <w:r/>
          </w:p>
        </w:tc>
        <w:tc>
          <w:tcPr>
            <w:tcW w:w="2384" w:type="dxa"/>
            <w:vAlign w:val="center"/>
            <w:textDirection w:val="lrTb"/>
            <w:noWrap w:val="false"/>
          </w:tcPr>
          <w:p>
            <w:pPr>
              <w:pStyle w:val="1147"/>
              <w:jc w:val="center"/>
              <w:rPr>
                <w:color w:val="000000"/>
                <w:sz w:val="24"/>
              </w:rPr>
            </w:pPr>
            <w:r>
              <w:rPr>
                <w:color w:val="000000"/>
                <w:sz w:val="24"/>
              </w:rPr>
            </w:r>
            <w:r/>
          </w:p>
        </w:tc>
        <w:tc>
          <w:tcPr>
            <w:tcW w:w="2126" w:type="dxa"/>
            <w:vAlign w:val="center"/>
            <w:textDirection w:val="lrTb"/>
            <w:noWrap w:val="false"/>
          </w:tcPr>
          <w:p>
            <w:pPr>
              <w:pStyle w:val="1147"/>
              <w:jc w:val="center"/>
              <w:rPr>
                <w:color w:val="000000"/>
                <w:sz w:val="24"/>
              </w:rPr>
            </w:pPr>
            <w:r>
              <w:rPr>
                <w:color w:val="000000"/>
                <w:sz w:val="24"/>
              </w:rPr>
            </w:r>
            <w:r/>
          </w:p>
        </w:tc>
        <w:tc>
          <w:tcPr>
            <w:tcW w:w="1875" w:type="dxa"/>
            <w:vAlign w:val="center"/>
            <w:textDirection w:val="lrTb"/>
            <w:noWrap w:val="false"/>
          </w:tcPr>
          <w:p>
            <w:pPr>
              <w:pStyle w:val="1147"/>
              <w:jc w:val="center"/>
              <w:rPr>
                <w:color w:val="000000"/>
                <w:sz w:val="24"/>
              </w:rPr>
            </w:pPr>
            <w:r>
              <w:rPr>
                <w:color w:val="000000"/>
                <w:sz w:val="24"/>
              </w:rPr>
            </w:r>
            <w:r/>
          </w:p>
        </w:tc>
        <w:tc>
          <w:tcPr>
            <w:tcW w:w="1009" w:type="dxa"/>
            <w:vAlign w:val="center"/>
            <w:textDirection w:val="lrTb"/>
            <w:noWrap w:val="false"/>
          </w:tcPr>
          <w:p>
            <w:pPr>
              <w:pStyle w:val="1147"/>
              <w:jc w:val="center"/>
              <w:rPr>
                <w:color w:val="000000"/>
                <w:sz w:val="24"/>
              </w:rPr>
            </w:pPr>
            <w:r>
              <w:rPr>
                <w:color w:val="000000"/>
                <w:sz w:val="24"/>
              </w:rPr>
            </w:r>
            <w:r/>
          </w:p>
        </w:tc>
      </w:tr>
      <w:tr>
        <w:trPr>
          <w:trHeight w:val="930"/>
        </w:trPr>
        <w:tc>
          <w:tcPr>
            <w:tcW w:w="775" w:type="dxa"/>
            <w:vAlign w:val="center"/>
            <w:textDirection w:val="lrTb"/>
            <w:noWrap w:val="false"/>
          </w:tcPr>
          <w:p>
            <w:pPr>
              <w:pStyle w:val="1147"/>
              <w:jc w:val="center"/>
              <w:rPr>
                <w:color w:val="000000"/>
                <w:sz w:val="24"/>
              </w:rPr>
            </w:pPr>
            <w:r>
              <w:rPr>
                <w:color w:val="000000"/>
                <w:sz w:val="24"/>
              </w:rPr>
            </w:r>
            <w:r/>
          </w:p>
        </w:tc>
        <w:tc>
          <w:tcPr>
            <w:tcW w:w="1482" w:type="dxa"/>
            <w:vAlign w:val="center"/>
            <w:textDirection w:val="lrTb"/>
            <w:noWrap w:val="false"/>
          </w:tcPr>
          <w:p>
            <w:pPr>
              <w:pStyle w:val="1147"/>
              <w:jc w:val="center"/>
              <w:rPr>
                <w:color w:val="000000"/>
                <w:sz w:val="24"/>
              </w:rPr>
            </w:pPr>
            <w:r>
              <w:rPr>
                <w:color w:val="000000"/>
                <w:sz w:val="24"/>
              </w:rPr>
            </w:r>
            <w:r/>
          </w:p>
        </w:tc>
        <w:tc>
          <w:tcPr>
            <w:tcW w:w="2384" w:type="dxa"/>
            <w:vAlign w:val="center"/>
            <w:textDirection w:val="lrTb"/>
            <w:noWrap w:val="false"/>
          </w:tcPr>
          <w:p>
            <w:pPr>
              <w:pStyle w:val="1147"/>
              <w:jc w:val="center"/>
              <w:rPr>
                <w:color w:val="000000"/>
                <w:sz w:val="24"/>
              </w:rPr>
            </w:pPr>
            <w:r>
              <w:rPr>
                <w:color w:val="000000"/>
                <w:sz w:val="24"/>
              </w:rPr>
            </w:r>
            <w:r/>
          </w:p>
        </w:tc>
        <w:tc>
          <w:tcPr>
            <w:tcW w:w="2126" w:type="dxa"/>
            <w:vAlign w:val="center"/>
            <w:textDirection w:val="lrTb"/>
            <w:noWrap w:val="false"/>
          </w:tcPr>
          <w:p>
            <w:pPr>
              <w:pStyle w:val="1147"/>
              <w:jc w:val="center"/>
              <w:rPr>
                <w:color w:val="000000"/>
                <w:sz w:val="24"/>
              </w:rPr>
            </w:pPr>
            <w:r>
              <w:rPr>
                <w:color w:val="000000"/>
                <w:sz w:val="24"/>
              </w:rPr>
            </w:r>
            <w:r/>
          </w:p>
        </w:tc>
        <w:tc>
          <w:tcPr>
            <w:tcW w:w="1875" w:type="dxa"/>
            <w:vAlign w:val="center"/>
            <w:textDirection w:val="lrTb"/>
            <w:noWrap w:val="false"/>
          </w:tcPr>
          <w:p>
            <w:pPr>
              <w:pStyle w:val="1147"/>
              <w:jc w:val="center"/>
              <w:rPr>
                <w:color w:val="000000"/>
                <w:sz w:val="24"/>
              </w:rPr>
            </w:pPr>
            <w:r>
              <w:rPr>
                <w:color w:val="000000"/>
                <w:sz w:val="24"/>
              </w:rPr>
            </w:r>
            <w:r/>
          </w:p>
        </w:tc>
        <w:tc>
          <w:tcPr>
            <w:tcW w:w="1009" w:type="dxa"/>
            <w:vAlign w:val="center"/>
            <w:textDirection w:val="lrTb"/>
            <w:noWrap w:val="false"/>
          </w:tcPr>
          <w:p>
            <w:pPr>
              <w:pStyle w:val="1147"/>
              <w:jc w:val="center"/>
              <w:rPr>
                <w:color w:val="000000"/>
                <w:sz w:val="24"/>
              </w:rPr>
            </w:pPr>
            <w:r>
              <w:rPr>
                <w:color w:val="000000"/>
                <w:sz w:val="24"/>
              </w:rPr>
            </w:r>
            <w:r/>
          </w:p>
        </w:tc>
      </w:tr>
    </w:tbl>
    <w:p>
      <w:pPr>
        <w:pStyle w:val="1147"/>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1147"/>
        <w:jc w:val="left"/>
        <w:tabs>
          <w:tab w:val="left" w:pos="1800" w:leader="none"/>
          <w:tab w:val="left" w:pos="5580" w:leader="none"/>
        </w:tabs>
        <w:rPr>
          <w:color w:val="000000"/>
          <w:sz w:val="24"/>
        </w:rPr>
      </w:pPr>
      <w:r>
        <w:rPr>
          <w:rFonts w:hint="eastAsia"/>
          <w:color w:val="000000"/>
          <w:sz w:val="24"/>
        </w:rPr>
        <w:t xml:space="preserve">1.</w:t>
      </w:r>
      <w:r>
        <w:rPr>
          <w:color w:val="000000"/>
          <w:sz w:val="24"/>
        </w:rPr>
        <w:t xml:space="preserve"> 对磋商文件中的所有商务、技术要求，除本表所列明的所有偏离外，均视作供应商已对之理解和</w:t>
      </w:r>
      <w:r>
        <w:rPr>
          <w:rFonts w:hint="eastAsia"/>
          <w:color w:val="000000"/>
          <w:sz w:val="24"/>
        </w:rPr>
        <w:t xml:space="preserve">响应</w:t>
      </w:r>
      <w:r>
        <w:rPr>
          <w:color w:val="000000"/>
          <w:sz w:val="24"/>
        </w:rPr>
        <w:t xml:space="preserve">。此表中若无任何文字说明，内容为空白，则</w:t>
      </w:r>
      <w:r>
        <w:rPr>
          <w:b/>
          <w:color w:val="000000"/>
          <w:sz w:val="24"/>
        </w:rPr>
        <w:t xml:space="preserve">响应无效</w:t>
      </w:r>
      <w:r>
        <w:rPr>
          <w:color w:val="000000"/>
          <w:sz w:val="24"/>
        </w:rPr>
        <w:t xml:space="preserve">。</w:t>
      </w:r>
      <w:r>
        <w:rPr>
          <w:color w:val="000000"/>
          <w:sz w:val="24"/>
        </w:rPr>
      </w:r>
      <w:r/>
    </w:p>
    <w:p>
      <w:pPr>
        <w:pStyle w:val="1147"/>
        <w:jc w:val="left"/>
        <w:tabs>
          <w:tab w:val="left" w:pos="1800" w:leader="none"/>
          <w:tab w:val="left" w:pos="5580" w:leader="none"/>
        </w:tabs>
        <w:rPr>
          <w:color w:val="000000"/>
          <w:sz w:val="24"/>
        </w:rPr>
      </w:pPr>
      <w:r>
        <w:rPr>
          <w:color w:val="000000"/>
          <w:sz w:val="24"/>
        </w:rPr>
      </w:r>
      <w:r/>
    </w:p>
    <w:p>
      <w:pPr>
        <w:pStyle w:val="1147"/>
        <w:rPr>
          <w:color w:val="000000"/>
          <w:sz w:val="24"/>
          <w:szCs w:val="20"/>
        </w:rPr>
      </w:pPr>
      <w:r>
        <w:rPr>
          <w:color w:val="000000"/>
          <w:sz w:val="24"/>
          <w:szCs w:val="20"/>
        </w:rPr>
      </w:r>
      <w:r/>
    </w:p>
    <w:p>
      <w:pPr>
        <w:pStyle w:val="1147"/>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147"/>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147"/>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47"/>
        <w:keepLines w:val="0"/>
        <w:keepNext w:val="0"/>
        <w:pageBreakBefore w:val="0"/>
        <w:spacing w:line="360" w:lineRule="auto"/>
        <w:widowControl w:val="off"/>
        <w:rPr>
          <w:color w:val="000000"/>
          <w:sz w:val="24"/>
          <w:szCs w:val="20"/>
        </w:rPr>
      </w:pPr>
      <w:r>
        <w:rPr>
          <w:color w:val="000000"/>
          <w:sz w:val="24"/>
          <w:szCs w:val="20"/>
        </w:rPr>
        <w:br w:type="page" w:clear="all"/>
      </w:r>
      <w:r>
        <w:rPr>
          <w:rFonts w:hint="eastAsia" w:ascii="Times New Roman" w:hAnsi="Times New Roman" w:eastAsia="宋体" w:cs="Times New Roman"/>
          <w:color w:val="000000"/>
          <w:sz w:val="24"/>
          <w:szCs w:val="20"/>
        </w:rPr>
        <w:t xml:space="preserve">1</w:t>
      </w:r>
      <w:r>
        <w:rPr>
          <w:rFonts w:hint="eastAsia" w:ascii="Times New Roman" w:hAnsi="Times New Roman" w:eastAsia="宋体" w:cs="Times New Roman"/>
          <w:color w:val="000000"/>
          <w:sz w:val="24"/>
          <w:szCs w:val="20"/>
          <w:lang w:val="en-US" w:eastAsia="zh-CN"/>
        </w:rPr>
        <w:t xml:space="preserve">0</w:t>
      </w:r>
      <w:r>
        <w:rPr>
          <w:rFonts w:hint="eastAsia" w:ascii="Times New Roman" w:hAnsi="Times New Roman" w:eastAsia="宋体" w:cs="Times New Roman"/>
          <w:color w:val="000000"/>
          <w:sz w:val="24"/>
          <w:szCs w:val="20"/>
        </w:rPr>
        <w:t xml:space="preserve">  </w:t>
      </w:r>
      <w:r>
        <w:rPr>
          <w:rFonts w:hint="eastAsia"/>
          <w:color w:val="000000"/>
          <w:sz w:val="24"/>
          <w:szCs w:val="20"/>
        </w:rPr>
        <w:t xml:space="preserve">参加本项目人员一览表</w:t>
      </w:r>
      <w:r>
        <w:rPr>
          <w:color w:val="000000"/>
          <w:sz w:val="24"/>
          <w:szCs w:val="20"/>
        </w:rPr>
      </w:r>
      <w:r/>
    </w:p>
    <w:p>
      <w:pPr>
        <w:pStyle w:val="1147"/>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1147"/>
        <w:jc w:val="center"/>
        <w:spacing w:line="360" w:lineRule="auto"/>
        <w:rPr>
          <w:rFonts w:ascii="宋体" w:hAnsi="宋体"/>
          <w:b/>
          <w:color w:val="000000"/>
          <w:sz w:val="32"/>
          <w:szCs w:val="32"/>
        </w:rPr>
      </w:pPr>
      <w:r>
        <w:rPr>
          <w:rFonts w:hint="eastAsia" w:ascii="宋体" w:hAnsi="宋体"/>
          <w:b/>
          <w:color w:val="000000"/>
          <w:sz w:val="32"/>
          <w:szCs w:val="32"/>
        </w:rPr>
        <w:t xml:space="preserve">参加本项目人员一览表</w:t>
      </w:r>
      <w:r>
        <w:rPr>
          <w:rFonts w:ascii="宋体" w:hAnsi="宋体"/>
          <w:b/>
          <w:color w:val="000000"/>
          <w:sz w:val="32"/>
          <w:szCs w:val="32"/>
        </w:rPr>
      </w:r>
      <w:r/>
    </w:p>
    <w:p>
      <w:pPr>
        <w:pStyle w:val="1147"/>
        <w:spacing w:line="360" w:lineRule="auto"/>
        <w:rPr>
          <w:rFonts w:ascii="宋体" w:hAnsi="宋体"/>
          <w:color w:val="000000"/>
          <w:sz w:val="22"/>
        </w:rPr>
      </w:pPr>
      <w:r>
        <w:rPr>
          <w:rFonts w:ascii="宋体" w:hAnsi="宋体"/>
          <w:color w:val="000000"/>
          <w:sz w:val="22"/>
        </w:rPr>
      </w:r>
      <w:r/>
    </w:p>
    <w:p>
      <w:pPr>
        <w:pStyle w:val="1147"/>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14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945" w:type="dxa"/>
            <w:vAlign w:val="center"/>
            <w:textDirection w:val="lrTb"/>
            <w:noWrap w:val="false"/>
          </w:tcPr>
          <w:p>
            <w:pPr>
              <w:pStyle w:val="114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W w:w="945" w:type="dxa"/>
            <w:vAlign w:val="center"/>
            <w:textDirection w:val="lrTb"/>
            <w:noWrap w:val="false"/>
          </w:tcPr>
          <w:p>
            <w:pPr>
              <w:pStyle w:val="114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W w:w="945" w:type="dxa"/>
            <w:vAlign w:val="center"/>
            <w:textDirection w:val="lrTb"/>
            <w:noWrap w:val="false"/>
          </w:tcPr>
          <w:p>
            <w:pPr>
              <w:pStyle w:val="114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W w:w="945" w:type="dxa"/>
            <w:vAlign w:val="center"/>
            <w:textDirection w:val="lrTb"/>
            <w:noWrap w:val="false"/>
          </w:tcPr>
          <w:p>
            <w:pPr>
              <w:pStyle w:val="114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W w:w="945" w:type="dxa"/>
            <w:vAlign w:val="center"/>
            <w:textDirection w:val="lrTb"/>
            <w:noWrap w:val="false"/>
          </w:tcPr>
          <w:p>
            <w:pPr>
              <w:pStyle w:val="114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W w:w="945" w:type="dxa"/>
            <w:vAlign w:val="center"/>
            <w:textDirection w:val="lrTb"/>
            <w:noWrap w:val="false"/>
          </w:tcPr>
          <w:p>
            <w:pPr>
              <w:pStyle w:val="114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W w:w="945" w:type="dxa"/>
            <w:vAlign w:val="center"/>
            <w:textDirection w:val="lrTb"/>
            <w:noWrap w:val="false"/>
          </w:tcPr>
          <w:p>
            <w:pPr>
              <w:pStyle w:val="114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W w:w="945" w:type="dxa"/>
            <w:vAlign w:val="center"/>
            <w:textDirection w:val="lrTb"/>
            <w:noWrap w:val="false"/>
          </w:tcPr>
          <w:p>
            <w:pPr>
              <w:pStyle w:val="114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114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W w:w="945" w:type="dxa"/>
            <w:vAlign w:val="center"/>
            <w:textDirection w:val="lrTb"/>
            <w:noWrap w:val="false"/>
          </w:tcPr>
          <w:p>
            <w:pPr>
              <w:pStyle w:val="114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114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1147"/>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1147"/>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注：参加本项目人员须是供应商正式职工。</w:t>
      </w:r>
      <w:r>
        <w:rPr>
          <w:rFonts w:ascii="宋体" w:hAnsi="宋体" w:cs="宋体"/>
          <w:b/>
          <w:color w:val="000000"/>
          <w:sz w:val="24"/>
        </w:rPr>
      </w:r>
      <w:r/>
    </w:p>
    <w:p>
      <w:pPr>
        <w:pStyle w:val="1147"/>
        <w:spacing w:line="360" w:lineRule="auto"/>
        <w:rPr>
          <w:rFonts w:ascii="宋体" w:hAnsi="宋体"/>
          <w:color w:val="000000"/>
          <w:sz w:val="24"/>
        </w:rPr>
      </w:pPr>
      <w:r>
        <w:rPr>
          <w:rFonts w:ascii="宋体" w:hAnsi="宋体"/>
          <w:color w:val="000000"/>
          <w:sz w:val="24"/>
        </w:rPr>
      </w:r>
      <w:r/>
    </w:p>
    <w:p>
      <w:pPr>
        <w:pStyle w:val="1147"/>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147"/>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47"/>
        <w:rPr>
          <w:color w:val="000000"/>
          <w:sz w:val="24"/>
          <w:szCs w:val="20"/>
        </w:rPr>
      </w:pPr>
      <w:r>
        <w:rPr>
          <w:color w:val="000000"/>
          <w:sz w:val="22"/>
        </w:rPr>
        <w:br w:type="page" w:clear="all"/>
      </w:r>
      <w:bookmarkStart w:id="744" w:name="_Toc288738839"/>
      <w:r/>
      <w:bookmarkStart w:id="745" w:name="_Toc288738397"/>
      <w:r>
        <w:rPr>
          <w:rFonts w:hint="eastAsia"/>
          <w:color w:val="000000"/>
          <w:sz w:val="24"/>
          <w:szCs w:val="20"/>
        </w:rPr>
        <w:t xml:space="preserve">1</w:t>
      </w:r>
      <w:r>
        <w:rPr>
          <w:rFonts w:hint="eastAsia"/>
          <w:color w:val="000000"/>
          <w:sz w:val="24"/>
          <w:szCs w:val="20"/>
          <w:lang w:val="en-US" w:eastAsia="zh-CN"/>
        </w:rPr>
        <w:t xml:space="preserve">1</w:t>
      </w:r>
      <w:r>
        <w:rPr>
          <w:rFonts w:hint="eastAsia"/>
          <w:color w:val="000000"/>
          <w:sz w:val="24"/>
          <w:szCs w:val="20"/>
        </w:rPr>
        <w:t xml:space="preserve">  相关业绩案例一览表</w:t>
      </w:r>
      <w:r>
        <w:rPr>
          <w:color w:val="000000"/>
          <w:sz w:val="24"/>
          <w:szCs w:val="20"/>
        </w:rPr>
      </w:r>
      <w:r/>
    </w:p>
    <w:p>
      <w:pPr>
        <w:pStyle w:val="1147"/>
        <w:rPr>
          <w:color w:val="000000"/>
          <w:sz w:val="24"/>
          <w:szCs w:val="20"/>
        </w:rPr>
      </w:pPr>
      <w:r>
        <w:rPr>
          <w:color w:val="000000"/>
          <w:sz w:val="24"/>
          <w:szCs w:val="20"/>
        </w:rPr>
      </w:r>
      <w:r/>
    </w:p>
    <w:p>
      <w:pPr>
        <w:pStyle w:val="1147"/>
        <w:jc w:val="center"/>
        <w:rPr>
          <w:rFonts w:ascii="宋体" w:hAnsi="宋体"/>
          <w:b/>
          <w:color w:val="000000"/>
          <w:sz w:val="32"/>
          <w:szCs w:val="32"/>
        </w:rPr>
      </w:pPr>
      <w:r>
        <w:rPr>
          <w:rFonts w:hint="eastAsia" w:ascii="宋体" w:hAnsi="宋体"/>
          <w:b/>
          <w:color w:val="000000"/>
          <w:sz w:val="32"/>
          <w:szCs w:val="32"/>
        </w:rPr>
        <w:t xml:space="preserve">相关业绩案例一览表</w:t>
      </w:r>
      <w:bookmarkEnd w:id="744"/>
      <w:r/>
      <w:bookmarkEnd w:id="745"/>
      <w:r>
        <w:rPr>
          <w:rFonts w:ascii="宋体" w:hAnsi="宋体"/>
          <w:b/>
          <w:color w:val="000000"/>
          <w:sz w:val="32"/>
          <w:szCs w:val="32"/>
        </w:rPr>
      </w:r>
      <w:r/>
    </w:p>
    <w:p>
      <w:pPr>
        <w:pStyle w:val="1147"/>
        <w:jc w:val="center"/>
        <w:spacing w:line="360" w:lineRule="auto"/>
        <w:rPr>
          <w:rFonts w:ascii="宋体" w:hAnsi="宋体"/>
          <w:b/>
          <w:color w:val="000000"/>
          <w:sz w:val="28"/>
          <w:szCs w:val="30"/>
        </w:rPr>
      </w:pPr>
      <w:r>
        <w:rPr>
          <w:rFonts w:ascii="宋体" w:hAnsi="宋体"/>
          <w:b/>
          <w:color w:val="000000"/>
          <w:sz w:val="28"/>
          <w:szCs w:val="30"/>
        </w:rPr>
      </w:r>
      <w:r/>
    </w:p>
    <w:p>
      <w:pPr>
        <w:pStyle w:val="1147"/>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47"/>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47"/>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47"/>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47"/>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47"/>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47"/>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47"/>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47"/>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47"/>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47"/>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47"/>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47"/>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47"/>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1147"/>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1147"/>
        <w:spacing w:line="360" w:lineRule="auto"/>
        <w:rPr>
          <w:rFonts w:ascii="宋体" w:hAnsi="宋体" w:cs="宋体"/>
          <w:color w:val="000000"/>
          <w:sz w:val="24"/>
        </w:rPr>
      </w:pPr>
      <w:r>
        <w:rPr>
          <w:rFonts w:ascii="宋体" w:hAnsi="宋体" w:cs="宋体"/>
          <w:color w:val="000000"/>
          <w:sz w:val="24"/>
        </w:rPr>
      </w:r>
      <w:r/>
    </w:p>
    <w:p>
      <w:pPr>
        <w:pStyle w:val="1147"/>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147"/>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47"/>
        <w:spacing w:line="360" w:lineRule="auto"/>
        <w:rPr>
          <w:rFonts w:hint="eastAsia"/>
          <w:color w:val="000000"/>
          <w:sz w:val="24"/>
          <w:szCs w:val="20"/>
        </w:rPr>
        <w:outlineLvl w:val="2"/>
      </w:pPr>
      <w:r>
        <w:rPr>
          <w:rFonts w:hint="eastAsia"/>
          <w:color w:val="000000"/>
          <w:sz w:val="24"/>
          <w:szCs w:val="20"/>
        </w:rPr>
      </w:r>
      <w:r/>
    </w:p>
    <w:p>
      <w:pPr>
        <w:pStyle w:val="1147"/>
        <w:spacing w:line="360" w:lineRule="auto"/>
        <w:rPr>
          <w:rFonts w:hint="eastAsia"/>
          <w:color w:val="000000"/>
          <w:sz w:val="24"/>
          <w:szCs w:val="20"/>
        </w:rPr>
        <w:outlineLvl w:val="2"/>
      </w:pPr>
      <w:r>
        <w:rPr>
          <w:rFonts w:hint="eastAsia"/>
          <w:color w:val="000000"/>
          <w:sz w:val="24"/>
          <w:szCs w:val="20"/>
        </w:rPr>
      </w:r>
      <w:r/>
    </w:p>
    <w:p>
      <w:pPr>
        <w:pStyle w:val="1147"/>
        <w:spacing w:line="360" w:lineRule="auto"/>
        <w:rPr>
          <w:rFonts w:hint="eastAsia"/>
          <w:color w:val="000000"/>
          <w:sz w:val="24"/>
          <w:szCs w:val="20"/>
        </w:rPr>
        <w:outlineLvl w:val="2"/>
      </w:pPr>
      <w:r>
        <w:rPr>
          <w:rFonts w:hint="eastAsia"/>
          <w:color w:val="000000"/>
          <w:sz w:val="24"/>
          <w:szCs w:val="20"/>
        </w:rPr>
      </w:r>
      <w:r/>
    </w:p>
    <w:p>
      <w:pPr>
        <w:pStyle w:val="1147"/>
        <w:spacing w:line="360" w:lineRule="auto"/>
        <w:rPr>
          <w:rFonts w:hint="eastAsia"/>
          <w:color w:val="000000"/>
          <w:sz w:val="24"/>
          <w:szCs w:val="20"/>
        </w:rPr>
        <w:outlineLvl w:val="2"/>
      </w:pPr>
      <w:r>
        <w:rPr>
          <w:rFonts w:hint="eastAsia"/>
          <w:color w:val="000000"/>
          <w:sz w:val="24"/>
          <w:szCs w:val="20"/>
        </w:rPr>
      </w:r>
      <w:r/>
    </w:p>
    <w:p>
      <w:pPr>
        <w:pStyle w:val="1147"/>
        <w:spacing w:line="360" w:lineRule="auto"/>
        <w:rPr>
          <w:rFonts w:hint="eastAsia"/>
          <w:color w:val="000000"/>
          <w:sz w:val="24"/>
          <w:szCs w:val="20"/>
        </w:rPr>
        <w:outlineLvl w:val="2"/>
      </w:pPr>
      <w:r>
        <w:rPr>
          <w:rFonts w:hint="eastAsia"/>
          <w:color w:val="000000"/>
          <w:sz w:val="24"/>
          <w:szCs w:val="20"/>
        </w:rPr>
      </w:r>
      <w:r/>
    </w:p>
    <w:p>
      <w:pPr>
        <w:pStyle w:val="1147"/>
        <w:spacing w:line="360" w:lineRule="auto"/>
        <w:rPr>
          <w:rFonts w:hint="eastAsia"/>
          <w:color w:val="000000"/>
          <w:sz w:val="24"/>
          <w:szCs w:val="20"/>
        </w:rPr>
        <w:outlineLvl w:val="2"/>
      </w:pPr>
      <w:r>
        <w:rPr>
          <w:rFonts w:hint="eastAsia"/>
          <w:color w:val="000000"/>
          <w:sz w:val="24"/>
          <w:szCs w:val="20"/>
        </w:rPr>
      </w:r>
      <w:r/>
    </w:p>
    <w:p>
      <w:pPr>
        <w:pStyle w:val="1147"/>
        <w:spacing w:line="360" w:lineRule="auto"/>
        <w:rPr>
          <w:rFonts w:hint="eastAsia"/>
          <w:color w:val="000000"/>
          <w:sz w:val="24"/>
          <w:szCs w:val="20"/>
        </w:rPr>
        <w:outlineLvl w:val="2"/>
      </w:pPr>
      <w:r>
        <w:rPr>
          <w:rFonts w:hint="eastAsia"/>
          <w:color w:val="000000"/>
          <w:sz w:val="24"/>
          <w:szCs w:val="20"/>
        </w:rPr>
      </w:r>
      <w:r/>
    </w:p>
    <w:p>
      <w:pPr>
        <w:pStyle w:val="1147"/>
        <w:spacing w:line="360" w:lineRule="auto"/>
        <w:rPr>
          <w:rFonts w:hint="eastAsia"/>
          <w:color w:val="000000"/>
          <w:sz w:val="24"/>
          <w:szCs w:val="20"/>
        </w:rPr>
        <w:outlineLvl w:val="2"/>
      </w:pPr>
      <w:r>
        <w:rPr>
          <w:rFonts w:hint="eastAsia"/>
          <w:color w:val="000000"/>
          <w:sz w:val="24"/>
          <w:szCs w:val="20"/>
        </w:rPr>
      </w:r>
      <w:r/>
    </w:p>
    <w:p>
      <w:pPr>
        <w:pStyle w:val="1147"/>
        <w:spacing w:line="360" w:lineRule="auto"/>
        <w:rPr>
          <w:rFonts w:hint="eastAsia"/>
          <w:color w:val="000000"/>
          <w:sz w:val="24"/>
          <w:szCs w:val="20"/>
        </w:rPr>
        <w:outlineLvl w:val="2"/>
      </w:pPr>
      <w:r>
        <w:rPr>
          <w:rFonts w:hint="eastAsia"/>
          <w:color w:val="000000"/>
          <w:sz w:val="24"/>
          <w:szCs w:val="20"/>
        </w:rPr>
      </w:r>
      <w:r/>
    </w:p>
    <w:p>
      <w:pPr>
        <w:pStyle w:val="1147"/>
        <w:spacing w:line="360" w:lineRule="auto"/>
        <w:rPr>
          <w:rFonts w:hint="eastAsia"/>
          <w:color w:val="000000"/>
          <w:sz w:val="24"/>
          <w:szCs w:val="20"/>
        </w:rPr>
        <w:outlineLvl w:val="2"/>
      </w:pPr>
      <w:r>
        <w:rPr>
          <w:rFonts w:hint="eastAsia"/>
          <w:color w:val="000000"/>
          <w:sz w:val="24"/>
          <w:szCs w:val="20"/>
        </w:rPr>
      </w:r>
      <w:r/>
    </w:p>
    <w:p>
      <w:pPr>
        <w:pStyle w:val="1147"/>
        <w:spacing w:line="360" w:lineRule="auto"/>
        <w:rPr>
          <w:rFonts w:hint="eastAsia"/>
          <w:color w:val="000000"/>
          <w:sz w:val="24"/>
          <w:szCs w:val="20"/>
        </w:rPr>
        <w:outlineLvl w:val="2"/>
      </w:pPr>
      <w:r>
        <w:rPr>
          <w:rFonts w:hint="eastAsia"/>
          <w:color w:val="000000"/>
          <w:sz w:val="24"/>
          <w:szCs w:val="20"/>
        </w:rPr>
      </w:r>
      <w:r/>
    </w:p>
    <w:p>
      <w:pPr>
        <w:pStyle w:val="1147"/>
        <w:spacing w:line="360" w:lineRule="auto"/>
        <w:rPr>
          <w:color w:val="000000"/>
          <w:sz w:val="24"/>
          <w:szCs w:val="20"/>
        </w:rPr>
        <w:outlineLvl w:val="2"/>
      </w:pPr>
      <w:r>
        <w:rPr>
          <w:color w:val="000000"/>
          <w:sz w:val="24"/>
          <w:szCs w:val="20"/>
        </w:rPr>
      </w:r>
      <w:r/>
    </w:p>
    <w:p>
      <w:pPr>
        <w:pStyle w:val="1147"/>
        <w:spacing w:line="360" w:lineRule="auto"/>
        <w:rPr>
          <w:color w:val="000000"/>
          <w:sz w:val="24"/>
          <w:szCs w:val="20"/>
        </w:rPr>
        <w:outlineLvl w:val="2"/>
      </w:pPr>
      <w:r>
        <w:rPr>
          <w:color w:val="000000"/>
          <w:sz w:val="24"/>
          <w:szCs w:val="20"/>
        </w:rPr>
      </w:r>
      <w:r/>
    </w:p>
    <w:p>
      <w:pPr>
        <w:pStyle w:val="1147"/>
        <w:spacing w:line="360" w:lineRule="auto"/>
        <w:rPr>
          <w:color w:val="000000"/>
          <w:sz w:val="24"/>
        </w:rPr>
        <w:outlineLvl w:val="2"/>
      </w:pPr>
      <w:r>
        <w:rPr>
          <w:color w:val="000000"/>
          <w:sz w:val="24"/>
          <w:szCs w:val="20"/>
        </w:rPr>
        <w:t xml:space="preserve">1</w:t>
      </w:r>
      <w:r>
        <w:rPr>
          <w:rFonts w:hint="eastAsia"/>
          <w:color w:val="000000"/>
          <w:sz w:val="24"/>
          <w:szCs w:val="20"/>
          <w:lang w:val="en-US" w:eastAsia="zh-CN"/>
        </w:rPr>
        <w:t xml:space="preserve">2</w:t>
      </w:r>
      <w:r>
        <w:rPr>
          <w:rFonts w:hint="eastAsia"/>
          <w:color w:val="000000"/>
          <w:sz w:val="24"/>
          <w:szCs w:val="20"/>
        </w:rPr>
        <w:t xml:space="preserve"> </w:t>
      </w:r>
      <w:r>
        <w:rPr>
          <w:color w:val="000000"/>
          <w:sz w:val="24"/>
          <w:szCs w:val="20"/>
        </w:rPr>
        <w:t xml:space="preserve">磋商文件要求提供或供应商认为应附的其他材料</w:t>
      </w:r>
      <w:r>
        <w:rPr>
          <w:color w:val="000000"/>
          <w:sz w:val="24"/>
        </w:rPr>
      </w:r>
      <w:r/>
    </w:p>
    <w:p>
      <w:pPr>
        <w:pStyle w:val="1147"/>
        <w:rPr>
          <w:b/>
          <w:color w:val="000000"/>
          <w:sz w:val="36"/>
          <w:szCs w:val="36"/>
        </w:rPr>
      </w:pPr>
      <w:r>
        <w:rPr>
          <w:b/>
          <w:color w:val="000000"/>
          <w:sz w:val="36"/>
          <w:szCs w:val="36"/>
        </w:rPr>
      </w:r>
      <w:r/>
    </w:p>
    <w:p>
      <w:pPr>
        <w:pStyle w:val="1147"/>
        <w:rPr>
          <w:color w:val="000000"/>
          <w:sz w:val="24"/>
          <w:lang w:val="zh-CN"/>
        </w:rPr>
      </w:pPr>
      <w:r>
        <w:rPr>
          <w:color w:val="000000"/>
          <w:sz w:val="24"/>
          <w:szCs w:val="20"/>
        </w:rPr>
        <w:t xml:space="preserve"> </w:t>
      </w:r>
      <w:r>
        <w:rPr>
          <w:color w:val="000000"/>
          <w:sz w:val="24"/>
          <w:lang w:val="zh-CN"/>
        </w:rPr>
      </w:r>
      <w:r/>
    </w:p>
    <w:sectPr>
      <w:headerReference w:type="even" r:id="rId11"/>
      <w:headerReference w:type="first" r:id="rId12"/>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仿宋_GBK">
    <w:panose1 w:val="020B0503020202020204"/>
  </w:font>
  <w:font w:name="CESI黑体-GB2312">
    <w:panose1 w:val="020B0503020202020204"/>
  </w:font>
  <w:font w:name="Wingdings">
    <w:panose1 w:val="05000000000000000000"/>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jc w:val="center"/>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14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147"/>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tabs>
        <w:tab w:val="center" w:pos="4153" w:leader="none"/>
        <w:tab w:val="right" w:pos="8306" w:leader="none"/>
      </w:tabs>
      <w:rPr>
        <w:rStyle w:val="1219"/>
      </w:rPr>
      <w:framePr w:wrap="around" w:vAnchor="text" w:hAnchor="margin" w:xAlign="center" w:y="1"/>
    </w:pPr>
    <w:r>
      <w:fldChar w:fldCharType="begin"/>
    </w:r>
    <w:r>
      <w:rPr>
        <w:rStyle w:val="1219"/>
      </w:rPr>
      <w:instrText xml:space="preserve">PAGE  </w:instrText>
    </w:r>
    <w:r>
      <w:fldChar w:fldCharType="end"/>
    </w:r>
    <w:r>
      <w:rPr>
        <w:rStyle w:val="1219"/>
      </w:rPr>
    </w:r>
    <w:r/>
  </w:p>
  <w:p>
    <w:pPr>
      <w:pStyle w:val="1195"/>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4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4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jc w:val="center"/>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5"/>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p>
                        <w:p>
                          <w:pPr>
                            <w:pStyle w:val="114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p>
                  <w:p>
                    <w:pPr>
                      <w:pStyle w:val="1147"/>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pPr>
                            <w:pStyle w:val="1147"/>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pPr>
                      <w:pStyle w:val="114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tabs>
        <w:tab w:val="center" w:pos="4153" w:leader="none"/>
        <w:tab w:val="right" w:pos="8306" w:leader="none"/>
      </w:tabs>
      <w:rPr>
        <w:rStyle w:val="1219"/>
      </w:rPr>
      <w:framePr w:wrap="around" w:vAnchor="text" w:hAnchor="margin" w:xAlign="right" w:y="1"/>
    </w:pPr>
    <w:r>
      <w:rPr>
        <w:rStyle w:val="1219"/>
      </w:rPr>
      <w:fldChar w:fldCharType="begin"/>
    </w:r>
    <w:r>
      <w:rPr>
        <w:rStyle w:val="1219"/>
      </w:rPr>
      <w:instrText xml:space="preserve">PAGE  </w:instrText>
    </w:r>
    <w:r>
      <w:rPr>
        <w:rStyle w:val="1219"/>
      </w:rPr>
      <w:fldChar w:fldCharType="end"/>
    </w:r>
    <w:r>
      <w:rPr>
        <w:rStyle w:val="1219"/>
      </w:rPr>
    </w:r>
    <w:r/>
  </w:p>
  <w:p>
    <w:pPr>
      <w:pStyle w:val="1195"/>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5"/>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39</w:t>
                          </w:r>
                          <w:r>
                            <w:fldChar w:fldCharType="end"/>
                          </w:r>
                          <w:r/>
                        </w:p>
                        <w:p>
                          <w:pPr>
                            <w:pStyle w:val="1147"/>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39</w:t>
                    </w:r>
                    <w:r>
                      <w:fldChar w:fldCharType="end"/>
                    </w:r>
                    <w:r/>
                  </w:p>
                  <w:p>
                    <w:pPr>
                      <w:pStyle w:val="1147"/>
                    </w:pPr>
                    <w:r/>
                    <w:r/>
                  </w:p>
                </w:txbxContent>
              </v:textbox>
            </v:shape>
          </w:pict>
        </mc:Fallback>
      </mc:AlternateContent>
    </w:r>
    <w:r/>
  </w:p>
  <w:p>
    <w:pPr>
      <w:pStyle w:val="1195"/>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tabs>
        <w:tab w:val="center" w:pos="4153" w:leader="none"/>
        <w:tab w:val="right" w:pos="8306" w:leader="none"/>
      </w:tabs>
      <w:rPr>
        <w:rStyle w:val="1219"/>
      </w:rPr>
      <w:framePr w:wrap="around" w:vAnchor="text" w:hAnchor="margin" w:xAlign="right" w:y="1"/>
    </w:pPr>
    <w:r>
      <w:rPr>
        <w:rStyle w:val="1219"/>
      </w:rPr>
      <w:fldChar w:fldCharType="begin"/>
    </w:r>
    <w:r>
      <w:rPr>
        <w:rStyle w:val="1219"/>
      </w:rPr>
      <w:instrText xml:space="preserve">PAGE  </w:instrText>
    </w:r>
    <w:r>
      <w:rPr>
        <w:rStyle w:val="1219"/>
      </w:rPr>
      <w:fldChar w:fldCharType="end"/>
    </w:r>
    <w:r>
      <w:rPr>
        <w:rStyle w:val="1219"/>
      </w:rPr>
    </w:r>
    <w:r/>
  </w:p>
  <w:p>
    <w:pPr>
      <w:pStyle w:val="1195"/>
      <w:ind w:right="360"/>
      <w:tabs>
        <w:tab w:val="center" w:pos="4153" w:leader="none"/>
        <w:tab w:val="right" w:pos="8306" w:leader="none"/>
      </w:tabs>
    </w:pPr>
    <w:r/>
    <w:r/>
  </w:p>
  <w:p>
    <w:pPr>
      <w:pStyle w:val="1147"/>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tabs>
        <w:tab w:val="center" w:pos="4153" w:leader="none"/>
        <w:tab w:val="right" w:pos="8306" w:leader="none"/>
      </w:tabs>
    </w:pPr>
    <w:r/>
    <w:r/>
  </w:p>
  <w:p>
    <w:pPr>
      <w:pStyle w:val="1147"/>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1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11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1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1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pStyle w:val="1147"/>
        <w:ind w:left="4941" w:hanging="1140"/>
        <w:tabs>
          <w:tab w:val="num" w:pos="4941" w:leader="none"/>
        </w:tabs>
      </w:pPr>
      <w:rPr>
        <w:rFonts w:hint="eastAsia"/>
      </w:rPr>
    </w:lvl>
    <w:lvl w:ilvl="1">
      <w:start w:val="1"/>
      <w:numFmt w:val="lowerLetter"/>
      <w:isLgl w:val="false"/>
      <w:suff w:val="tab"/>
      <w:lvlText w:val="%2)"/>
      <w:lvlJc w:val="left"/>
      <w:pPr>
        <w:pStyle w:val="1147"/>
        <w:ind w:left="4641" w:hanging="420"/>
        <w:tabs>
          <w:tab w:val="num" w:pos="4641" w:leader="none"/>
        </w:tabs>
      </w:pPr>
    </w:lvl>
    <w:lvl w:ilvl="2">
      <w:start w:val="1"/>
      <w:numFmt w:val="lowerRoman"/>
      <w:isLgl w:val="false"/>
      <w:suff w:val="tab"/>
      <w:lvlText w:val="%3."/>
      <w:lvlJc w:val="right"/>
      <w:pPr>
        <w:pStyle w:val="1147"/>
        <w:ind w:left="5061" w:hanging="420"/>
        <w:tabs>
          <w:tab w:val="num" w:pos="5061" w:leader="none"/>
        </w:tabs>
      </w:pPr>
    </w:lvl>
    <w:lvl w:ilvl="3">
      <w:start w:val="1"/>
      <w:numFmt w:val="decimal"/>
      <w:isLgl w:val="false"/>
      <w:suff w:val="tab"/>
      <w:lvlText w:val="%4."/>
      <w:lvlJc w:val="left"/>
      <w:pPr>
        <w:pStyle w:val="1147"/>
        <w:ind w:left="5481" w:hanging="420"/>
        <w:tabs>
          <w:tab w:val="num" w:pos="5481" w:leader="none"/>
        </w:tabs>
      </w:pPr>
    </w:lvl>
    <w:lvl w:ilvl="4">
      <w:start w:val="1"/>
      <w:numFmt w:val="lowerLetter"/>
      <w:isLgl w:val="false"/>
      <w:suff w:val="tab"/>
      <w:lvlText w:val="%5)"/>
      <w:lvlJc w:val="left"/>
      <w:pPr>
        <w:pStyle w:val="1147"/>
        <w:ind w:left="5901" w:hanging="420"/>
        <w:tabs>
          <w:tab w:val="num" w:pos="5901" w:leader="none"/>
        </w:tabs>
      </w:pPr>
    </w:lvl>
    <w:lvl w:ilvl="5">
      <w:start w:val="1"/>
      <w:numFmt w:val="lowerRoman"/>
      <w:isLgl w:val="false"/>
      <w:suff w:val="tab"/>
      <w:lvlText w:val="%6."/>
      <w:lvlJc w:val="right"/>
      <w:pPr>
        <w:pStyle w:val="1147"/>
        <w:ind w:left="6321" w:hanging="420"/>
        <w:tabs>
          <w:tab w:val="num" w:pos="6321" w:leader="none"/>
        </w:tabs>
      </w:pPr>
    </w:lvl>
    <w:lvl w:ilvl="6">
      <w:start w:val="1"/>
      <w:numFmt w:val="decimal"/>
      <w:isLgl w:val="false"/>
      <w:suff w:val="tab"/>
      <w:lvlText w:val="%7."/>
      <w:lvlJc w:val="left"/>
      <w:pPr>
        <w:pStyle w:val="1147"/>
        <w:ind w:left="6741" w:hanging="420"/>
        <w:tabs>
          <w:tab w:val="num" w:pos="6741" w:leader="none"/>
        </w:tabs>
      </w:pPr>
    </w:lvl>
    <w:lvl w:ilvl="7">
      <w:start w:val="1"/>
      <w:numFmt w:val="lowerLetter"/>
      <w:isLgl w:val="false"/>
      <w:suff w:val="tab"/>
      <w:lvlText w:val="%8)"/>
      <w:lvlJc w:val="left"/>
      <w:pPr>
        <w:pStyle w:val="1147"/>
        <w:ind w:left="7161" w:hanging="420"/>
        <w:tabs>
          <w:tab w:val="num" w:pos="7161" w:leader="none"/>
        </w:tabs>
      </w:pPr>
    </w:lvl>
    <w:lvl w:ilvl="8">
      <w:start w:val="1"/>
      <w:numFmt w:val="lowerRoman"/>
      <w:isLgl w:val="false"/>
      <w:suff w:val="tab"/>
      <w:lvlText w:val="%9."/>
      <w:lvlJc w:val="right"/>
      <w:pPr>
        <w:pStyle w:val="1147"/>
        <w:ind w:left="7581" w:hanging="420"/>
        <w:tabs>
          <w:tab w:val="num" w:pos="7581" w:leader="none"/>
        </w:tabs>
      </w:pPr>
    </w:lvl>
  </w:abstractNum>
  <w:abstractNum w:abstractNumId="5">
    <w:multiLevelType w:val="hybridMultilevel"/>
    <w:lvl w:ilvl="0">
      <w:start w:val="1"/>
      <w:numFmt w:val="decimal"/>
      <w:pStyle w:val="1257"/>
      <w:isLgl w:val="false"/>
      <w:suff w:val="tab"/>
      <w:lvlText w:val="%1."/>
      <w:lvlJc w:val="left"/>
      <w:pPr>
        <w:pStyle w:val="1147"/>
        <w:ind w:left="420" w:hanging="420"/>
      </w:pPr>
    </w:lvl>
    <w:lvl w:ilvl="1">
      <w:start w:val="1"/>
      <w:numFmt w:val="decimal"/>
      <w:isLgl w:val="false"/>
      <w:suff w:val="tab"/>
      <w:lvlText w:val="（%2）"/>
      <w:lvlJc w:val="left"/>
      <w:pPr>
        <w:pStyle w:val="1147"/>
        <w:ind w:left="1140" w:hanging="720"/>
        <w:tabs>
          <w:tab w:val="num" w:pos="1140" w:leader="none"/>
        </w:tabs>
      </w:pPr>
      <w:rPr>
        <w:rFonts w:hint="eastAsia"/>
      </w:rPr>
    </w:lvl>
    <w:lvl w:ilvl="2">
      <w:start w:val="1"/>
      <w:numFmt w:val="lowerRoman"/>
      <w:isLgl w:val="false"/>
      <w:suff w:val="tab"/>
      <w:lvlText w:val="%3."/>
      <w:lvlJc w:val="right"/>
      <w:pPr>
        <w:pStyle w:val="1147"/>
        <w:ind w:left="1260" w:hanging="420"/>
      </w:pPr>
    </w:lvl>
    <w:lvl w:ilvl="3">
      <w:start w:val="1"/>
      <w:numFmt w:val="decimal"/>
      <w:isLgl w:val="false"/>
      <w:suff w:val="tab"/>
      <w:lvlText w:val="%4."/>
      <w:lvlJc w:val="left"/>
      <w:pPr>
        <w:pStyle w:val="1147"/>
        <w:ind w:left="1680" w:hanging="420"/>
      </w:pPr>
    </w:lvl>
    <w:lvl w:ilvl="4">
      <w:start w:val="1"/>
      <w:numFmt w:val="lowerLetter"/>
      <w:isLgl w:val="false"/>
      <w:suff w:val="tab"/>
      <w:lvlText w:val="%5)"/>
      <w:lvlJc w:val="left"/>
      <w:pPr>
        <w:pStyle w:val="1147"/>
        <w:ind w:left="2100" w:hanging="420"/>
      </w:pPr>
    </w:lvl>
    <w:lvl w:ilvl="5">
      <w:start w:val="1"/>
      <w:numFmt w:val="lowerRoman"/>
      <w:isLgl w:val="false"/>
      <w:suff w:val="tab"/>
      <w:lvlText w:val="%6."/>
      <w:lvlJc w:val="right"/>
      <w:pPr>
        <w:pStyle w:val="1147"/>
        <w:ind w:left="2520" w:hanging="420"/>
      </w:pPr>
    </w:lvl>
    <w:lvl w:ilvl="6">
      <w:start w:val="1"/>
      <w:numFmt w:val="decimal"/>
      <w:isLgl w:val="false"/>
      <w:suff w:val="tab"/>
      <w:lvlText w:val="%7."/>
      <w:lvlJc w:val="left"/>
      <w:pPr>
        <w:pStyle w:val="1147"/>
        <w:ind w:left="2940" w:hanging="420"/>
      </w:pPr>
    </w:lvl>
    <w:lvl w:ilvl="7">
      <w:start w:val="1"/>
      <w:numFmt w:val="lowerLetter"/>
      <w:isLgl w:val="false"/>
      <w:suff w:val="tab"/>
      <w:lvlText w:val="%8)"/>
      <w:lvlJc w:val="left"/>
      <w:pPr>
        <w:pStyle w:val="1147"/>
        <w:ind w:left="3360" w:hanging="420"/>
      </w:pPr>
    </w:lvl>
    <w:lvl w:ilvl="8">
      <w:start w:val="1"/>
      <w:numFmt w:val="lowerRoman"/>
      <w:isLgl w:val="false"/>
      <w:suff w:val="tab"/>
      <w:lvlText w:val="%9."/>
      <w:lvlJc w:val="right"/>
      <w:pPr>
        <w:pStyle w:val="1147"/>
        <w:ind w:left="3780" w:hanging="420"/>
      </w:pPr>
    </w:lvl>
  </w:abstractNum>
  <w:abstractNum w:abstractNumId="6">
    <w:multiLevelType w:val="hybridMultilevel"/>
    <w:lvl w:ilvl="0">
      <w:start w:val="1"/>
      <w:numFmt w:val="lowerLetter"/>
      <w:pStyle w:val="1331"/>
      <w:isLgl w:val="false"/>
      <w:suff w:val="tab"/>
      <w:lvlText w:val="%1)"/>
      <w:lvlJc w:val="left"/>
      <w:pPr>
        <w:pStyle w:val="1147"/>
        <w:ind w:left="902" w:hanging="420"/>
      </w:pPr>
      <w:rPr>
        <w:color w:val="000000"/>
      </w:rPr>
    </w:lvl>
    <w:lvl w:ilvl="1">
      <w:start w:val="1"/>
      <w:numFmt w:val="lowerLetter"/>
      <w:isLgl w:val="false"/>
      <w:suff w:val="tab"/>
      <w:lvlText w:val="%2)"/>
      <w:lvlJc w:val="left"/>
      <w:pPr>
        <w:pStyle w:val="1147"/>
        <w:ind w:left="1322" w:hanging="420"/>
      </w:pPr>
    </w:lvl>
    <w:lvl w:ilvl="2">
      <w:start w:val="1"/>
      <w:numFmt w:val="lowerRoman"/>
      <w:isLgl w:val="false"/>
      <w:suff w:val="tab"/>
      <w:lvlText w:val="%3."/>
      <w:lvlJc w:val="right"/>
      <w:pPr>
        <w:pStyle w:val="1147"/>
        <w:ind w:left="1742" w:hanging="420"/>
      </w:pPr>
    </w:lvl>
    <w:lvl w:ilvl="3">
      <w:start w:val="1"/>
      <w:numFmt w:val="decimal"/>
      <w:isLgl w:val="false"/>
      <w:suff w:val="tab"/>
      <w:lvlText w:val="%4."/>
      <w:lvlJc w:val="left"/>
      <w:pPr>
        <w:pStyle w:val="1147"/>
        <w:ind w:left="2162" w:hanging="420"/>
      </w:pPr>
    </w:lvl>
    <w:lvl w:ilvl="4">
      <w:start w:val="1"/>
      <w:numFmt w:val="lowerLetter"/>
      <w:isLgl w:val="false"/>
      <w:suff w:val="tab"/>
      <w:lvlText w:val="%5)"/>
      <w:lvlJc w:val="left"/>
      <w:pPr>
        <w:pStyle w:val="1147"/>
        <w:ind w:left="2582" w:hanging="420"/>
      </w:pPr>
    </w:lvl>
    <w:lvl w:ilvl="5">
      <w:start w:val="1"/>
      <w:numFmt w:val="lowerRoman"/>
      <w:isLgl w:val="false"/>
      <w:suff w:val="tab"/>
      <w:lvlText w:val="%6."/>
      <w:lvlJc w:val="right"/>
      <w:pPr>
        <w:pStyle w:val="1147"/>
        <w:ind w:left="3002" w:hanging="420"/>
      </w:pPr>
    </w:lvl>
    <w:lvl w:ilvl="6">
      <w:start w:val="1"/>
      <w:numFmt w:val="decimal"/>
      <w:isLgl w:val="false"/>
      <w:suff w:val="tab"/>
      <w:lvlText w:val="%7."/>
      <w:lvlJc w:val="left"/>
      <w:pPr>
        <w:pStyle w:val="1147"/>
        <w:ind w:left="3422" w:hanging="420"/>
      </w:pPr>
    </w:lvl>
    <w:lvl w:ilvl="7">
      <w:start w:val="1"/>
      <w:numFmt w:val="lowerLetter"/>
      <w:isLgl w:val="false"/>
      <w:suff w:val="tab"/>
      <w:lvlText w:val="%8)"/>
      <w:lvlJc w:val="left"/>
      <w:pPr>
        <w:pStyle w:val="1147"/>
        <w:ind w:left="3842" w:hanging="420"/>
      </w:pPr>
    </w:lvl>
    <w:lvl w:ilvl="8">
      <w:start w:val="1"/>
      <w:numFmt w:val="lowerRoman"/>
      <w:isLgl w:val="false"/>
      <w:suff w:val="tab"/>
      <w:lvlText w:val="%9."/>
      <w:lvlJc w:val="right"/>
      <w:pPr>
        <w:pStyle w:val="1147"/>
        <w:ind w:left="4262" w:hanging="420"/>
      </w:pPr>
    </w:lvl>
  </w:abstractNum>
  <w:abstractNum w:abstractNumId="7">
    <w:multiLevelType w:val="hybridMultilevel"/>
    <w:lvl w:ilvl="0">
      <w:start w:val="1"/>
      <w:numFmt w:val="decimal"/>
      <w:pStyle w:val="1302"/>
      <w:isLgl w:val="false"/>
      <w:suff w:val="tab"/>
      <w:lvlText w:val="%1."/>
      <w:lvlJc w:val="left"/>
      <w:pPr>
        <w:pStyle w:val="114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51"/>
      <w:isLgl w:val="false"/>
      <w:suff w:val="nothing"/>
      <w:lvlText w:val="%1　"/>
      <w:lvlJc w:val="left"/>
      <w:pPr>
        <w:pStyle w:val="114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4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47"/>
        <w:ind w:left="-25" w:firstLine="0"/>
      </w:pPr>
      <w:rPr>
        <w:rFonts w:ascii="Times New Roman" w:hAnsi="Times New Roman" w:eastAsia="黑体"/>
        <w:b/>
        <w:i w:val="0"/>
        <w:sz w:val="28"/>
      </w:rPr>
    </w:lvl>
    <w:lvl w:ilvl="3">
      <w:start w:val="1"/>
      <w:numFmt w:val="decimal"/>
      <w:pStyle w:val="1287"/>
      <w:isLgl w:val="false"/>
      <w:suff w:val="nothing"/>
      <w:lvlText w:val="%1.%2.%3.%4　"/>
      <w:lvlJc w:val="left"/>
      <w:pPr>
        <w:pStyle w:val="114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4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47"/>
        <w:ind w:left="-25" w:firstLine="0"/>
      </w:pPr>
      <w:rPr>
        <w:rFonts w:ascii="Times New Roman" w:hAnsi="Times New Roman" w:eastAsia="宋体"/>
        <w:b/>
        <w:i w:val="0"/>
        <w:sz w:val="28"/>
      </w:rPr>
    </w:lvl>
    <w:lvl w:ilvl="6">
      <w:start w:val="1"/>
      <w:numFmt w:val="lowerLetter"/>
      <w:pStyle w:val="1308"/>
      <w:isLgl w:val="false"/>
      <w:suff w:val="tab"/>
      <w:lvlText w:val="%7) "/>
      <w:lvlJc w:val="left"/>
      <w:pPr>
        <w:pStyle w:val="1147"/>
        <w:ind w:left="-125" w:firstLine="400"/>
        <w:tabs>
          <w:tab w:val="num" w:pos="635" w:leader="none"/>
        </w:tabs>
      </w:pPr>
      <w:rPr>
        <w:rFonts w:ascii="Times New Roman" w:hAnsi="Times New Roman" w:eastAsia="宋体"/>
        <w:b/>
        <w:i w:val="0"/>
        <w:color w:val="000000"/>
        <w:sz w:val="28"/>
        <w:u w:val="none"/>
      </w:rPr>
    </w:lvl>
    <w:lvl w:ilvl="7">
      <w:start w:val="1"/>
      <w:numFmt w:val="decimal"/>
      <w:pStyle w:val="1271"/>
      <w:isLgl w:val="false"/>
      <w:suff w:val="tab"/>
      <w:lvlText w:val="%8) "/>
      <w:lvlJc w:val="left"/>
      <w:pPr>
        <w:pStyle w:val="114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47"/>
        <w:ind w:left="500" w:firstLine="0"/>
        <w:tabs>
          <w:tab w:val="num" w:pos="860" w:leader="none"/>
        </w:tabs>
      </w:pPr>
      <w:rPr>
        <w:rFonts w:hint="eastAsia" w:ascii="宋体" w:eastAsia="宋体"/>
        <w:b w:val="0"/>
        <w:i w:val="0"/>
        <w:color w:val="000000"/>
        <w:sz w:val="28"/>
        <w:u w:val="none"/>
      </w:rPr>
    </w:lvl>
  </w:abstractNum>
  <w:abstractNum w:abstractNumId="9">
    <w:multiLevelType w:val="hybridMultilevel"/>
    <w:lvl w:ilvl="0">
      <w:start w:val="1"/>
      <w:numFmt w:val="decimal"/>
      <w:isLgl w:val="false"/>
      <w:suff w:val="tab"/>
      <w:lvlText w:val="%1．"/>
      <w:lvlJc w:val="left"/>
      <w:pPr>
        <w:pStyle w:val="1147"/>
        <w:ind w:left="768" w:hanging="360"/>
        <w:tabs>
          <w:tab w:val="num" w:pos="768" w:leader="none"/>
        </w:tabs>
      </w:pPr>
      <w:rPr>
        <w:rFonts w:hint="eastAsia"/>
      </w:rPr>
    </w:lvl>
    <w:lvl w:ilvl="1">
      <w:start w:val="1"/>
      <w:numFmt w:val="decimal"/>
      <w:pStyle w:val="1289"/>
      <w:isLgl w:val="false"/>
      <w:suff w:val="tab"/>
      <w:lvlText w:val="%2、"/>
      <w:lvlJc w:val="left"/>
      <w:pPr>
        <w:pStyle w:val="1147"/>
        <w:ind w:left="1188" w:hanging="360"/>
        <w:tabs>
          <w:tab w:val="num" w:pos="1188" w:leader="none"/>
        </w:tabs>
      </w:pPr>
      <w:rPr>
        <w:rFonts w:hint="eastAsia"/>
      </w:rPr>
    </w:lvl>
    <w:lvl w:ilvl="2">
      <w:start w:val="1"/>
      <w:numFmt w:val="decimal"/>
      <w:isLgl w:val="false"/>
      <w:suff w:val="tab"/>
      <w:lvlText w:val="（%3）"/>
      <w:lvlJc w:val="left"/>
      <w:pPr>
        <w:pStyle w:val="1147"/>
        <w:ind w:left="1968" w:hanging="720"/>
        <w:tabs>
          <w:tab w:val="num" w:pos="1968" w:leader="none"/>
        </w:tabs>
      </w:pPr>
      <w:rPr>
        <w:rFonts w:hint="eastAsia"/>
        <w:u w:val="none"/>
      </w:rPr>
    </w:lvl>
    <w:lvl w:ilvl="3">
      <w:start w:val="1"/>
      <w:numFmt w:val="decimal"/>
      <w:isLgl w:val="false"/>
      <w:suff w:val="tab"/>
      <w:lvlText w:val="%4."/>
      <w:lvlJc w:val="left"/>
      <w:pPr>
        <w:pStyle w:val="1147"/>
        <w:ind w:left="2088" w:hanging="420"/>
        <w:tabs>
          <w:tab w:val="num" w:pos="2088" w:leader="none"/>
        </w:tabs>
      </w:pPr>
    </w:lvl>
    <w:lvl w:ilvl="4">
      <w:start w:val="1"/>
      <w:numFmt w:val="lowerLetter"/>
      <w:isLgl w:val="false"/>
      <w:suff w:val="tab"/>
      <w:lvlText w:val="%5)"/>
      <w:lvlJc w:val="left"/>
      <w:pPr>
        <w:pStyle w:val="1147"/>
        <w:ind w:left="2508" w:hanging="420"/>
        <w:tabs>
          <w:tab w:val="num" w:pos="2508" w:leader="none"/>
        </w:tabs>
      </w:pPr>
    </w:lvl>
    <w:lvl w:ilvl="5">
      <w:start w:val="1"/>
      <w:numFmt w:val="lowerRoman"/>
      <w:isLgl w:val="false"/>
      <w:suff w:val="tab"/>
      <w:lvlText w:val="%6."/>
      <w:lvlJc w:val="right"/>
      <w:pPr>
        <w:pStyle w:val="1147"/>
        <w:ind w:left="2928" w:hanging="420"/>
        <w:tabs>
          <w:tab w:val="num" w:pos="2928" w:leader="none"/>
        </w:tabs>
      </w:pPr>
    </w:lvl>
    <w:lvl w:ilvl="6">
      <w:start w:val="1"/>
      <w:numFmt w:val="decimal"/>
      <w:isLgl w:val="false"/>
      <w:suff w:val="tab"/>
      <w:lvlText w:val="%7."/>
      <w:lvlJc w:val="left"/>
      <w:pPr>
        <w:pStyle w:val="1147"/>
        <w:ind w:left="3348" w:hanging="420"/>
        <w:tabs>
          <w:tab w:val="num" w:pos="3348" w:leader="none"/>
        </w:tabs>
      </w:pPr>
    </w:lvl>
    <w:lvl w:ilvl="7">
      <w:start w:val="1"/>
      <w:numFmt w:val="lowerLetter"/>
      <w:isLgl w:val="false"/>
      <w:suff w:val="tab"/>
      <w:lvlText w:val="%8)"/>
      <w:lvlJc w:val="left"/>
      <w:pPr>
        <w:pStyle w:val="1147"/>
        <w:ind w:left="3768" w:hanging="420"/>
        <w:tabs>
          <w:tab w:val="num" w:pos="3768" w:leader="none"/>
        </w:tabs>
      </w:pPr>
    </w:lvl>
    <w:lvl w:ilvl="8">
      <w:start w:val="1"/>
      <w:numFmt w:val="lowerRoman"/>
      <w:isLgl w:val="false"/>
      <w:suff w:val="tab"/>
      <w:lvlText w:val="%9."/>
      <w:lvlJc w:val="right"/>
      <w:pPr>
        <w:pStyle w:val="1147"/>
        <w:ind w:left="4188" w:hanging="420"/>
        <w:tabs>
          <w:tab w:val="num" w:pos="4188" w:leader="none"/>
        </w:tabs>
      </w:pPr>
    </w:lvl>
  </w:abstractNum>
  <w:abstractNum w:abstractNumId="10">
    <w:multiLevelType w:val="hybridMultilevel"/>
    <w:lvl w:ilvl="0">
      <w:start w:val="1"/>
      <w:numFmt w:val="decimal"/>
      <w:isLgl w:val="false"/>
      <w:suff w:val="tab"/>
      <w:lvlText w:val="%1"/>
      <w:lvlJc w:val="left"/>
      <w:pPr>
        <w:pStyle w:val="1147"/>
        <w:ind w:left="900" w:hanging="900"/>
        <w:tabs>
          <w:tab w:val="num" w:pos="900" w:leader="none"/>
        </w:tabs>
      </w:pPr>
      <w:rPr>
        <w:rFonts w:hint="eastAsia"/>
      </w:rPr>
    </w:lvl>
    <w:lvl w:ilvl="1">
      <w:start w:val="1"/>
      <w:numFmt w:val="decimal"/>
      <w:isLgl w:val="false"/>
      <w:suff w:val="tab"/>
      <w:lvlText w:val="%1.%2"/>
      <w:lvlJc w:val="left"/>
      <w:pPr>
        <w:pStyle w:val="114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47"/>
        <w:ind w:left="1980" w:hanging="900"/>
        <w:tabs>
          <w:tab w:val="num" w:pos="1980" w:leader="none"/>
        </w:tabs>
      </w:pPr>
      <w:rPr>
        <w:rFonts w:hint="eastAsia"/>
      </w:rPr>
    </w:lvl>
    <w:lvl w:ilvl="3">
      <w:start w:val="1"/>
      <w:numFmt w:val="decimal"/>
      <w:isLgl w:val="false"/>
      <w:suff w:val="tab"/>
      <w:lvlText w:val="%1.%2.%3.%4"/>
      <w:lvlJc w:val="left"/>
      <w:pPr>
        <w:pStyle w:val="1147"/>
        <w:ind w:left="900" w:hanging="900"/>
        <w:tabs>
          <w:tab w:val="num" w:pos="900" w:leader="none"/>
        </w:tabs>
      </w:pPr>
      <w:rPr>
        <w:rFonts w:hint="eastAsia"/>
      </w:rPr>
    </w:lvl>
    <w:lvl w:ilvl="4">
      <w:start w:val="1"/>
      <w:numFmt w:val="decimal"/>
      <w:isLgl w:val="false"/>
      <w:suff w:val="tab"/>
      <w:lvlText w:val="%1.%2.%3.%4.%5"/>
      <w:lvlJc w:val="left"/>
      <w:pPr>
        <w:pStyle w:val="1147"/>
        <w:ind w:left="900" w:hanging="900"/>
        <w:tabs>
          <w:tab w:val="num" w:pos="900" w:leader="none"/>
        </w:tabs>
      </w:pPr>
      <w:rPr>
        <w:rFonts w:hint="eastAsia"/>
      </w:rPr>
    </w:lvl>
    <w:lvl w:ilvl="5">
      <w:start w:val="1"/>
      <w:numFmt w:val="decimal"/>
      <w:isLgl w:val="false"/>
      <w:suff w:val="tab"/>
      <w:lvlText w:val="%1.%2.%3.%4.%5.%6"/>
      <w:lvlJc w:val="left"/>
      <w:pPr>
        <w:pStyle w:val="1147"/>
        <w:ind w:left="900" w:hanging="900"/>
        <w:tabs>
          <w:tab w:val="num" w:pos="900" w:leader="none"/>
        </w:tabs>
      </w:pPr>
      <w:rPr>
        <w:rFonts w:hint="eastAsia"/>
      </w:rPr>
    </w:lvl>
    <w:lvl w:ilvl="6">
      <w:start w:val="1"/>
      <w:numFmt w:val="decimal"/>
      <w:isLgl w:val="false"/>
      <w:suff w:val="tab"/>
      <w:lvlText w:val="%1.%2.%3.%4.%5.%6.%7"/>
      <w:lvlJc w:val="left"/>
      <w:pPr>
        <w:pStyle w:val="1147"/>
        <w:ind w:left="900" w:hanging="900"/>
        <w:tabs>
          <w:tab w:val="num" w:pos="900" w:leader="none"/>
        </w:tabs>
      </w:pPr>
      <w:rPr>
        <w:rFonts w:hint="eastAsia"/>
      </w:rPr>
    </w:lvl>
    <w:lvl w:ilvl="7">
      <w:start w:val="1"/>
      <w:numFmt w:val="decimal"/>
      <w:isLgl w:val="false"/>
      <w:suff w:val="tab"/>
      <w:lvlText w:val="%1.%2.%3.%4.%5.%6.%7.%8"/>
      <w:lvlJc w:val="left"/>
      <w:pPr>
        <w:pStyle w:val="1147"/>
        <w:ind w:left="900" w:hanging="900"/>
        <w:tabs>
          <w:tab w:val="num" w:pos="900" w:leader="none"/>
        </w:tabs>
      </w:pPr>
      <w:rPr>
        <w:rFonts w:hint="eastAsia"/>
      </w:rPr>
    </w:lvl>
    <w:lvl w:ilvl="8">
      <w:start w:val="1"/>
      <w:numFmt w:val="decimal"/>
      <w:isLgl w:val="false"/>
      <w:suff w:val="tab"/>
      <w:lvlText w:val="%1.%2.%3.%4.%5.%6.%7.%8.%9"/>
      <w:lvlJc w:val="left"/>
      <w:pPr>
        <w:pStyle w:val="1147"/>
        <w:ind w:left="900" w:hanging="900"/>
        <w:tabs>
          <w:tab w:val="num" w:pos="900" w:leader="none"/>
        </w:tabs>
      </w:pPr>
      <w:rPr>
        <w:rFonts w:hint="eastAsia"/>
      </w:rPr>
    </w:lvl>
  </w:abstractNum>
  <w:abstractNum w:abstractNumId="11">
    <w:multiLevelType w:val="hybridMultilevel"/>
    <w:lvl w:ilvl="0">
      <w:start w:val="1"/>
      <w:numFmt w:val="decimal"/>
      <w:pStyle w:val="1256"/>
      <w:isLgl w:val="false"/>
      <w:suff w:val="tab"/>
      <w:lvlText w:val="%1)"/>
      <w:lvlJc w:val="left"/>
      <w:pPr>
        <w:pStyle w:val="1147"/>
        <w:ind w:left="420" w:hanging="420"/>
      </w:pPr>
    </w:lvl>
    <w:lvl w:ilvl="1">
      <w:start w:val="1"/>
      <w:numFmt w:val="lowerLetter"/>
      <w:isLgl w:val="false"/>
      <w:suff w:val="tab"/>
      <w:lvlText w:val="%2)"/>
      <w:lvlJc w:val="left"/>
      <w:pPr>
        <w:pStyle w:val="1147"/>
        <w:ind w:left="840" w:hanging="420"/>
      </w:pPr>
    </w:lvl>
    <w:lvl w:ilvl="2">
      <w:start w:val="1"/>
      <w:numFmt w:val="lowerRoman"/>
      <w:isLgl w:val="false"/>
      <w:suff w:val="tab"/>
      <w:lvlText w:val="%3."/>
      <w:lvlJc w:val="right"/>
      <w:pPr>
        <w:pStyle w:val="1147"/>
        <w:ind w:left="1260" w:hanging="420"/>
      </w:pPr>
    </w:lvl>
    <w:lvl w:ilvl="3">
      <w:start w:val="1"/>
      <w:numFmt w:val="decimal"/>
      <w:isLgl w:val="false"/>
      <w:suff w:val="tab"/>
      <w:lvlText w:val="%4."/>
      <w:lvlJc w:val="left"/>
      <w:pPr>
        <w:pStyle w:val="1147"/>
        <w:ind w:left="1680" w:hanging="420"/>
      </w:pPr>
    </w:lvl>
    <w:lvl w:ilvl="4">
      <w:start w:val="1"/>
      <w:numFmt w:val="lowerLetter"/>
      <w:isLgl w:val="false"/>
      <w:suff w:val="tab"/>
      <w:lvlText w:val="%5)"/>
      <w:lvlJc w:val="left"/>
      <w:pPr>
        <w:pStyle w:val="1147"/>
        <w:ind w:left="2100" w:hanging="420"/>
      </w:pPr>
    </w:lvl>
    <w:lvl w:ilvl="5">
      <w:start w:val="1"/>
      <w:numFmt w:val="lowerRoman"/>
      <w:isLgl w:val="false"/>
      <w:suff w:val="tab"/>
      <w:lvlText w:val="%6."/>
      <w:lvlJc w:val="right"/>
      <w:pPr>
        <w:pStyle w:val="1147"/>
        <w:ind w:left="2520" w:hanging="420"/>
      </w:pPr>
    </w:lvl>
    <w:lvl w:ilvl="6">
      <w:start w:val="1"/>
      <w:numFmt w:val="decimal"/>
      <w:isLgl w:val="false"/>
      <w:suff w:val="tab"/>
      <w:lvlText w:val="%7."/>
      <w:lvlJc w:val="left"/>
      <w:pPr>
        <w:pStyle w:val="1147"/>
        <w:ind w:left="2940" w:hanging="420"/>
      </w:pPr>
    </w:lvl>
    <w:lvl w:ilvl="7">
      <w:start w:val="1"/>
      <w:numFmt w:val="lowerLetter"/>
      <w:isLgl w:val="false"/>
      <w:suff w:val="tab"/>
      <w:lvlText w:val="%8)"/>
      <w:lvlJc w:val="left"/>
      <w:pPr>
        <w:pStyle w:val="1147"/>
        <w:ind w:left="3360" w:hanging="420"/>
      </w:pPr>
    </w:lvl>
    <w:lvl w:ilvl="8">
      <w:start w:val="1"/>
      <w:numFmt w:val="lowerRoman"/>
      <w:isLgl w:val="false"/>
      <w:suff w:val="tab"/>
      <w:lvlText w:val="%9."/>
      <w:lvlJc w:val="right"/>
      <w:pPr>
        <w:pStyle w:val="1147"/>
        <w:ind w:left="3780" w:hanging="420"/>
      </w:pPr>
    </w:lvl>
  </w:abstractNum>
  <w:abstractNum w:abstractNumId="12">
    <w:multiLevelType w:val="hybridMultilevel"/>
    <w:lvl w:ilvl="0">
      <w:start w:val="1"/>
      <w:numFmt w:val="decimal"/>
      <w:pStyle w:val="1356"/>
      <w:isLgl w:val="false"/>
      <w:suff w:val="tab"/>
      <w:lvlText w:val="%1"/>
      <w:lvlJc w:val="left"/>
      <w:pPr>
        <w:pStyle w:val="1147"/>
        <w:ind w:left="680" w:hanging="680"/>
      </w:pPr>
      <w:rPr>
        <w:rFonts w:hint="eastAsia" w:ascii="宋体" w:hAnsi="宋体" w:eastAsia="宋体"/>
      </w:rPr>
    </w:lvl>
    <w:lvl w:ilvl="1">
      <w:start w:val="1"/>
      <w:numFmt w:val="decimal"/>
      <w:pStyle w:val="1357"/>
      <w:isLgl w:val="false"/>
      <w:suff w:val="tab"/>
      <w:lvlText w:val="%1.%2"/>
      <w:lvlJc w:val="left"/>
      <w:pPr>
        <w:pStyle w:val="1147"/>
        <w:ind w:left="851" w:hanging="851"/>
      </w:pPr>
      <w:rPr>
        <w:rFonts w:hint="eastAsia" w:ascii="宋体" w:hAnsi="宋体" w:eastAsia="宋体"/>
        <w:color w:val="000000"/>
      </w:rPr>
    </w:lvl>
    <w:lvl w:ilvl="2">
      <w:start w:val="1"/>
      <w:numFmt w:val="decimal"/>
      <w:pStyle w:val="1358"/>
      <w:isLgl w:val="false"/>
      <w:suff w:val="tab"/>
      <w:lvlText w:val="%1.%2.%3"/>
      <w:lvlJc w:val="left"/>
      <w:pPr>
        <w:pStyle w:val="1147"/>
        <w:ind w:left="851" w:hanging="851"/>
      </w:pPr>
      <w:rPr>
        <w:rFonts w:hint="eastAsia"/>
      </w:rPr>
    </w:lvl>
    <w:lvl w:ilvl="3">
      <w:start w:val="1"/>
      <w:numFmt w:val="decimal"/>
      <w:isLgl w:val="false"/>
      <w:suff w:val="tab"/>
      <w:lvlText w:val="%1.%2.%3.%4"/>
      <w:lvlJc w:val="left"/>
      <w:pPr>
        <w:pStyle w:val="1147"/>
        <w:ind w:left="680" w:hanging="680"/>
      </w:pPr>
      <w:rPr>
        <w:rFonts w:hint="eastAsia"/>
      </w:rPr>
    </w:lvl>
    <w:lvl w:ilvl="4">
      <w:start w:val="1"/>
      <w:numFmt w:val="decimal"/>
      <w:isLgl w:val="false"/>
      <w:suff w:val="tab"/>
      <w:lvlText w:val="%1.%2.%3.%4.%5"/>
      <w:lvlJc w:val="left"/>
      <w:pPr>
        <w:pStyle w:val="1147"/>
        <w:ind w:left="680" w:hanging="680"/>
      </w:pPr>
      <w:rPr>
        <w:rFonts w:hint="eastAsia"/>
      </w:rPr>
    </w:lvl>
    <w:lvl w:ilvl="5">
      <w:start w:val="1"/>
      <w:numFmt w:val="decimal"/>
      <w:isLgl w:val="false"/>
      <w:suff w:val="tab"/>
      <w:lvlText w:val="%1.%2.%3.%4.%5.%6"/>
      <w:lvlJc w:val="left"/>
      <w:pPr>
        <w:pStyle w:val="1147"/>
        <w:ind w:left="680" w:hanging="680"/>
      </w:pPr>
      <w:rPr>
        <w:rFonts w:hint="eastAsia"/>
      </w:rPr>
    </w:lvl>
    <w:lvl w:ilvl="6">
      <w:start w:val="1"/>
      <w:numFmt w:val="decimal"/>
      <w:isLgl w:val="false"/>
      <w:suff w:val="tab"/>
      <w:lvlText w:val="%1.%2.%3.%4.%5.%6.%7"/>
      <w:lvlJc w:val="left"/>
      <w:pPr>
        <w:pStyle w:val="1147"/>
        <w:ind w:left="680" w:hanging="680"/>
      </w:pPr>
      <w:rPr>
        <w:rFonts w:hint="eastAsia"/>
      </w:rPr>
    </w:lvl>
    <w:lvl w:ilvl="7">
      <w:start w:val="1"/>
      <w:numFmt w:val="decimal"/>
      <w:isLgl w:val="false"/>
      <w:suff w:val="tab"/>
      <w:lvlText w:val="%1.%2.%3.%4.%5.%6.%7.%8"/>
      <w:lvlJc w:val="left"/>
      <w:pPr>
        <w:pStyle w:val="1147"/>
        <w:ind w:left="680" w:hanging="680"/>
      </w:pPr>
      <w:rPr>
        <w:rFonts w:hint="eastAsia"/>
      </w:rPr>
    </w:lvl>
    <w:lvl w:ilvl="8">
      <w:start w:val="1"/>
      <w:numFmt w:val="decimal"/>
      <w:isLgl w:val="false"/>
      <w:suff w:val="tab"/>
      <w:lvlText w:val="%1.%2.%3.%4.%5.%6.%7.%8.%9"/>
      <w:lvlJc w:val="left"/>
      <w:pPr>
        <w:pStyle w:val="1147"/>
        <w:ind w:left="680" w:hanging="680"/>
      </w:pPr>
      <w:rPr>
        <w:rFonts w:hint="eastAsia"/>
      </w:rPr>
    </w:lvl>
  </w:abstractNum>
  <w:abstractNum w:abstractNumId="13">
    <w:multiLevelType w:val="hybridMultilevel"/>
    <w:lvl w:ilvl="0">
      <w:start w:val="1"/>
      <w:numFmt w:val="decimal"/>
      <w:isLgl w:val="false"/>
      <w:suff w:val="tab"/>
      <w:lvlText w:val="%1"/>
      <w:lvlJc w:val="left"/>
      <w:pPr>
        <w:pStyle w:val="1147"/>
        <w:ind w:left="900" w:hanging="900"/>
        <w:tabs>
          <w:tab w:val="num" w:pos="900" w:leader="none"/>
        </w:tabs>
      </w:pPr>
      <w:rPr>
        <w:rFonts w:hint="eastAsia"/>
      </w:rPr>
    </w:lvl>
    <w:lvl w:ilvl="1">
      <w:start w:val="1"/>
      <w:numFmt w:val="decimal"/>
      <w:isLgl w:val="false"/>
      <w:suff w:val="tab"/>
      <w:lvlText w:val="%1.%2"/>
      <w:lvlJc w:val="left"/>
      <w:pPr>
        <w:pStyle w:val="1147"/>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147"/>
        <w:ind w:left="1980" w:hanging="900"/>
        <w:tabs>
          <w:tab w:val="num" w:pos="1980" w:leader="none"/>
        </w:tabs>
      </w:pPr>
      <w:rPr>
        <w:rFonts w:hint="eastAsia"/>
      </w:rPr>
    </w:lvl>
    <w:lvl w:ilvl="3">
      <w:start w:val="1"/>
      <w:numFmt w:val="decimal"/>
      <w:isLgl w:val="false"/>
      <w:suff w:val="tab"/>
      <w:lvlText w:val="%1.%2.%3.%4"/>
      <w:lvlJc w:val="left"/>
      <w:pPr>
        <w:pStyle w:val="1147"/>
        <w:ind w:left="900" w:hanging="900"/>
        <w:tabs>
          <w:tab w:val="num" w:pos="900" w:leader="none"/>
        </w:tabs>
      </w:pPr>
      <w:rPr>
        <w:rFonts w:hint="eastAsia"/>
      </w:rPr>
    </w:lvl>
    <w:lvl w:ilvl="4">
      <w:start w:val="1"/>
      <w:numFmt w:val="decimal"/>
      <w:isLgl w:val="false"/>
      <w:suff w:val="tab"/>
      <w:lvlText w:val="%1.%2.%3.%4.%5"/>
      <w:lvlJc w:val="left"/>
      <w:pPr>
        <w:pStyle w:val="1147"/>
        <w:ind w:left="900" w:hanging="900"/>
        <w:tabs>
          <w:tab w:val="num" w:pos="900" w:leader="none"/>
        </w:tabs>
      </w:pPr>
      <w:rPr>
        <w:rFonts w:hint="eastAsia"/>
      </w:rPr>
    </w:lvl>
    <w:lvl w:ilvl="5">
      <w:start w:val="1"/>
      <w:numFmt w:val="decimal"/>
      <w:isLgl w:val="false"/>
      <w:suff w:val="tab"/>
      <w:lvlText w:val="%1.%2.%3.%4.%5.%6"/>
      <w:lvlJc w:val="left"/>
      <w:pPr>
        <w:pStyle w:val="1147"/>
        <w:ind w:left="900" w:hanging="900"/>
        <w:tabs>
          <w:tab w:val="num" w:pos="900" w:leader="none"/>
        </w:tabs>
      </w:pPr>
      <w:rPr>
        <w:rFonts w:hint="eastAsia"/>
      </w:rPr>
    </w:lvl>
    <w:lvl w:ilvl="6">
      <w:start w:val="1"/>
      <w:numFmt w:val="decimal"/>
      <w:isLgl w:val="false"/>
      <w:suff w:val="tab"/>
      <w:lvlText w:val="%1.%2.%3.%4.%5.%6.%7"/>
      <w:lvlJc w:val="left"/>
      <w:pPr>
        <w:pStyle w:val="1147"/>
        <w:ind w:left="900" w:hanging="900"/>
        <w:tabs>
          <w:tab w:val="num" w:pos="900" w:leader="none"/>
        </w:tabs>
      </w:pPr>
      <w:rPr>
        <w:rFonts w:hint="eastAsia"/>
      </w:rPr>
    </w:lvl>
    <w:lvl w:ilvl="7">
      <w:start w:val="1"/>
      <w:numFmt w:val="decimal"/>
      <w:isLgl w:val="false"/>
      <w:suff w:val="tab"/>
      <w:lvlText w:val="%1.%2.%3.%4.%5.%6.%7.%8"/>
      <w:lvlJc w:val="left"/>
      <w:pPr>
        <w:pStyle w:val="1147"/>
        <w:ind w:left="900" w:hanging="900"/>
        <w:tabs>
          <w:tab w:val="num" w:pos="900" w:leader="none"/>
        </w:tabs>
      </w:pPr>
      <w:rPr>
        <w:rFonts w:hint="eastAsia"/>
      </w:rPr>
    </w:lvl>
    <w:lvl w:ilvl="8">
      <w:start w:val="1"/>
      <w:numFmt w:val="decimal"/>
      <w:isLgl w:val="false"/>
      <w:suff w:val="tab"/>
      <w:lvlText w:val="%1.%2.%3.%4.%5.%6.%7.%8.%9"/>
      <w:lvlJc w:val="left"/>
      <w:pPr>
        <w:pStyle w:val="1147"/>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1147"/>
        <w:ind w:left="900" w:hanging="900"/>
        <w:tabs>
          <w:tab w:val="num" w:pos="900" w:leader="none"/>
        </w:tabs>
      </w:pPr>
      <w:rPr>
        <w:rFonts w:hint="eastAsia"/>
      </w:rPr>
    </w:lvl>
    <w:lvl w:ilvl="1">
      <w:start w:val="1"/>
      <w:numFmt w:val="decimal"/>
      <w:isLgl w:val="false"/>
      <w:suff w:val="tab"/>
      <w:lvlText w:val="%1.%2"/>
      <w:lvlJc w:val="left"/>
      <w:pPr>
        <w:pStyle w:val="114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47"/>
        <w:ind w:left="1980" w:hanging="900"/>
        <w:tabs>
          <w:tab w:val="num" w:pos="1980" w:leader="none"/>
        </w:tabs>
      </w:pPr>
      <w:rPr>
        <w:rFonts w:hint="eastAsia"/>
      </w:rPr>
    </w:lvl>
    <w:lvl w:ilvl="3">
      <w:start w:val="1"/>
      <w:numFmt w:val="decimal"/>
      <w:isLgl w:val="false"/>
      <w:suff w:val="tab"/>
      <w:lvlText w:val="%1.%2.%3.%4"/>
      <w:lvlJc w:val="left"/>
      <w:pPr>
        <w:pStyle w:val="1147"/>
        <w:ind w:left="900" w:hanging="900"/>
        <w:tabs>
          <w:tab w:val="num" w:pos="900" w:leader="none"/>
        </w:tabs>
      </w:pPr>
      <w:rPr>
        <w:rFonts w:hint="eastAsia"/>
      </w:rPr>
    </w:lvl>
    <w:lvl w:ilvl="4">
      <w:start w:val="1"/>
      <w:numFmt w:val="decimal"/>
      <w:isLgl w:val="false"/>
      <w:suff w:val="tab"/>
      <w:lvlText w:val="%1.%2.%3.%4.%5"/>
      <w:lvlJc w:val="left"/>
      <w:pPr>
        <w:pStyle w:val="1147"/>
        <w:ind w:left="900" w:hanging="900"/>
        <w:tabs>
          <w:tab w:val="num" w:pos="900" w:leader="none"/>
        </w:tabs>
      </w:pPr>
      <w:rPr>
        <w:rFonts w:hint="eastAsia"/>
      </w:rPr>
    </w:lvl>
    <w:lvl w:ilvl="5">
      <w:start w:val="1"/>
      <w:numFmt w:val="decimal"/>
      <w:isLgl w:val="false"/>
      <w:suff w:val="tab"/>
      <w:lvlText w:val="%1.%2.%3.%4.%5.%6"/>
      <w:lvlJc w:val="left"/>
      <w:pPr>
        <w:pStyle w:val="1147"/>
        <w:ind w:left="900" w:hanging="900"/>
        <w:tabs>
          <w:tab w:val="num" w:pos="900" w:leader="none"/>
        </w:tabs>
      </w:pPr>
      <w:rPr>
        <w:rFonts w:hint="eastAsia"/>
      </w:rPr>
    </w:lvl>
    <w:lvl w:ilvl="6">
      <w:start w:val="1"/>
      <w:numFmt w:val="decimal"/>
      <w:isLgl w:val="false"/>
      <w:suff w:val="tab"/>
      <w:lvlText w:val="%1.%2.%3.%4.%5.%6.%7"/>
      <w:lvlJc w:val="left"/>
      <w:pPr>
        <w:pStyle w:val="1147"/>
        <w:ind w:left="900" w:hanging="900"/>
        <w:tabs>
          <w:tab w:val="num" w:pos="900" w:leader="none"/>
        </w:tabs>
      </w:pPr>
      <w:rPr>
        <w:rFonts w:hint="eastAsia"/>
      </w:rPr>
    </w:lvl>
    <w:lvl w:ilvl="7">
      <w:start w:val="1"/>
      <w:numFmt w:val="decimal"/>
      <w:isLgl w:val="false"/>
      <w:suff w:val="tab"/>
      <w:lvlText w:val="%1.%2.%3.%4.%5.%6.%7.%8"/>
      <w:lvlJc w:val="left"/>
      <w:pPr>
        <w:pStyle w:val="1147"/>
        <w:ind w:left="900" w:hanging="900"/>
        <w:tabs>
          <w:tab w:val="num" w:pos="900" w:leader="none"/>
        </w:tabs>
      </w:pPr>
      <w:rPr>
        <w:rFonts w:hint="eastAsia"/>
      </w:rPr>
    </w:lvl>
    <w:lvl w:ilvl="8">
      <w:start w:val="1"/>
      <w:numFmt w:val="decimal"/>
      <w:isLgl w:val="false"/>
      <w:suff w:val="tab"/>
      <w:lvlText w:val="%1.%2.%3.%4.%5.%6.%7.%8.%9"/>
      <w:lvlJc w:val="left"/>
      <w:pPr>
        <w:pStyle w:val="1147"/>
        <w:ind w:left="900" w:hanging="900"/>
        <w:tabs>
          <w:tab w:val="num" w:pos="900" w:leader="none"/>
        </w:tabs>
      </w:pPr>
      <w:rPr>
        <w:rFonts w:hint="eastAsia"/>
      </w:rPr>
    </w:lvl>
  </w:abstractNum>
  <w:num w:numId="1">
    <w:abstractNumId w:val="8"/>
  </w:num>
  <w:num w:numId="2">
    <w:abstractNumId w:val="5"/>
  </w:num>
  <w:num w:numId="3">
    <w:abstractNumId w:val="11"/>
  </w:num>
  <w:num w:numId="4">
    <w:abstractNumId w:val="9"/>
  </w:num>
  <w:num w:numId="5">
    <w:abstractNumId w:val="7"/>
  </w:num>
  <w:num w:numId="6">
    <w:abstractNumId w:val="6"/>
  </w:num>
  <w:num w:numId="7">
    <w:abstractNumId w:val="12"/>
  </w:num>
  <w:num w:numId="8">
    <w:abstractNumId w:val="0"/>
  </w:num>
  <w:num w:numId="9">
    <w:abstractNumId w:val="10"/>
  </w:num>
  <w:num w:numId="10">
    <w:abstractNumId w:val="14"/>
  </w:num>
  <w:num w:numId="11">
    <w:abstractNumId w:val="4"/>
  </w:num>
  <w:num w:numId="12">
    <w:abstractNumId w:val="13"/>
  </w:num>
  <w:num w:numId="13">
    <w:abstractNumId w:val="1"/>
  </w:num>
  <w:num w:numId="14">
    <w:abstractNumId w:val="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9">
    <w:name w:val="Heading 1"/>
    <w:basedOn w:val="1147"/>
    <w:next w:val="1147"/>
    <w:link w:val="970"/>
    <w:uiPriority w:val="9"/>
    <w:qFormat/>
    <w:pPr>
      <w:keepLines/>
      <w:keepNext/>
      <w:spacing w:before="480" w:after="200"/>
      <w:outlineLvl w:val="0"/>
    </w:pPr>
    <w:rPr>
      <w:rFonts w:ascii="Arial" w:hAnsi="Arial" w:eastAsia="Arial" w:cs="Arial"/>
      <w:sz w:val="40"/>
      <w:szCs w:val="40"/>
    </w:rPr>
  </w:style>
  <w:style w:type="character" w:styleId="970">
    <w:name w:val="Heading 1 Char"/>
    <w:link w:val="969"/>
    <w:uiPriority w:val="9"/>
    <w:rPr>
      <w:rFonts w:ascii="Arial" w:hAnsi="Arial" w:eastAsia="Arial" w:cs="Arial"/>
      <w:sz w:val="40"/>
      <w:szCs w:val="40"/>
    </w:rPr>
  </w:style>
  <w:style w:type="paragraph" w:styleId="971">
    <w:name w:val="Heading 2"/>
    <w:basedOn w:val="1147"/>
    <w:next w:val="1147"/>
    <w:link w:val="972"/>
    <w:uiPriority w:val="9"/>
    <w:unhideWhenUsed/>
    <w:qFormat/>
    <w:pPr>
      <w:keepLines/>
      <w:keepNext/>
      <w:spacing w:before="360" w:after="200"/>
      <w:outlineLvl w:val="1"/>
    </w:pPr>
    <w:rPr>
      <w:rFonts w:ascii="Arial" w:hAnsi="Arial" w:eastAsia="Arial" w:cs="Arial"/>
      <w:sz w:val="34"/>
    </w:rPr>
  </w:style>
  <w:style w:type="character" w:styleId="972">
    <w:name w:val="Heading 2 Char"/>
    <w:link w:val="971"/>
    <w:uiPriority w:val="9"/>
    <w:rPr>
      <w:rFonts w:ascii="Arial" w:hAnsi="Arial" w:eastAsia="Arial" w:cs="Arial"/>
      <w:sz w:val="34"/>
    </w:rPr>
  </w:style>
  <w:style w:type="paragraph" w:styleId="973">
    <w:name w:val="Heading 3"/>
    <w:basedOn w:val="1147"/>
    <w:next w:val="1147"/>
    <w:link w:val="974"/>
    <w:uiPriority w:val="9"/>
    <w:unhideWhenUsed/>
    <w:qFormat/>
    <w:pPr>
      <w:keepLines/>
      <w:keepNext/>
      <w:spacing w:before="320" w:after="200"/>
      <w:outlineLvl w:val="2"/>
    </w:pPr>
    <w:rPr>
      <w:rFonts w:ascii="Arial" w:hAnsi="Arial" w:eastAsia="Arial" w:cs="Arial"/>
      <w:sz w:val="30"/>
      <w:szCs w:val="30"/>
    </w:rPr>
  </w:style>
  <w:style w:type="character" w:styleId="974">
    <w:name w:val="Heading 3 Char"/>
    <w:link w:val="973"/>
    <w:uiPriority w:val="9"/>
    <w:rPr>
      <w:rFonts w:ascii="Arial" w:hAnsi="Arial" w:eastAsia="Arial" w:cs="Arial"/>
      <w:sz w:val="30"/>
      <w:szCs w:val="30"/>
    </w:rPr>
  </w:style>
  <w:style w:type="paragraph" w:styleId="975">
    <w:name w:val="Heading 4"/>
    <w:basedOn w:val="1147"/>
    <w:next w:val="1147"/>
    <w:link w:val="976"/>
    <w:uiPriority w:val="9"/>
    <w:unhideWhenUsed/>
    <w:qFormat/>
    <w:pPr>
      <w:keepLines/>
      <w:keepNext/>
      <w:spacing w:before="320" w:after="200"/>
      <w:outlineLvl w:val="3"/>
    </w:pPr>
    <w:rPr>
      <w:rFonts w:ascii="Arial" w:hAnsi="Arial" w:eastAsia="Arial" w:cs="Arial"/>
      <w:b/>
      <w:bCs/>
      <w:sz w:val="26"/>
      <w:szCs w:val="26"/>
    </w:rPr>
  </w:style>
  <w:style w:type="character" w:styleId="976">
    <w:name w:val="Heading 4 Char"/>
    <w:link w:val="975"/>
    <w:uiPriority w:val="9"/>
    <w:rPr>
      <w:rFonts w:ascii="Arial" w:hAnsi="Arial" w:eastAsia="Arial" w:cs="Arial"/>
      <w:b/>
      <w:bCs/>
      <w:sz w:val="26"/>
      <w:szCs w:val="26"/>
    </w:rPr>
  </w:style>
  <w:style w:type="paragraph" w:styleId="977">
    <w:name w:val="Heading 5"/>
    <w:basedOn w:val="1147"/>
    <w:next w:val="1147"/>
    <w:link w:val="978"/>
    <w:uiPriority w:val="9"/>
    <w:unhideWhenUsed/>
    <w:qFormat/>
    <w:pPr>
      <w:keepLines/>
      <w:keepNext/>
      <w:spacing w:before="320" w:after="200"/>
      <w:outlineLvl w:val="4"/>
    </w:pPr>
    <w:rPr>
      <w:rFonts w:ascii="Arial" w:hAnsi="Arial" w:eastAsia="Arial" w:cs="Arial"/>
      <w:b/>
      <w:bCs/>
      <w:sz w:val="24"/>
      <w:szCs w:val="24"/>
    </w:rPr>
  </w:style>
  <w:style w:type="character" w:styleId="978">
    <w:name w:val="Heading 5 Char"/>
    <w:link w:val="977"/>
    <w:uiPriority w:val="9"/>
    <w:rPr>
      <w:rFonts w:ascii="Arial" w:hAnsi="Arial" w:eastAsia="Arial" w:cs="Arial"/>
      <w:b/>
      <w:bCs/>
      <w:sz w:val="24"/>
      <w:szCs w:val="24"/>
    </w:rPr>
  </w:style>
  <w:style w:type="paragraph" w:styleId="979">
    <w:name w:val="Heading 6"/>
    <w:basedOn w:val="1147"/>
    <w:next w:val="1147"/>
    <w:link w:val="980"/>
    <w:uiPriority w:val="9"/>
    <w:unhideWhenUsed/>
    <w:qFormat/>
    <w:pPr>
      <w:keepLines/>
      <w:keepNext/>
      <w:spacing w:before="320" w:after="200"/>
      <w:outlineLvl w:val="5"/>
    </w:pPr>
    <w:rPr>
      <w:rFonts w:ascii="Arial" w:hAnsi="Arial" w:eastAsia="Arial" w:cs="Arial"/>
      <w:b/>
      <w:bCs/>
      <w:sz w:val="22"/>
      <w:szCs w:val="22"/>
    </w:rPr>
  </w:style>
  <w:style w:type="character" w:styleId="980">
    <w:name w:val="Heading 6 Char"/>
    <w:link w:val="979"/>
    <w:uiPriority w:val="9"/>
    <w:rPr>
      <w:rFonts w:ascii="Arial" w:hAnsi="Arial" w:eastAsia="Arial" w:cs="Arial"/>
      <w:b/>
      <w:bCs/>
      <w:sz w:val="22"/>
      <w:szCs w:val="22"/>
    </w:rPr>
  </w:style>
  <w:style w:type="paragraph" w:styleId="981">
    <w:name w:val="Heading 7"/>
    <w:basedOn w:val="1147"/>
    <w:next w:val="1147"/>
    <w:link w:val="982"/>
    <w:uiPriority w:val="9"/>
    <w:unhideWhenUsed/>
    <w:qFormat/>
    <w:pPr>
      <w:keepLines/>
      <w:keepNext/>
      <w:spacing w:before="320" w:after="200"/>
      <w:outlineLvl w:val="6"/>
    </w:pPr>
    <w:rPr>
      <w:rFonts w:ascii="Arial" w:hAnsi="Arial" w:eastAsia="Arial" w:cs="Arial"/>
      <w:b/>
      <w:bCs/>
      <w:i/>
      <w:iCs/>
      <w:sz w:val="22"/>
      <w:szCs w:val="22"/>
    </w:rPr>
  </w:style>
  <w:style w:type="character" w:styleId="982">
    <w:name w:val="Heading 7 Char"/>
    <w:link w:val="981"/>
    <w:uiPriority w:val="9"/>
    <w:rPr>
      <w:rFonts w:ascii="Arial" w:hAnsi="Arial" w:eastAsia="Arial" w:cs="Arial"/>
      <w:b/>
      <w:bCs/>
      <w:i/>
      <w:iCs/>
      <w:sz w:val="22"/>
      <w:szCs w:val="22"/>
    </w:rPr>
  </w:style>
  <w:style w:type="paragraph" w:styleId="983">
    <w:name w:val="Heading 8"/>
    <w:basedOn w:val="1147"/>
    <w:next w:val="1147"/>
    <w:link w:val="984"/>
    <w:uiPriority w:val="9"/>
    <w:unhideWhenUsed/>
    <w:qFormat/>
    <w:pPr>
      <w:keepLines/>
      <w:keepNext/>
      <w:spacing w:before="320" w:after="200"/>
      <w:outlineLvl w:val="7"/>
    </w:pPr>
    <w:rPr>
      <w:rFonts w:ascii="Arial" w:hAnsi="Arial" w:eastAsia="Arial" w:cs="Arial"/>
      <w:i/>
      <w:iCs/>
      <w:sz w:val="22"/>
      <w:szCs w:val="22"/>
    </w:rPr>
  </w:style>
  <w:style w:type="character" w:styleId="984">
    <w:name w:val="Heading 8 Char"/>
    <w:link w:val="983"/>
    <w:uiPriority w:val="9"/>
    <w:rPr>
      <w:rFonts w:ascii="Arial" w:hAnsi="Arial" w:eastAsia="Arial" w:cs="Arial"/>
      <w:i/>
      <w:iCs/>
      <w:sz w:val="22"/>
      <w:szCs w:val="22"/>
    </w:rPr>
  </w:style>
  <w:style w:type="paragraph" w:styleId="985">
    <w:name w:val="Heading 9"/>
    <w:basedOn w:val="1147"/>
    <w:next w:val="1147"/>
    <w:link w:val="986"/>
    <w:uiPriority w:val="9"/>
    <w:unhideWhenUsed/>
    <w:qFormat/>
    <w:pPr>
      <w:keepLines/>
      <w:keepNext/>
      <w:spacing w:before="320" w:after="200"/>
      <w:outlineLvl w:val="8"/>
    </w:pPr>
    <w:rPr>
      <w:rFonts w:ascii="Arial" w:hAnsi="Arial" w:eastAsia="Arial" w:cs="Arial"/>
      <w:i/>
      <w:iCs/>
      <w:sz w:val="21"/>
      <w:szCs w:val="21"/>
    </w:rPr>
  </w:style>
  <w:style w:type="character" w:styleId="986">
    <w:name w:val="Heading 9 Char"/>
    <w:link w:val="985"/>
    <w:uiPriority w:val="9"/>
    <w:rPr>
      <w:rFonts w:ascii="Arial" w:hAnsi="Arial" w:eastAsia="Arial" w:cs="Arial"/>
      <w:i/>
      <w:iCs/>
      <w:sz w:val="21"/>
      <w:szCs w:val="21"/>
    </w:rPr>
  </w:style>
  <w:style w:type="paragraph" w:styleId="987">
    <w:name w:val="List Paragraph"/>
    <w:basedOn w:val="1147"/>
    <w:uiPriority w:val="34"/>
    <w:qFormat/>
    <w:pPr>
      <w:contextualSpacing/>
      <w:ind w:left="720"/>
    </w:pPr>
  </w:style>
  <w:style w:type="paragraph" w:styleId="988">
    <w:name w:val="No Spacing"/>
    <w:uiPriority w:val="1"/>
    <w:qFormat/>
    <w:pPr>
      <w:spacing w:before="0" w:after="0" w:line="240" w:lineRule="auto"/>
    </w:pPr>
  </w:style>
  <w:style w:type="paragraph" w:styleId="989">
    <w:name w:val="Title"/>
    <w:basedOn w:val="1147"/>
    <w:next w:val="1147"/>
    <w:link w:val="990"/>
    <w:uiPriority w:val="10"/>
    <w:qFormat/>
    <w:pPr>
      <w:contextualSpacing/>
      <w:spacing w:before="300" w:after="200"/>
    </w:pPr>
    <w:rPr>
      <w:sz w:val="48"/>
      <w:szCs w:val="48"/>
    </w:rPr>
  </w:style>
  <w:style w:type="character" w:styleId="990">
    <w:name w:val="Title Char"/>
    <w:link w:val="989"/>
    <w:uiPriority w:val="10"/>
    <w:rPr>
      <w:sz w:val="48"/>
      <w:szCs w:val="48"/>
    </w:rPr>
  </w:style>
  <w:style w:type="paragraph" w:styleId="991">
    <w:name w:val="Subtitle"/>
    <w:basedOn w:val="1147"/>
    <w:next w:val="1147"/>
    <w:link w:val="992"/>
    <w:uiPriority w:val="11"/>
    <w:qFormat/>
    <w:pPr>
      <w:spacing w:before="200" w:after="200"/>
    </w:pPr>
    <w:rPr>
      <w:sz w:val="24"/>
      <w:szCs w:val="24"/>
    </w:rPr>
  </w:style>
  <w:style w:type="character" w:styleId="992">
    <w:name w:val="Subtitle Char"/>
    <w:link w:val="991"/>
    <w:uiPriority w:val="11"/>
    <w:rPr>
      <w:sz w:val="24"/>
      <w:szCs w:val="24"/>
    </w:rPr>
  </w:style>
  <w:style w:type="paragraph" w:styleId="993">
    <w:name w:val="Quote"/>
    <w:basedOn w:val="1147"/>
    <w:next w:val="1147"/>
    <w:link w:val="994"/>
    <w:uiPriority w:val="29"/>
    <w:qFormat/>
    <w:pPr>
      <w:ind w:left="720" w:right="720"/>
    </w:pPr>
    <w:rPr>
      <w:i/>
    </w:rPr>
  </w:style>
  <w:style w:type="character" w:styleId="994">
    <w:name w:val="Quote Char"/>
    <w:link w:val="993"/>
    <w:uiPriority w:val="29"/>
    <w:rPr>
      <w:i/>
    </w:rPr>
  </w:style>
  <w:style w:type="paragraph" w:styleId="995">
    <w:name w:val="Intense Quote"/>
    <w:basedOn w:val="1147"/>
    <w:next w:val="1147"/>
    <w:link w:val="9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6">
    <w:name w:val="Intense Quote Char"/>
    <w:link w:val="995"/>
    <w:uiPriority w:val="30"/>
    <w:rPr>
      <w:i/>
    </w:rPr>
  </w:style>
  <w:style w:type="paragraph" w:styleId="997">
    <w:name w:val="Header"/>
    <w:basedOn w:val="1147"/>
    <w:link w:val="998"/>
    <w:uiPriority w:val="99"/>
    <w:unhideWhenUsed/>
    <w:pPr>
      <w:spacing w:after="0" w:line="240" w:lineRule="auto"/>
      <w:tabs>
        <w:tab w:val="center" w:pos="7143" w:leader="none"/>
        <w:tab w:val="right" w:pos="14287" w:leader="none"/>
      </w:tabs>
    </w:pPr>
  </w:style>
  <w:style w:type="character" w:styleId="998">
    <w:name w:val="Header Char"/>
    <w:link w:val="997"/>
    <w:uiPriority w:val="99"/>
  </w:style>
  <w:style w:type="paragraph" w:styleId="999">
    <w:name w:val="Footer"/>
    <w:basedOn w:val="1147"/>
    <w:link w:val="1002"/>
    <w:uiPriority w:val="99"/>
    <w:unhideWhenUsed/>
    <w:pPr>
      <w:spacing w:after="0" w:line="240" w:lineRule="auto"/>
      <w:tabs>
        <w:tab w:val="center" w:pos="7143" w:leader="none"/>
        <w:tab w:val="right" w:pos="14287" w:leader="none"/>
      </w:tabs>
    </w:pPr>
  </w:style>
  <w:style w:type="character" w:styleId="1000">
    <w:name w:val="Footer Char"/>
    <w:link w:val="999"/>
    <w:uiPriority w:val="99"/>
  </w:style>
  <w:style w:type="paragraph" w:styleId="1001">
    <w:name w:val="Caption"/>
    <w:basedOn w:val="1147"/>
    <w:next w:val="1147"/>
    <w:uiPriority w:val="35"/>
    <w:semiHidden/>
    <w:unhideWhenUsed/>
    <w:qFormat/>
    <w:pPr>
      <w:spacing w:line="276" w:lineRule="auto"/>
    </w:pPr>
    <w:rPr>
      <w:b/>
      <w:bCs/>
      <w:color w:val="4f81bd" w:themeColor="accent1"/>
      <w:sz w:val="18"/>
      <w:szCs w:val="18"/>
    </w:rPr>
  </w:style>
  <w:style w:type="character" w:styleId="1002">
    <w:name w:val="Caption Char"/>
    <w:basedOn w:val="1001"/>
    <w:link w:val="999"/>
    <w:uiPriority w:val="99"/>
  </w:style>
  <w:style w:type="table" w:styleId="10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0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1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1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1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1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1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1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1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1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1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1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2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2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2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2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2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3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3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3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3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3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3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4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4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4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4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4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4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4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4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4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4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5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5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5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5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5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5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5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5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6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6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6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6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6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6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7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7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7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7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7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7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7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7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8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8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8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8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8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8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8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9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9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9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9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9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0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0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0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0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0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0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0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0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0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2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2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2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2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2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2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2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2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2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29">
    <w:name w:val="Hyperlink"/>
    <w:uiPriority w:val="99"/>
    <w:unhideWhenUsed/>
    <w:rPr>
      <w:color w:val="0000ff" w:themeColor="hyperlink"/>
      <w:u w:val="single"/>
    </w:rPr>
  </w:style>
  <w:style w:type="paragraph" w:styleId="1130">
    <w:name w:val="footnote text"/>
    <w:basedOn w:val="1147"/>
    <w:link w:val="1131"/>
    <w:uiPriority w:val="99"/>
    <w:semiHidden/>
    <w:unhideWhenUsed/>
    <w:pPr>
      <w:spacing w:after="40" w:line="240" w:lineRule="auto"/>
    </w:pPr>
    <w:rPr>
      <w:sz w:val="18"/>
    </w:rPr>
  </w:style>
  <w:style w:type="character" w:styleId="1131">
    <w:name w:val="Footnote Text Char"/>
    <w:link w:val="1130"/>
    <w:uiPriority w:val="99"/>
    <w:rPr>
      <w:sz w:val="18"/>
    </w:rPr>
  </w:style>
  <w:style w:type="character" w:styleId="1132">
    <w:name w:val="footnote reference"/>
    <w:uiPriority w:val="99"/>
    <w:unhideWhenUsed/>
    <w:rPr>
      <w:vertAlign w:val="superscript"/>
    </w:rPr>
  </w:style>
  <w:style w:type="paragraph" w:styleId="1133">
    <w:name w:val="endnote text"/>
    <w:basedOn w:val="1147"/>
    <w:link w:val="1134"/>
    <w:uiPriority w:val="99"/>
    <w:semiHidden/>
    <w:unhideWhenUsed/>
    <w:pPr>
      <w:spacing w:after="0" w:line="240" w:lineRule="auto"/>
    </w:pPr>
    <w:rPr>
      <w:sz w:val="20"/>
    </w:rPr>
  </w:style>
  <w:style w:type="character" w:styleId="1134">
    <w:name w:val="Endnote Text Char"/>
    <w:link w:val="1133"/>
    <w:uiPriority w:val="99"/>
    <w:rPr>
      <w:sz w:val="20"/>
    </w:rPr>
  </w:style>
  <w:style w:type="character" w:styleId="1135">
    <w:name w:val="endnote reference"/>
    <w:uiPriority w:val="99"/>
    <w:semiHidden/>
    <w:unhideWhenUsed/>
    <w:rPr>
      <w:vertAlign w:val="superscript"/>
    </w:rPr>
  </w:style>
  <w:style w:type="paragraph" w:styleId="1136">
    <w:name w:val="toc 1"/>
    <w:basedOn w:val="1147"/>
    <w:next w:val="1147"/>
    <w:uiPriority w:val="39"/>
    <w:unhideWhenUsed/>
    <w:pPr>
      <w:ind w:left="0" w:right="0" w:firstLine="0"/>
      <w:spacing w:after="57"/>
    </w:pPr>
  </w:style>
  <w:style w:type="paragraph" w:styleId="1137">
    <w:name w:val="toc 2"/>
    <w:basedOn w:val="1147"/>
    <w:next w:val="1147"/>
    <w:uiPriority w:val="39"/>
    <w:unhideWhenUsed/>
    <w:pPr>
      <w:ind w:left="283" w:right="0" w:firstLine="0"/>
      <w:spacing w:after="57"/>
    </w:pPr>
  </w:style>
  <w:style w:type="paragraph" w:styleId="1138">
    <w:name w:val="toc 3"/>
    <w:basedOn w:val="1147"/>
    <w:next w:val="1147"/>
    <w:uiPriority w:val="39"/>
    <w:unhideWhenUsed/>
    <w:pPr>
      <w:ind w:left="567" w:right="0" w:firstLine="0"/>
      <w:spacing w:after="57"/>
    </w:pPr>
  </w:style>
  <w:style w:type="paragraph" w:styleId="1139">
    <w:name w:val="toc 4"/>
    <w:basedOn w:val="1147"/>
    <w:next w:val="1147"/>
    <w:uiPriority w:val="39"/>
    <w:unhideWhenUsed/>
    <w:pPr>
      <w:ind w:left="850" w:right="0" w:firstLine="0"/>
      <w:spacing w:after="57"/>
    </w:pPr>
  </w:style>
  <w:style w:type="paragraph" w:styleId="1140">
    <w:name w:val="toc 5"/>
    <w:basedOn w:val="1147"/>
    <w:next w:val="1147"/>
    <w:uiPriority w:val="39"/>
    <w:unhideWhenUsed/>
    <w:pPr>
      <w:ind w:left="1134" w:right="0" w:firstLine="0"/>
      <w:spacing w:after="57"/>
    </w:pPr>
  </w:style>
  <w:style w:type="paragraph" w:styleId="1141">
    <w:name w:val="toc 6"/>
    <w:basedOn w:val="1147"/>
    <w:next w:val="1147"/>
    <w:uiPriority w:val="39"/>
    <w:unhideWhenUsed/>
    <w:pPr>
      <w:ind w:left="1417" w:right="0" w:firstLine="0"/>
      <w:spacing w:after="57"/>
    </w:pPr>
  </w:style>
  <w:style w:type="paragraph" w:styleId="1142">
    <w:name w:val="toc 7"/>
    <w:basedOn w:val="1147"/>
    <w:next w:val="1147"/>
    <w:uiPriority w:val="39"/>
    <w:unhideWhenUsed/>
    <w:pPr>
      <w:ind w:left="1701" w:right="0" w:firstLine="0"/>
      <w:spacing w:after="57"/>
    </w:pPr>
  </w:style>
  <w:style w:type="paragraph" w:styleId="1143">
    <w:name w:val="toc 8"/>
    <w:basedOn w:val="1147"/>
    <w:next w:val="1147"/>
    <w:uiPriority w:val="39"/>
    <w:unhideWhenUsed/>
    <w:pPr>
      <w:ind w:left="1984" w:right="0" w:firstLine="0"/>
      <w:spacing w:after="57"/>
    </w:pPr>
  </w:style>
  <w:style w:type="paragraph" w:styleId="1144">
    <w:name w:val="toc 9"/>
    <w:basedOn w:val="1147"/>
    <w:next w:val="1147"/>
    <w:uiPriority w:val="39"/>
    <w:unhideWhenUsed/>
    <w:pPr>
      <w:ind w:left="2268" w:right="0" w:firstLine="0"/>
      <w:spacing w:after="57"/>
    </w:pPr>
  </w:style>
  <w:style w:type="paragraph" w:styleId="1145">
    <w:name w:val="TOC Heading"/>
    <w:uiPriority w:val="39"/>
    <w:unhideWhenUsed/>
  </w:style>
  <w:style w:type="paragraph" w:styleId="1146">
    <w:name w:val="table of figures"/>
    <w:basedOn w:val="1147"/>
    <w:next w:val="1147"/>
    <w:uiPriority w:val="99"/>
    <w:unhideWhenUsed/>
    <w:pPr>
      <w:spacing w:after="0" w:afterAutospacing="0"/>
    </w:pPr>
  </w:style>
  <w:style w:type="paragraph" w:styleId="1147" w:default="1">
    <w:name w:val="Normal"/>
    <w:next w:val="1147"/>
    <w:link w:val="1147"/>
    <w:qFormat/>
    <w:pPr>
      <w:jc w:val="both"/>
      <w:widowControl w:val="off"/>
    </w:pPr>
    <w:rPr>
      <w:sz w:val="21"/>
      <w:szCs w:val="24"/>
      <w:lang w:val="en-US" w:eastAsia="zh-CN" w:bidi="ar-SA"/>
    </w:rPr>
  </w:style>
  <w:style w:type="paragraph" w:styleId="1148">
    <w:name w:val="标题 1"/>
    <w:basedOn w:val="1147"/>
    <w:next w:val="1147"/>
    <w:link w:val="1159"/>
    <w:qFormat/>
    <w:pPr>
      <w:jc w:val="center"/>
      <w:keepLines/>
      <w:keepNext/>
      <w:spacing w:before="240" w:after="120" w:line="300" w:lineRule="auto"/>
      <w:outlineLvl w:val="0"/>
    </w:pPr>
    <w:rPr>
      <w:rFonts w:ascii="宋体"/>
      <w:b/>
      <w:sz w:val="32"/>
      <w:szCs w:val="20"/>
    </w:rPr>
  </w:style>
  <w:style w:type="paragraph" w:styleId="1149">
    <w:name w:val="标题 2"/>
    <w:basedOn w:val="1147"/>
    <w:next w:val="1161"/>
    <w:link w:val="1160"/>
    <w:qFormat/>
    <w:pPr>
      <w:jc w:val="center"/>
      <w:keepLines/>
      <w:keepNext/>
      <w:spacing w:before="120" w:line="300" w:lineRule="auto"/>
      <w:outlineLvl w:val="1"/>
    </w:pPr>
    <w:rPr>
      <w:rFonts w:ascii="Arial" w:hAnsi="Arial" w:eastAsia="黑体"/>
      <w:b/>
      <w:sz w:val="30"/>
      <w:szCs w:val="20"/>
    </w:rPr>
  </w:style>
  <w:style w:type="paragraph" w:styleId="1150">
    <w:name w:val="标题 3"/>
    <w:basedOn w:val="1147"/>
    <w:next w:val="1147"/>
    <w:link w:val="1163"/>
    <w:qFormat/>
    <w:pPr>
      <w:jc w:val="left"/>
      <w:keepLines/>
      <w:keepNext/>
      <w:spacing w:before="360" w:after="120"/>
      <w:outlineLvl w:val="2"/>
    </w:pPr>
    <w:rPr>
      <w:rFonts w:ascii="宋体"/>
      <w:b/>
      <w:sz w:val="24"/>
      <w:szCs w:val="20"/>
      <w:u w:val="single"/>
    </w:rPr>
  </w:style>
  <w:style w:type="paragraph" w:styleId="1151">
    <w:name w:val="标题 4"/>
    <w:basedOn w:val="1147"/>
    <w:next w:val="1147"/>
    <w:link w:val="1164"/>
    <w:qFormat/>
    <w:pPr>
      <w:keepLines/>
      <w:keepNext/>
      <w:spacing w:before="280" w:after="290" w:line="376" w:lineRule="atLeast"/>
      <w:outlineLvl w:val="3"/>
    </w:pPr>
    <w:rPr>
      <w:rFonts w:ascii="Arial" w:hAnsi="Arial" w:eastAsia="黑体"/>
      <w:b/>
      <w:sz w:val="28"/>
      <w:szCs w:val="20"/>
    </w:rPr>
  </w:style>
  <w:style w:type="paragraph" w:styleId="1152">
    <w:name w:val="标题 5"/>
    <w:basedOn w:val="1147"/>
    <w:next w:val="1147"/>
    <w:link w:val="1165"/>
    <w:qFormat/>
    <w:pPr>
      <w:keepLines/>
      <w:keepNext/>
      <w:spacing w:before="280" w:after="290" w:line="376" w:lineRule="atLeast"/>
      <w:outlineLvl w:val="4"/>
    </w:pPr>
    <w:rPr>
      <w:b/>
      <w:sz w:val="28"/>
      <w:szCs w:val="20"/>
    </w:rPr>
  </w:style>
  <w:style w:type="paragraph" w:styleId="1153">
    <w:name w:val="标题 6"/>
    <w:basedOn w:val="1147"/>
    <w:next w:val="1147"/>
    <w:link w:val="1166"/>
    <w:qFormat/>
    <w:pPr>
      <w:keepLines/>
      <w:keepNext/>
      <w:spacing w:before="240" w:after="64" w:line="320" w:lineRule="atLeast"/>
      <w:outlineLvl w:val="5"/>
    </w:pPr>
    <w:rPr>
      <w:rFonts w:ascii="Arial" w:hAnsi="Arial" w:eastAsia="黑体"/>
      <w:b/>
      <w:sz w:val="24"/>
      <w:szCs w:val="20"/>
    </w:rPr>
  </w:style>
  <w:style w:type="paragraph" w:styleId="1154">
    <w:name w:val="标题 7"/>
    <w:basedOn w:val="1147"/>
    <w:next w:val="1147"/>
    <w:link w:val="1167"/>
    <w:qFormat/>
    <w:pPr>
      <w:keepLines/>
      <w:keepNext/>
      <w:spacing w:before="240" w:after="64" w:line="320" w:lineRule="atLeast"/>
      <w:outlineLvl w:val="6"/>
    </w:pPr>
    <w:rPr>
      <w:b/>
      <w:sz w:val="24"/>
      <w:szCs w:val="20"/>
    </w:rPr>
  </w:style>
  <w:style w:type="paragraph" w:styleId="1155">
    <w:name w:val="标题 8"/>
    <w:basedOn w:val="1147"/>
    <w:next w:val="1147"/>
    <w:link w:val="1168"/>
    <w:qFormat/>
    <w:pPr>
      <w:keepLines/>
      <w:keepNext/>
      <w:spacing w:before="240" w:after="64" w:line="320" w:lineRule="atLeast"/>
      <w:outlineLvl w:val="7"/>
    </w:pPr>
    <w:rPr>
      <w:rFonts w:ascii="Arial" w:hAnsi="Arial" w:eastAsia="黑体"/>
      <w:sz w:val="24"/>
      <w:szCs w:val="20"/>
    </w:rPr>
  </w:style>
  <w:style w:type="paragraph" w:styleId="1156">
    <w:name w:val="标题 9"/>
    <w:basedOn w:val="1147"/>
    <w:next w:val="1147"/>
    <w:link w:val="1169"/>
    <w:qFormat/>
    <w:pPr>
      <w:keepLines/>
      <w:keepNext/>
      <w:spacing w:before="240" w:after="64" w:line="320" w:lineRule="atLeast"/>
      <w:outlineLvl w:val="8"/>
    </w:pPr>
    <w:rPr>
      <w:rFonts w:ascii="Arial" w:hAnsi="Arial" w:eastAsia="黑体"/>
      <w:szCs w:val="20"/>
    </w:rPr>
  </w:style>
  <w:style w:type="character" w:styleId="1157">
    <w:name w:val="默认段落字体"/>
    <w:next w:val="1157"/>
    <w:link w:val="1147"/>
    <w:uiPriority w:val="1"/>
    <w:unhideWhenUsed/>
    <w:qFormat/>
  </w:style>
  <w:style w:type="table" w:styleId="1158">
    <w:name w:val="普通表格"/>
    <w:next w:val="1158"/>
    <w:link w:val="1147"/>
    <w:uiPriority w:val="99"/>
    <w:unhideWhenUsed/>
    <w:qFormat/>
    <w:tblPr/>
  </w:style>
  <w:style w:type="character" w:styleId="1159">
    <w:name w:val="标题 1 字符"/>
    <w:next w:val="1159"/>
    <w:link w:val="1148"/>
    <w:qFormat/>
    <w:rPr>
      <w:rFonts w:ascii="宋体"/>
      <w:b/>
      <w:sz w:val="32"/>
    </w:rPr>
  </w:style>
  <w:style w:type="character" w:styleId="1160">
    <w:name w:val="标题 2 字符"/>
    <w:next w:val="1160"/>
    <w:link w:val="1149"/>
    <w:qFormat/>
    <w:rPr>
      <w:rFonts w:ascii="Arial" w:hAnsi="Arial" w:eastAsia="黑体"/>
      <w:b/>
      <w:sz w:val="30"/>
      <w:lang w:val="en-US" w:eastAsia="zh-CN" w:bidi="ar-SA"/>
    </w:rPr>
  </w:style>
  <w:style w:type="paragraph" w:styleId="1161">
    <w:name w:val="正文缩进"/>
    <w:basedOn w:val="1147"/>
    <w:next w:val="1161"/>
    <w:link w:val="1162"/>
    <w:qFormat/>
    <w:pPr>
      <w:ind w:firstLine="420"/>
      <w:jc w:val="left"/>
    </w:pPr>
    <w:rPr>
      <w:rFonts w:ascii="宋体"/>
      <w:sz w:val="24"/>
    </w:rPr>
  </w:style>
  <w:style w:type="character" w:styleId="1162">
    <w:name w:val="正文缩进 字符"/>
    <w:next w:val="1162"/>
    <w:link w:val="1161"/>
    <w:qFormat/>
    <w:rPr>
      <w:rFonts w:ascii="宋体" w:eastAsia="宋体"/>
      <w:sz w:val="24"/>
      <w:szCs w:val="24"/>
      <w:lang w:val="en-US" w:eastAsia="zh-CN" w:bidi="ar-SA"/>
    </w:rPr>
  </w:style>
  <w:style w:type="character" w:styleId="1163">
    <w:name w:val="标题 3 字符"/>
    <w:next w:val="1163"/>
    <w:link w:val="1150"/>
    <w:qFormat/>
    <w:rPr>
      <w:rFonts w:ascii="宋体" w:eastAsia="宋体"/>
      <w:b/>
      <w:sz w:val="24"/>
      <w:u w:val="single"/>
      <w:lang w:val="en-US" w:eastAsia="zh-CN" w:bidi="ar-SA"/>
    </w:rPr>
  </w:style>
  <w:style w:type="character" w:styleId="1164">
    <w:name w:val="标题 4 字符"/>
    <w:next w:val="1164"/>
    <w:link w:val="1151"/>
    <w:qFormat/>
    <w:rPr>
      <w:rFonts w:ascii="Arial" w:hAnsi="Arial" w:eastAsia="黑体"/>
      <w:b/>
      <w:sz w:val="28"/>
    </w:rPr>
  </w:style>
  <w:style w:type="character" w:styleId="1165">
    <w:name w:val="标题 5 字符"/>
    <w:next w:val="1165"/>
    <w:link w:val="1152"/>
    <w:qFormat/>
    <w:rPr>
      <w:b/>
      <w:sz w:val="28"/>
    </w:rPr>
  </w:style>
  <w:style w:type="character" w:styleId="1166">
    <w:name w:val="标题 6 字符"/>
    <w:next w:val="1166"/>
    <w:link w:val="1153"/>
    <w:qFormat/>
    <w:rPr>
      <w:rFonts w:ascii="Arial" w:hAnsi="Arial" w:eastAsia="黑体"/>
      <w:b/>
      <w:sz w:val="24"/>
    </w:rPr>
  </w:style>
  <w:style w:type="character" w:styleId="1167">
    <w:name w:val="标题 7 字符"/>
    <w:next w:val="1167"/>
    <w:link w:val="1154"/>
    <w:qFormat/>
    <w:rPr>
      <w:b/>
      <w:sz w:val="24"/>
    </w:rPr>
  </w:style>
  <w:style w:type="character" w:styleId="1168">
    <w:name w:val="标题 8 字符"/>
    <w:next w:val="1168"/>
    <w:link w:val="1155"/>
    <w:qFormat/>
    <w:rPr>
      <w:rFonts w:ascii="Arial" w:hAnsi="Arial" w:eastAsia="黑体"/>
      <w:sz w:val="24"/>
    </w:rPr>
  </w:style>
  <w:style w:type="character" w:styleId="1169">
    <w:name w:val="标题 9 字符"/>
    <w:next w:val="1169"/>
    <w:link w:val="1156"/>
    <w:qFormat/>
    <w:rPr>
      <w:rFonts w:ascii="Arial" w:hAnsi="Arial" w:eastAsia="黑体"/>
      <w:sz w:val="21"/>
    </w:rPr>
  </w:style>
  <w:style w:type="paragraph" w:styleId="1170">
    <w:name w:val="目录 7"/>
    <w:basedOn w:val="1147"/>
    <w:next w:val="1147"/>
    <w:link w:val="1147"/>
    <w:qFormat/>
    <w:pPr>
      <w:ind w:left="2520"/>
    </w:pPr>
  </w:style>
  <w:style w:type="paragraph" w:styleId="1171">
    <w:name w:val="题注"/>
    <w:basedOn w:val="1147"/>
    <w:next w:val="1147"/>
    <w:link w:val="1147"/>
    <w:qFormat/>
    <w:pPr>
      <w:spacing w:line="480" w:lineRule="auto"/>
    </w:pPr>
    <w:rPr>
      <w:rFonts w:ascii="华文中宋" w:hAnsi="华文中宋" w:eastAsia="华文中宋"/>
      <w:sz w:val="36"/>
      <w:szCs w:val="20"/>
    </w:rPr>
  </w:style>
  <w:style w:type="paragraph" w:styleId="1172">
    <w:name w:val="文档结构图"/>
    <w:basedOn w:val="1147"/>
    <w:next w:val="1172"/>
    <w:link w:val="1173"/>
    <w:qFormat/>
    <w:pPr>
      <w:shd w:val="clear" w:color="auto" w:fill="000080"/>
    </w:pPr>
  </w:style>
  <w:style w:type="character" w:styleId="1173">
    <w:name w:val="文档结构图 字符"/>
    <w:next w:val="1173"/>
    <w:link w:val="1172"/>
    <w:qFormat/>
    <w:rPr>
      <w:sz w:val="21"/>
      <w:szCs w:val="24"/>
      <w:shd w:val="clear" w:color="auto" w:fill="000080"/>
    </w:rPr>
  </w:style>
  <w:style w:type="paragraph" w:styleId="1174">
    <w:name w:val="批注文字"/>
    <w:basedOn w:val="1147"/>
    <w:next w:val="1174"/>
    <w:link w:val="1175"/>
    <w:uiPriority w:val="99"/>
    <w:qFormat/>
    <w:pPr>
      <w:jc w:val="left"/>
    </w:pPr>
  </w:style>
  <w:style w:type="character" w:styleId="1175">
    <w:name w:val="批注文字 字符1"/>
    <w:next w:val="1175"/>
    <w:link w:val="1174"/>
    <w:uiPriority w:val="99"/>
    <w:qFormat/>
    <w:rPr>
      <w:sz w:val="21"/>
      <w:szCs w:val="24"/>
    </w:rPr>
  </w:style>
  <w:style w:type="paragraph" w:styleId="1176">
    <w:name w:val="正文文本 3"/>
    <w:basedOn w:val="1147"/>
    <w:next w:val="1176"/>
    <w:link w:val="1177"/>
    <w:qFormat/>
    <w:pPr>
      <w:spacing w:after="120"/>
    </w:pPr>
    <w:rPr>
      <w:sz w:val="16"/>
      <w:szCs w:val="16"/>
    </w:rPr>
  </w:style>
  <w:style w:type="character" w:styleId="1177">
    <w:name w:val="正文文本 3 字符"/>
    <w:next w:val="1177"/>
    <w:link w:val="1176"/>
    <w:qFormat/>
    <w:rPr>
      <w:sz w:val="16"/>
      <w:szCs w:val="16"/>
    </w:rPr>
  </w:style>
  <w:style w:type="paragraph" w:styleId="1178">
    <w:name w:val="正文文本"/>
    <w:basedOn w:val="1147"/>
    <w:next w:val="1178"/>
    <w:link w:val="1179"/>
    <w:qFormat/>
    <w:pPr>
      <w:spacing w:before="120" w:line="22" w:lineRule="atLeast"/>
      <w:tabs>
        <w:tab w:val="left" w:pos="567" w:leader="none"/>
      </w:tabs>
    </w:pPr>
    <w:rPr>
      <w:rFonts w:ascii="宋体" w:hAnsi="宋体"/>
      <w:sz w:val="24"/>
    </w:rPr>
  </w:style>
  <w:style w:type="character" w:styleId="1179">
    <w:name w:val="正文文本 字符"/>
    <w:next w:val="1179"/>
    <w:link w:val="1178"/>
    <w:qFormat/>
    <w:rPr>
      <w:rFonts w:ascii="宋体" w:hAnsi="宋体"/>
      <w:sz w:val="24"/>
      <w:szCs w:val="24"/>
    </w:rPr>
  </w:style>
  <w:style w:type="paragraph" w:styleId="1180">
    <w:name w:val="正文文本缩进"/>
    <w:basedOn w:val="1147"/>
    <w:next w:val="1180"/>
    <w:link w:val="1181"/>
    <w:qFormat/>
    <w:pPr>
      <w:ind w:firstLine="570"/>
      <w:spacing w:line="360" w:lineRule="auto"/>
    </w:pPr>
    <w:rPr>
      <w:sz w:val="24"/>
    </w:rPr>
  </w:style>
  <w:style w:type="character" w:styleId="1181">
    <w:name w:val="正文文本缩进 字符"/>
    <w:next w:val="1181"/>
    <w:link w:val="1180"/>
    <w:qFormat/>
    <w:rPr>
      <w:rFonts w:eastAsia="宋体"/>
      <w:sz w:val="24"/>
      <w:szCs w:val="24"/>
      <w:lang w:val="en-US" w:eastAsia="zh-CN" w:bidi="ar-SA"/>
    </w:rPr>
  </w:style>
  <w:style w:type="paragraph" w:styleId="1182">
    <w:name w:val="列表 2"/>
    <w:basedOn w:val="1147"/>
    <w:next w:val="1182"/>
    <w:link w:val="1147"/>
    <w:qFormat/>
    <w:pPr>
      <w:ind w:left="100" w:hanging="200"/>
    </w:pPr>
  </w:style>
  <w:style w:type="paragraph" w:styleId="1183">
    <w:name w:val="文本块"/>
    <w:basedOn w:val="1147"/>
    <w:next w:val="1183"/>
    <w:link w:val="1147"/>
    <w:qFormat/>
    <w:pPr>
      <w:ind w:left="480" w:right="-341" w:firstLine="513"/>
      <w:widowControl/>
    </w:pPr>
    <w:rPr>
      <w:sz w:val="24"/>
      <w:szCs w:val="20"/>
    </w:rPr>
  </w:style>
  <w:style w:type="paragraph" w:styleId="1184">
    <w:name w:val="目录 5"/>
    <w:basedOn w:val="1147"/>
    <w:next w:val="1147"/>
    <w:link w:val="1147"/>
    <w:qFormat/>
    <w:pPr>
      <w:ind w:left="1680"/>
    </w:pPr>
  </w:style>
  <w:style w:type="paragraph" w:styleId="1185">
    <w:name w:val="目录 3"/>
    <w:basedOn w:val="1147"/>
    <w:next w:val="1147"/>
    <w:link w:val="1147"/>
    <w:uiPriority w:val="39"/>
    <w:qFormat/>
    <w:pPr>
      <w:ind w:left="840"/>
    </w:pPr>
  </w:style>
  <w:style w:type="paragraph" w:styleId="1186">
    <w:name w:val="纯文本"/>
    <w:basedOn w:val="1147"/>
    <w:next w:val="1186"/>
    <w:link w:val="1187"/>
    <w:qFormat/>
    <w:rPr>
      <w:rFonts w:hint="eastAsia" w:ascii="宋体" w:hAnsi="Courier New"/>
      <w:szCs w:val="20"/>
    </w:rPr>
  </w:style>
  <w:style w:type="character" w:styleId="1187">
    <w:name w:val="纯文本 字符2"/>
    <w:next w:val="1187"/>
    <w:link w:val="1186"/>
    <w:qFormat/>
    <w:rPr>
      <w:rFonts w:hint="eastAsia" w:ascii="宋体" w:hAnsi="Courier New" w:eastAsia="宋体" w:cs="宋体"/>
      <w:sz w:val="21"/>
    </w:rPr>
  </w:style>
  <w:style w:type="paragraph" w:styleId="1188">
    <w:name w:val="目录 8"/>
    <w:basedOn w:val="1147"/>
    <w:next w:val="1147"/>
    <w:link w:val="1147"/>
    <w:qFormat/>
    <w:pPr>
      <w:ind w:left="2940"/>
    </w:pPr>
  </w:style>
  <w:style w:type="paragraph" w:styleId="1189">
    <w:name w:val="日期"/>
    <w:basedOn w:val="1147"/>
    <w:next w:val="1147"/>
    <w:link w:val="1190"/>
    <w:qFormat/>
    <w:pPr>
      <w:ind w:left="100"/>
    </w:pPr>
    <w:rPr>
      <w:rFonts w:ascii="仿宋_GB2312" w:hAnsi="宋体" w:eastAsia="仿宋_GB2312"/>
      <w:color w:val="000000"/>
      <w:sz w:val="24"/>
    </w:rPr>
  </w:style>
  <w:style w:type="character" w:styleId="1190">
    <w:name w:val="日期 字符"/>
    <w:next w:val="1190"/>
    <w:link w:val="1189"/>
    <w:qFormat/>
    <w:rPr>
      <w:rFonts w:ascii="仿宋_GB2312" w:hAnsi="宋体" w:eastAsia="仿宋_GB2312"/>
      <w:color w:val="000000"/>
      <w:sz w:val="24"/>
      <w:szCs w:val="24"/>
    </w:rPr>
  </w:style>
  <w:style w:type="paragraph" w:styleId="1191">
    <w:name w:val="正文文本缩进 2"/>
    <w:basedOn w:val="1147"/>
    <w:next w:val="1191"/>
    <w:link w:val="1192"/>
    <w:qFormat/>
    <w:pPr>
      <w:ind w:firstLine="480"/>
    </w:pPr>
    <w:rPr>
      <w:rFonts w:ascii="仿宋_GB2312" w:eastAsia="仿宋_GB2312"/>
      <w:sz w:val="24"/>
    </w:rPr>
  </w:style>
  <w:style w:type="character" w:styleId="1192">
    <w:name w:val="正文文本缩进 2 字符"/>
    <w:next w:val="1192"/>
    <w:link w:val="1191"/>
    <w:qFormat/>
    <w:rPr>
      <w:rFonts w:ascii="仿宋_GB2312" w:eastAsia="仿宋_GB2312"/>
      <w:sz w:val="24"/>
      <w:szCs w:val="24"/>
    </w:rPr>
  </w:style>
  <w:style w:type="paragraph" w:styleId="1193">
    <w:name w:val="批注框文本"/>
    <w:basedOn w:val="1147"/>
    <w:next w:val="1193"/>
    <w:link w:val="1194"/>
    <w:qFormat/>
    <w:rPr>
      <w:sz w:val="18"/>
      <w:szCs w:val="18"/>
    </w:rPr>
  </w:style>
  <w:style w:type="character" w:styleId="1194">
    <w:name w:val="批注框文本 字符"/>
    <w:next w:val="1194"/>
    <w:link w:val="1193"/>
    <w:qFormat/>
    <w:rPr>
      <w:sz w:val="18"/>
      <w:szCs w:val="18"/>
    </w:rPr>
  </w:style>
  <w:style w:type="paragraph" w:styleId="1195">
    <w:name w:val="页脚"/>
    <w:basedOn w:val="1147"/>
    <w:next w:val="1195"/>
    <w:link w:val="1196"/>
    <w:uiPriority w:val="99"/>
    <w:qFormat/>
    <w:pPr>
      <w:jc w:val="left"/>
      <w:tabs>
        <w:tab w:val="center" w:pos="4153" w:leader="none"/>
        <w:tab w:val="right" w:pos="8306" w:leader="none"/>
      </w:tabs>
    </w:pPr>
    <w:rPr>
      <w:rFonts w:ascii="宋体"/>
      <w:sz w:val="18"/>
      <w:szCs w:val="20"/>
    </w:rPr>
  </w:style>
  <w:style w:type="character" w:styleId="1196">
    <w:name w:val="页脚 字符"/>
    <w:next w:val="1196"/>
    <w:link w:val="1195"/>
    <w:uiPriority w:val="99"/>
    <w:qFormat/>
    <w:rPr>
      <w:rFonts w:ascii="宋体" w:eastAsia="宋体"/>
      <w:sz w:val="18"/>
      <w:lang w:val="en-US" w:eastAsia="zh-CN" w:bidi="ar-SA"/>
    </w:rPr>
  </w:style>
  <w:style w:type="paragraph" w:styleId="1197">
    <w:name w:val="页眉"/>
    <w:basedOn w:val="1147"/>
    <w:next w:val="1197"/>
    <w:link w:val="1198"/>
    <w:qFormat/>
    <w:pPr>
      <w:jc w:val="center"/>
      <w:tabs>
        <w:tab w:val="center" w:pos="4153" w:leader="none"/>
        <w:tab w:val="right" w:pos="8306" w:leader="none"/>
      </w:tabs>
      <w:pBdr>
        <w:bottom w:val="single" w:color="000000" w:sz="6" w:space="1"/>
      </w:pBdr>
    </w:pPr>
    <w:rPr>
      <w:sz w:val="18"/>
      <w:szCs w:val="18"/>
    </w:rPr>
  </w:style>
  <w:style w:type="character" w:styleId="1198">
    <w:name w:val="页眉 字符"/>
    <w:next w:val="1198"/>
    <w:link w:val="1197"/>
    <w:qFormat/>
    <w:rPr>
      <w:rFonts w:eastAsia="宋体"/>
      <w:sz w:val="18"/>
      <w:szCs w:val="18"/>
      <w:lang w:val="en-US" w:eastAsia="zh-CN" w:bidi="ar-SA"/>
    </w:rPr>
  </w:style>
  <w:style w:type="paragraph" w:styleId="1199">
    <w:name w:val="目录 1"/>
    <w:basedOn w:val="1147"/>
    <w:next w:val="1147"/>
    <w:link w:val="1147"/>
    <w:uiPriority w:val="39"/>
    <w:qFormat/>
    <w:pPr>
      <w:spacing w:line="300" w:lineRule="auto"/>
      <w:tabs>
        <w:tab w:val="left" w:pos="1050" w:leader="none"/>
        <w:tab w:val="right" w:pos="8937" w:leader="dot"/>
      </w:tabs>
    </w:pPr>
    <w:rPr>
      <w:rFonts w:ascii="宋体" w:hAnsi="宋体"/>
      <w:b/>
      <w:sz w:val="24"/>
    </w:rPr>
  </w:style>
  <w:style w:type="paragraph" w:styleId="1200">
    <w:name w:val="目录 4"/>
    <w:basedOn w:val="1147"/>
    <w:next w:val="1147"/>
    <w:link w:val="1147"/>
    <w:qFormat/>
    <w:pPr>
      <w:ind w:left="1260"/>
    </w:pPr>
  </w:style>
  <w:style w:type="paragraph" w:styleId="1201">
    <w:name w:val="目录 6"/>
    <w:basedOn w:val="1147"/>
    <w:next w:val="1147"/>
    <w:link w:val="1147"/>
    <w:qFormat/>
    <w:pPr>
      <w:ind w:left="2100"/>
    </w:pPr>
  </w:style>
  <w:style w:type="paragraph" w:styleId="1202">
    <w:name w:val="正文文本缩进 3"/>
    <w:basedOn w:val="1147"/>
    <w:next w:val="1202"/>
    <w:link w:val="1203"/>
    <w:qFormat/>
    <w:pPr>
      <w:ind w:left="720" w:firstLine="480"/>
      <w:jc w:val="left"/>
      <w:spacing w:before="120" w:line="22" w:lineRule="atLeast"/>
    </w:pPr>
    <w:rPr>
      <w:rFonts w:ascii="宋体"/>
      <w:sz w:val="24"/>
      <w:szCs w:val="20"/>
    </w:rPr>
  </w:style>
  <w:style w:type="character" w:styleId="1203">
    <w:name w:val="正文文本缩进 3 字符"/>
    <w:next w:val="1203"/>
    <w:link w:val="1202"/>
    <w:qFormat/>
    <w:rPr>
      <w:rFonts w:ascii="宋体"/>
      <w:sz w:val="24"/>
    </w:rPr>
  </w:style>
  <w:style w:type="paragraph" w:styleId="1204">
    <w:name w:val="目录 2"/>
    <w:basedOn w:val="1147"/>
    <w:next w:val="1147"/>
    <w:link w:val="1147"/>
    <w:uiPriority w:val="39"/>
    <w:qFormat/>
    <w:pPr>
      <w:ind w:left="420"/>
      <w:spacing w:line="312" w:lineRule="auto"/>
      <w:tabs>
        <w:tab w:val="right" w:pos="8937" w:leader="dot"/>
      </w:tabs>
    </w:pPr>
  </w:style>
  <w:style w:type="paragraph" w:styleId="1205">
    <w:name w:val="目录 9"/>
    <w:basedOn w:val="1147"/>
    <w:next w:val="1147"/>
    <w:link w:val="1147"/>
    <w:qFormat/>
    <w:pPr>
      <w:ind w:left="3360"/>
    </w:pPr>
  </w:style>
  <w:style w:type="paragraph" w:styleId="1206">
    <w:name w:val="HTML 预设格式"/>
    <w:basedOn w:val="1147"/>
    <w:next w:val="1206"/>
    <w:link w:val="120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07">
    <w:name w:val="HTML 预设格式 字符"/>
    <w:next w:val="1207"/>
    <w:link w:val="1206"/>
    <w:qFormat/>
    <w:rPr>
      <w:rFonts w:ascii="宋体" w:hAnsi="宋体" w:cs="宋体"/>
      <w:sz w:val="24"/>
      <w:szCs w:val="24"/>
    </w:rPr>
  </w:style>
  <w:style w:type="paragraph" w:styleId="1208">
    <w:name w:val="普通(网站)"/>
    <w:basedOn w:val="1147"/>
    <w:next w:val="1208"/>
    <w:link w:val="1147"/>
    <w:uiPriority w:val="99"/>
    <w:unhideWhenUsed/>
    <w:qFormat/>
    <w:pPr>
      <w:jc w:val="left"/>
      <w:spacing w:before="100" w:beforeAutospacing="1" w:after="100" w:afterAutospacing="1"/>
      <w:widowControl/>
    </w:pPr>
    <w:rPr>
      <w:rFonts w:ascii="宋体" w:hAnsi="宋体" w:cs="宋体"/>
      <w:sz w:val="24"/>
    </w:rPr>
  </w:style>
  <w:style w:type="paragraph" w:styleId="1209">
    <w:name w:val="索引 1"/>
    <w:basedOn w:val="1147"/>
    <w:next w:val="1147"/>
    <w:link w:val="1147"/>
    <w:qFormat/>
    <w:rPr>
      <w:szCs w:val="20"/>
    </w:rPr>
  </w:style>
  <w:style w:type="paragraph" w:styleId="1210">
    <w:name w:val="标题"/>
    <w:basedOn w:val="1147"/>
    <w:next w:val="1210"/>
    <w:link w:val="1211"/>
    <w:qFormat/>
    <w:pPr>
      <w:jc w:val="center"/>
      <w:outlineLvl w:val="0"/>
    </w:pPr>
    <w:rPr>
      <w:b/>
      <w:sz w:val="32"/>
      <w:szCs w:val="20"/>
    </w:rPr>
  </w:style>
  <w:style w:type="character" w:styleId="1211">
    <w:name w:val="标题 字符"/>
    <w:next w:val="1211"/>
    <w:link w:val="1210"/>
    <w:qFormat/>
    <w:rPr>
      <w:b/>
      <w:sz w:val="32"/>
    </w:rPr>
  </w:style>
  <w:style w:type="paragraph" w:styleId="1212">
    <w:name w:val="批注主题"/>
    <w:basedOn w:val="1174"/>
    <w:next w:val="1174"/>
    <w:link w:val="1213"/>
    <w:qFormat/>
    <w:rPr>
      <w:b/>
      <w:bCs/>
    </w:rPr>
  </w:style>
  <w:style w:type="character" w:styleId="1213">
    <w:name w:val="批注主题 字符"/>
    <w:next w:val="1213"/>
    <w:link w:val="1212"/>
    <w:qFormat/>
    <w:rPr>
      <w:rFonts w:ascii="Times New Roman" w:hAnsi="Times New Roman" w:eastAsia="宋体" w:cs="Times New Roman"/>
      <w:b/>
      <w:bCs/>
      <w:sz w:val="21"/>
      <w:szCs w:val="24"/>
      <w:lang w:val="en-US" w:eastAsia="zh-CN" w:bidi="ar-SA"/>
    </w:rPr>
  </w:style>
  <w:style w:type="paragraph" w:styleId="1214">
    <w:name w:val="正文首行缩进 2"/>
    <w:basedOn w:val="1180"/>
    <w:next w:val="1214"/>
    <w:link w:val="1215"/>
    <w:qFormat/>
    <w:pPr>
      <w:ind w:left="420" w:firstLine="420"/>
      <w:spacing w:after="120" w:line="480" w:lineRule="exact"/>
    </w:pPr>
    <w:rPr>
      <w:szCs w:val="20"/>
    </w:rPr>
  </w:style>
  <w:style w:type="character" w:styleId="1215">
    <w:name w:val="正文文本首行缩进 2 字符"/>
    <w:next w:val="1215"/>
    <w:link w:val="1214"/>
    <w:qFormat/>
    <w:rPr>
      <w:rFonts w:eastAsia="宋体"/>
      <w:sz w:val="24"/>
      <w:szCs w:val="24"/>
      <w:lang w:val="en-US" w:eastAsia="zh-CN" w:bidi="ar-SA"/>
    </w:rPr>
  </w:style>
  <w:style w:type="table" w:styleId="1216">
    <w:name w:val="网格型"/>
    <w:basedOn w:val="1158"/>
    <w:next w:val="1216"/>
    <w:link w:val="1147"/>
    <w:uiPriority w:val="39"/>
    <w:qFormat/>
    <w:tblPr/>
  </w:style>
  <w:style w:type="table" w:styleId="1217">
    <w:name w:val="中等深浅网格 1 - 强调文字颜色 2"/>
    <w:basedOn w:val="1158"/>
    <w:next w:val="1217"/>
    <w:link w:val="1147"/>
    <w:qFormat/>
    <w:rPr>
      <w:sz w:val="21"/>
      <w:szCs w:val="24"/>
    </w:rPr>
    <w:tblPr/>
  </w:style>
  <w:style w:type="character" w:styleId="1218">
    <w:name w:val="要点"/>
    <w:next w:val="1218"/>
    <w:link w:val="1147"/>
    <w:qFormat/>
    <w:rPr>
      <w:b/>
      <w:bCs/>
    </w:rPr>
  </w:style>
  <w:style w:type="character" w:styleId="1219">
    <w:name w:val="页码"/>
    <w:next w:val="1219"/>
    <w:link w:val="1147"/>
    <w:qFormat/>
  </w:style>
  <w:style w:type="character" w:styleId="1220">
    <w:name w:val="已访问的超链接"/>
    <w:next w:val="1220"/>
    <w:link w:val="1147"/>
    <w:qFormat/>
    <w:rPr>
      <w:color w:val="800080"/>
      <w:u w:val="single"/>
    </w:rPr>
  </w:style>
  <w:style w:type="character" w:styleId="1221">
    <w:name w:val="强调"/>
    <w:next w:val="1221"/>
    <w:link w:val="1147"/>
    <w:qFormat/>
    <w:rPr>
      <w:color w:val="cc0033"/>
    </w:rPr>
  </w:style>
  <w:style w:type="character" w:styleId="1222">
    <w:name w:val="超链接"/>
    <w:next w:val="1222"/>
    <w:link w:val="1147"/>
    <w:uiPriority w:val="99"/>
    <w:qFormat/>
    <w:rPr>
      <w:color w:val="0000ff"/>
      <w:u w:val="single"/>
    </w:rPr>
  </w:style>
  <w:style w:type="character" w:styleId="1223">
    <w:name w:val="批注引用"/>
    <w:next w:val="1223"/>
    <w:link w:val="1147"/>
    <w:uiPriority w:val="99"/>
    <w:qFormat/>
    <w:rPr>
      <w:sz w:val="21"/>
      <w:szCs w:val="21"/>
    </w:rPr>
  </w:style>
  <w:style w:type="character" w:styleId="1224">
    <w:name w:val="HTML 引文"/>
    <w:next w:val="1224"/>
    <w:link w:val="1147"/>
    <w:qFormat/>
    <w:rPr>
      <w:i/>
      <w:iCs/>
    </w:rPr>
  </w:style>
  <w:style w:type="paragraph" w:styleId="1225">
    <w:name w:val="标题 31"/>
    <w:basedOn w:val="1147"/>
    <w:next w:val="1147"/>
    <w:link w:val="1147"/>
    <w:qFormat/>
    <w:pPr>
      <w:jc w:val="left"/>
      <w:keepLines/>
      <w:keepNext/>
      <w:spacing w:before="360" w:after="120"/>
      <w:outlineLvl w:val="2"/>
    </w:pPr>
    <w:rPr>
      <w:rFonts w:ascii="宋体"/>
      <w:b/>
      <w:sz w:val="24"/>
      <w:szCs w:val="20"/>
      <w:u w:val="single"/>
    </w:rPr>
  </w:style>
  <w:style w:type="paragraph" w:styleId="1226">
    <w:name w:val="Default"/>
    <w:next w:val="1226"/>
    <w:link w:val="1147"/>
    <w:qFormat/>
    <w:pPr>
      <w:widowControl w:val="off"/>
    </w:pPr>
    <w:rPr>
      <w:rFonts w:ascii="Symbol" w:hAnsi="Symbol" w:cs="Symbol"/>
      <w:color w:val="000000"/>
      <w:sz w:val="24"/>
      <w:szCs w:val="24"/>
      <w:lang w:val="en-US" w:eastAsia="zh-CN" w:bidi="ar-SA"/>
    </w:rPr>
  </w:style>
  <w:style w:type="character" w:styleId="1227">
    <w:name w:val="批注文字 字符"/>
    <w:next w:val="1227"/>
    <w:link w:val="1147"/>
    <w:uiPriority w:val="99"/>
    <w:qFormat/>
    <w:rPr>
      <w:rFonts w:ascii="Times New Roman" w:hAnsi="Times New Roman" w:eastAsia="宋体" w:cs="Times New Roman"/>
      <w:sz w:val="24"/>
      <w:lang w:val="en-US" w:eastAsia="zh-CN" w:bidi="ar-SA"/>
    </w:rPr>
  </w:style>
  <w:style w:type="character" w:styleId="1228">
    <w:name w:val="c21"/>
    <w:next w:val="1228"/>
    <w:link w:val="1147"/>
    <w:qFormat/>
    <w:rPr>
      <w:rFonts w:ascii="ˎ̥" w:hAnsi="ˎ̥"/>
      <w:color w:val="000000"/>
      <w:sz w:val="20"/>
      <w:szCs w:val="20"/>
      <w:u w:val="none"/>
    </w:rPr>
  </w:style>
  <w:style w:type="character" w:styleId="1229">
    <w:name w:val="title4"/>
    <w:next w:val="1229"/>
    <w:link w:val="1147"/>
    <w:qFormat/>
    <w:rPr>
      <w:b/>
      <w:bCs/>
      <w:color w:val="1d87b3"/>
      <w:sz w:val="15"/>
      <w:szCs w:val="15"/>
    </w:rPr>
  </w:style>
  <w:style w:type="character" w:styleId="1230">
    <w:name w:val="标题 2 Char Char"/>
    <w:next w:val="1230"/>
    <w:link w:val="1147"/>
    <w:qFormat/>
    <w:rPr>
      <w:rFonts w:ascii="Arial" w:hAnsi="Arial" w:eastAsia="黑体"/>
      <w:b/>
      <w:bCs/>
      <w:sz w:val="32"/>
      <w:szCs w:val="32"/>
      <w:lang w:val="en-US" w:eastAsia="zh-CN" w:bidi="ar-SA"/>
    </w:rPr>
  </w:style>
  <w:style w:type="character" w:styleId="1231">
    <w:name w:val="black1"/>
    <w:next w:val="1231"/>
    <w:link w:val="1147"/>
    <w:qFormat/>
    <w:rPr>
      <w:color w:val="000000"/>
    </w:rPr>
  </w:style>
  <w:style w:type="character" w:styleId="1232">
    <w:name w:val="street-address"/>
    <w:next w:val="1232"/>
    <w:link w:val="1147"/>
    <w:qFormat/>
  </w:style>
  <w:style w:type="character" w:styleId="1233">
    <w:name w:val="locality"/>
    <w:next w:val="1233"/>
    <w:link w:val="1147"/>
    <w:qFormat/>
  </w:style>
  <w:style w:type="character" w:styleId="1234">
    <w:name w:val="正文文本缩进 Char1"/>
    <w:next w:val="1234"/>
    <w:link w:val="1235"/>
    <w:qFormat/>
    <w:rPr>
      <w:rFonts w:ascii="宋体" w:hAnsi="宋体" w:eastAsia="宋体"/>
      <w:sz w:val="24"/>
      <w:szCs w:val="24"/>
      <w:lang w:bidi="ar-SA"/>
    </w:rPr>
  </w:style>
  <w:style w:type="paragraph" w:styleId="1235">
    <w:name w:val="正文文本缩进1"/>
    <w:basedOn w:val="1147"/>
    <w:next w:val="1235"/>
    <w:link w:val="1234"/>
    <w:qFormat/>
    <w:pPr>
      <w:ind w:firstLine="480"/>
      <w:spacing w:line="480" w:lineRule="exact"/>
    </w:pPr>
    <w:rPr>
      <w:rFonts w:ascii="宋体" w:hAnsi="宋体"/>
      <w:sz w:val="24"/>
    </w:rPr>
  </w:style>
  <w:style w:type="character" w:styleId="1236">
    <w:name w:val="Char Char11"/>
    <w:next w:val="1236"/>
    <w:link w:val="1147"/>
    <w:qFormat/>
    <w:rPr>
      <w:rFonts w:ascii="宋体" w:eastAsia="宋体"/>
      <w:b/>
      <w:sz w:val="24"/>
      <w:u w:val="single"/>
      <w:lang w:val="en-US" w:eastAsia="zh-CN" w:bidi="ar-SA"/>
    </w:rPr>
  </w:style>
  <w:style w:type="character" w:styleId="1237">
    <w:name w:val="txt"/>
    <w:next w:val="1237"/>
    <w:link w:val="1147"/>
    <w:qFormat/>
  </w:style>
  <w:style w:type="character" w:styleId="1238">
    <w:name w:val="正文缩进 Char Char"/>
    <w:next w:val="1238"/>
    <w:link w:val="1239"/>
    <w:qFormat/>
    <w:rPr>
      <w:rFonts w:ascii="宋体" w:eastAsia="宋体"/>
      <w:color w:val="000000"/>
      <w:sz w:val="28"/>
      <w:lang w:bidi="ar-SA"/>
    </w:rPr>
  </w:style>
  <w:style w:type="paragraph" w:styleId="1239">
    <w:name w:val="正文缩进1"/>
    <w:basedOn w:val="1147"/>
    <w:next w:val="1239"/>
    <w:link w:val="1238"/>
    <w:qFormat/>
    <w:pPr>
      <w:ind w:firstLine="567"/>
      <w:spacing w:line="480" w:lineRule="exact"/>
      <w:widowControl/>
    </w:pPr>
    <w:rPr>
      <w:rFonts w:ascii="宋体"/>
      <w:color w:val="000000"/>
      <w:sz w:val="28"/>
      <w:szCs w:val="20"/>
    </w:rPr>
  </w:style>
  <w:style w:type="character" w:styleId="1240">
    <w:name w:val="普通文字1 Char1"/>
    <w:next w:val="1240"/>
    <w:link w:val="1147"/>
    <w:qFormat/>
    <w:rPr>
      <w:rFonts w:ascii="宋体" w:hAnsi="Courier New" w:eastAsia="宋体"/>
      <w:sz w:val="21"/>
      <w:lang w:val="en-US" w:eastAsia="zh-CN" w:bidi="ar-SA"/>
    </w:rPr>
  </w:style>
  <w:style w:type="character" w:styleId="1241">
    <w:name w:val="chanpin1"/>
    <w:next w:val="1241"/>
    <w:link w:val="1147"/>
    <w:qFormat/>
    <w:rPr>
      <w:rFonts w:ascii="ˎ̥" w:hAnsi="ˎ̥"/>
      <w:color w:val="000000"/>
      <w:sz w:val="20"/>
      <w:szCs w:val="20"/>
      <w:u w:val="none"/>
    </w:rPr>
  </w:style>
  <w:style w:type="character" w:styleId="1242">
    <w:name w:val="列表段落 字符"/>
    <w:next w:val="1242"/>
    <w:link w:val="1243"/>
    <w:uiPriority w:val="34"/>
    <w:qFormat/>
    <w:rPr>
      <w:rFonts w:ascii="Calibri" w:hAnsi="Calibri" w:eastAsia="宋体"/>
      <w:sz w:val="21"/>
      <w:szCs w:val="22"/>
      <w:lang w:val="en-US" w:eastAsia="zh-CN" w:bidi="ar-SA"/>
    </w:rPr>
  </w:style>
  <w:style w:type="paragraph" w:styleId="1243">
    <w:name w:val="列表段落"/>
    <w:basedOn w:val="1147"/>
    <w:next w:val="1243"/>
    <w:link w:val="1242"/>
    <w:uiPriority w:val="34"/>
    <w:qFormat/>
    <w:pPr>
      <w:ind w:firstLine="420"/>
    </w:pPr>
    <w:rPr>
      <w:rFonts w:ascii="Calibri" w:hAnsi="Calibri"/>
      <w:szCs w:val="22"/>
    </w:rPr>
  </w:style>
  <w:style w:type="character" w:styleId="1244">
    <w:name w:val="标题 3 Char Char"/>
    <w:next w:val="1244"/>
    <w:link w:val="1147"/>
    <w:qFormat/>
    <w:rPr>
      <w:rFonts w:eastAsia="宋体"/>
      <w:b/>
      <w:bCs/>
      <w:sz w:val="32"/>
      <w:szCs w:val="32"/>
      <w:lang w:val="en-US" w:eastAsia="zh-CN" w:bidi="ar-SA"/>
    </w:rPr>
  </w:style>
  <w:style w:type="character" w:styleId="1245">
    <w:name w:val="段1 Char"/>
    <w:next w:val="1245"/>
    <w:link w:val="1147"/>
    <w:qFormat/>
    <w:rPr>
      <w:rFonts w:ascii="宋体" w:eastAsia="宋体"/>
      <w:sz w:val="24"/>
      <w:lang w:val="en-US" w:eastAsia="zh-CN" w:bidi="ar-SA"/>
    </w:rPr>
  </w:style>
  <w:style w:type="character" w:styleId="1246">
    <w:name w:val="chanpin拷贝"/>
    <w:next w:val="1246"/>
    <w:link w:val="1147"/>
    <w:qFormat/>
  </w:style>
  <w:style w:type="character" w:styleId="1247">
    <w:name w:val="纯文本 Char1"/>
    <w:next w:val="1247"/>
    <w:link w:val="1147"/>
    <w:qFormat/>
    <w:rPr>
      <w:rFonts w:ascii="宋体" w:hAnsi="Courier New" w:eastAsia="宋体"/>
      <w:sz w:val="21"/>
      <w:lang w:val="en-US" w:eastAsia="zh-CN" w:bidi="ar-SA"/>
    </w:rPr>
  </w:style>
  <w:style w:type="character" w:styleId="1248">
    <w:name w:val="apple-style-span"/>
    <w:next w:val="1248"/>
    <w:link w:val="1147"/>
    <w:qFormat/>
    <w:rPr>
      <w:rFonts w:cs="Times New Roman"/>
    </w:rPr>
  </w:style>
  <w:style w:type="paragraph" w:styleId="1249">
    <w:name w:val="二级条标题"/>
    <w:basedOn w:val="1250"/>
    <w:next w:val="1147"/>
    <w:link w:val="1147"/>
    <w:qFormat/>
    <w:pPr>
      <w:numPr>
        <w:ilvl w:val="0"/>
        <w:numId w:val="0"/>
      </w:numPr>
      <w:ind w:hanging="840"/>
      <w:tabs>
        <w:tab w:val="left" w:pos="360" w:leader="none"/>
        <w:tab w:val="left" w:pos="840" w:leader="none"/>
      </w:tabs>
      <w:outlineLvl w:val="2"/>
    </w:pPr>
    <w:rPr>
      <w:rFonts w:ascii="宋体" w:eastAsia="宋体"/>
      <w:b w:val="0"/>
    </w:rPr>
  </w:style>
  <w:style w:type="paragraph" w:styleId="1250">
    <w:name w:val="一级条标题"/>
    <w:basedOn w:val="1251"/>
    <w:next w:val="1147"/>
    <w:link w:val="1147"/>
    <w:qFormat/>
    <w:pPr>
      <w:numPr>
        <w:ilvl w:val="1"/>
      </w:numPr>
      <w:ind w:left="0" w:hanging="840"/>
      <w:tabs>
        <w:tab w:val="left" w:pos="360" w:leader="none"/>
        <w:tab w:val="left" w:pos="840" w:leader="none"/>
      </w:tabs>
      <w:outlineLvl w:val="1"/>
    </w:pPr>
  </w:style>
  <w:style w:type="paragraph" w:styleId="1251">
    <w:name w:val="章标题"/>
    <w:next w:val="1147"/>
    <w:link w:val="1147"/>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52">
    <w:name w:val="font7"/>
    <w:basedOn w:val="1147"/>
    <w:next w:val="1252"/>
    <w:link w:val="1147"/>
    <w:qFormat/>
    <w:pPr>
      <w:jc w:val="left"/>
      <w:spacing w:before="100" w:beforeAutospacing="1" w:after="100" w:afterAutospacing="1"/>
      <w:widowControl/>
    </w:pPr>
    <w:rPr>
      <w:rFonts w:eastAsia="Arial Unicode MS"/>
      <w:b/>
      <w:bCs/>
      <w:color w:val="000000"/>
      <w:sz w:val="20"/>
      <w:szCs w:val="20"/>
    </w:rPr>
  </w:style>
  <w:style w:type="paragraph" w:styleId="1253">
    <w:name w:val="字元 字元"/>
    <w:basedOn w:val="1147"/>
    <w:next w:val="1253"/>
    <w:link w:val="1147"/>
    <w:qFormat/>
    <w:rPr>
      <w:rFonts w:ascii="Tahoma" w:hAnsi="Tahoma"/>
      <w:sz w:val="24"/>
      <w:szCs w:val="20"/>
    </w:rPr>
  </w:style>
  <w:style w:type="paragraph" w:styleId="1254">
    <w:name w:val="Char3 Char Char Char"/>
    <w:basedOn w:val="1147"/>
    <w:next w:val="1254"/>
    <w:link w:val="1147"/>
    <w:qFormat/>
    <w:rPr>
      <w:rFonts w:ascii="Tahoma" w:hAnsi="Tahoma"/>
      <w:sz w:val="24"/>
      <w:szCs w:val="20"/>
    </w:rPr>
  </w:style>
  <w:style w:type="paragraph" w:styleId="1255">
    <w:name w:val="font6"/>
    <w:basedOn w:val="1147"/>
    <w:next w:val="1255"/>
    <w:link w:val="1147"/>
    <w:qFormat/>
    <w:pPr>
      <w:jc w:val="left"/>
      <w:spacing w:before="100" w:beforeAutospacing="1" w:after="100" w:afterAutospacing="1"/>
      <w:widowControl/>
    </w:pPr>
    <w:rPr>
      <w:rFonts w:ascii="宋体" w:hAnsi="宋体" w:cs="宋体"/>
      <w:sz w:val="20"/>
      <w:szCs w:val="20"/>
    </w:rPr>
  </w:style>
  <w:style w:type="paragraph" w:styleId="1256">
    <w:name w:val="项目编号2"/>
    <w:basedOn w:val="1257"/>
    <w:next w:val="1256"/>
    <w:link w:val="1147"/>
    <w:qFormat/>
    <w:pPr>
      <w:numPr>
        <w:numId w:val="3"/>
      </w:numPr>
    </w:pPr>
  </w:style>
  <w:style w:type="paragraph" w:styleId="1257">
    <w:name w:val="项目编号1"/>
    <w:basedOn w:val="1147"/>
    <w:next w:val="1257"/>
    <w:link w:val="1147"/>
    <w:qFormat/>
    <w:pPr>
      <w:numPr>
        <w:ilvl w:val="0"/>
        <w:numId w:val="2"/>
      </w:numPr>
      <w:spacing w:before="100" w:beforeAutospacing="1" w:after="100" w:afterAutospacing="1" w:line="360" w:lineRule="auto"/>
    </w:pPr>
    <w:rPr>
      <w:sz w:val="24"/>
    </w:rPr>
  </w:style>
  <w:style w:type="paragraph" w:styleId="1258">
    <w:name w:val="图中文字"/>
    <w:basedOn w:val="1147"/>
    <w:next w:val="1258"/>
    <w:link w:val="1147"/>
    <w:qFormat/>
    <w:pPr>
      <w:jc w:val="center"/>
      <w:spacing w:line="0" w:lineRule="atLeast"/>
    </w:pPr>
    <w:rPr>
      <w:sz w:val="24"/>
      <w:szCs w:val="20"/>
    </w:rPr>
  </w:style>
  <w:style w:type="paragraph" w:styleId="1259">
    <w:name w:val="xl46"/>
    <w:basedOn w:val="1147"/>
    <w:next w:val="1259"/>
    <w:link w:val="114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60">
    <w:name w:val="xl25"/>
    <w:basedOn w:val="1147"/>
    <w:next w:val="1260"/>
    <w:link w:val="11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1">
    <w:name w:val="Char2"/>
    <w:basedOn w:val="1147"/>
    <w:next w:val="1261"/>
    <w:link w:val="1147"/>
    <w:qFormat/>
    <w:rPr>
      <w:rFonts w:ascii="Tahoma" w:hAnsi="Tahoma"/>
      <w:sz w:val="24"/>
      <w:szCs w:val="20"/>
    </w:rPr>
  </w:style>
  <w:style w:type="paragraph" w:styleId="1262">
    <w:name w:val="xl35"/>
    <w:basedOn w:val="1147"/>
    <w:next w:val="1262"/>
    <w:link w:val="114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3">
    <w:name w:val="xl40"/>
    <w:basedOn w:val="1147"/>
    <w:next w:val="1263"/>
    <w:link w:val="11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4">
    <w:name w:val="xl52"/>
    <w:basedOn w:val="1147"/>
    <w:next w:val="1264"/>
    <w:link w:val="114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65">
    <w:name w:val="xl43"/>
    <w:basedOn w:val="1147"/>
    <w:next w:val="1265"/>
    <w:link w:val="114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66">
    <w:name w:val="background1"/>
    <w:basedOn w:val="1147"/>
    <w:next w:val="1266"/>
    <w:link w:val="1147"/>
    <w:qFormat/>
    <w:pPr>
      <w:jc w:val="left"/>
      <w:spacing w:before="100" w:beforeAutospacing="1" w:after="100" w:afterAutospacing="1"/>
      <w:widowControl/>
    </w:pPr>
    <w:rPr>
      <w:rFonts w:ascii="宋体" w:hAnsi="宋体" w:cs="宋体"/>
      <w:sz w:val="24"/>
    </w:rPr>
  </w:style>
  <w:style w:type="paragraph" w:styleId="1267">
    <w:name w:val="Char Char Char Char Char Char Char"/>
    <w:basedOn w:val="1147"/>
    <w:next w:val="1267"/>
    <w:link w:val="1147"/>
    <w:qFormat/>
    <w:pPr>
      <w:ind w:firstLine="200"/>
      <w:spacing w:line="360" w:lineRule="auto"/>
    </w:pPr>
    <w:rPr>
      <w:rFonts w:eastAsia="仿宋_GB2312"/>
      <w:sz w:val="24"/>
    </w:rPr>
  </w:style>
  <w:style w:type="paragraph" w:styleId="1268">
    <w:name w:val="xl38"/>
    <w:basedOn w:val="1147"/>
    <w:next w:val="1268"/>
    <w:link w:val="11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69">
    <w:name w:val="xl36"/>
    <w:basedOn w:val="1147"/>
    <w:next w:val="1269"/>
    <w:link w:val="114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0">
    <w:name w:val="正文 + 宋体"/>
    <w:basedOn w:val="1147"/>
    <w:next w:val="1270"/>
    <w:link w:val="1147"/>
    <w:qFormat/>
    <w:pPr>
      <w:ind w:left="360" w:hanging="360"/>
      <w:jc w:val="left"/>
      <w:widowControl/>
    </w:pPr>
    <w:rPr>
      <w:rFonts w:ascii="宋体" w:hAnsi="宋体" w:cs="宋体"/>
      <w:b/>
      <w:bCs/>
      <w:color w:val="000000"/>
      <w:sz w:val="18"/>
      <w:szCs w:val="18"/>
    </w:rPr>
  </w:style>
  <w:style w:type="paragraph" w:styleId="1271">
    <w:name w:val="正文列项_数字"/>
    <w:basedOn w:val="1147"/>
    <w:next w:val="1271"/>
    <w:link w:val="1147"/>
    <w:qFormat/>
    <w:pPr>
      <w:numPr>
        <w:ilvl w:val="7"/>
        <w:numId w:val="1"/>
      </w:numPr>
      <w:ind w:left="680" w:hanging="150"/>
      <w:spacing w:line="460" w:lineRule="exact"/>
      <w:tabs>
        <w:tab w:val="clear" w:pos="860" w:leader="none"/>
      </w:tabs>
      <w:outlineLvl w:val="7"/>
    </w:pPr>
    <w:rPr>
      <w:rFonts w:ascii="宋体"/>
      <w:sz w:val="28"/>
      <w:szCs w:val="20"/>
    </w:rPr>
  </w:style>
  <w:style w:type="paragraph" w:styleId="1272">
    <w:name w:val="xl39"/>
    <w:basedOn w:val="1147"/>
    <w:next w:val="1272"/>
    <w:link w:val="11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3">
    <w:name w:val="xl37"/>
    <w:basedOn w:val="1147"/>
    <w:next w:val="1273"/>
    <w:link w:val="114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4">
    <w:name w:val="xl32"/>
    <w:basedOn w:val="1147"/>
    <w:next w:val="1274"/>
    <w:link w:val="114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5">
    <w:name w:val="font8"/>
    <w:basedOn w:val="1147"/>
    <w:next w:val="1275"/>
    <w:link w:val="1147"/>
    <w:qFormat/>
    <w:pPr>
      <w:jc w:val="left"/>
      <w:spacing w:before="100" w:beforeAutospacing="1" w:after="100" w:afterAutospacing="1"/>
      <w:widowControl/>
    </w:pPr>
    <w:rPr>
      <w:sz w:val="36"/>
      <w:szCs w:val="36"/>
    </w:rPr>
  </w:style>
  <w:style w:type="paragraph" w:styleId="1276">
    <w:name w:val="Char"/>
    <w:basedOn w:val="1147"/>
    <w:next w:val="1276"/>
    <w:link w:val="1147"/>
    <w:qFormat/>
    <w:pPr>
      <w:tabs>
        <w:tab w:val="left" w:pos="360" w:leader="none"/>
      </w:tabs>
    </w:pPr>
    <w:rPr>
      <w:sz w:val="24"/>
    </w:rPr>
  </w:style>
  <w:style w:type="paragraph" w:styleId="1277">
    <w:name w:val="Char Char Char Char Char Char Char Char Char Char Char Char Char Char Char Char"/>
    <w:basedOn w:val="1147"/>
    <w:next w:val="1277"/>
    <w:link w:val="1147"/>
    <w:qFormat/>
    <w:pPr>
      <w:jc w:val="center"/>
      <w:spacing w:after="160" w:line="240" w:lineRule="exact"/>
      <w:widowControl/>
    </w:pPr>
    <w:rPr>
      <w:rFonts w:ascii="宋体" w:hAnsi="宋体"/>
      <w:b/>
      <w:sz w:val="30"/>
      <w:szCs w:val="30"/>
      <w:lang w:eastAsia="en-US"/>
    </w:rPr>
  </w:style>
  <w:style w:type="paragraph" w:styleId="1278">
    <w:name w:val="xl45"/>
    <w:basedOn w:val="1147"/>
    <w:next w:val="1278"/>
    <w:link w:val="114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79">
    <w:name w:val="Char Char1 Char Char Char Char Char Char"/>
    <w:basedOn w:val="1147"/>
    <w:next w:val="1279"/>
    <w:link w:val="1147"/>
    <w:qFormat/>
    <w:pPr>
      <w:jc w:val="left"/>
      <w:spacing w:after="160" w:line="240" w:lineRule="exact"/>
      <w:widowControl/>
    </w:pPr>
    <w:rPr>
      <w:rFonts w:ascii="Verdana" w:hAnsi="Verdana" w:eastAsia="仿宋_GB2312"/>
      <w:sz w:val="24"/>
      <w:szCs w:val="20"/>
      <w:lang w:eastAsia="en-US"/>
    </w:rPr>
  </w:style>
  <w:style w:type="paragraph" w:styleId="1280">
    <w:name w:val="Char Char1"/>
    <w:basedOn w:val="1172"/>
    <w:next w:val="1280"/>
    <w:link w:val="1147"/>
    <w:qFormat/>
    <w:rPr>
      <w:rFonts w:ascii="Tahoma" w:hAnsi="Tahoma"/>
      <w:sz w:val="24"/>
    </w:rPr>
  </w:style>
  <w:style w:type="paragraph" w:styleId="1281">
    <w:name w:val="xl26"/>
    <w:basedOn w:val="1147"/>
    <w:next w:val="1281"/>
    <w:link w:val="11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82">
    <w:name w:val="xl30"/>
    <w:basedOn w:val="1147"/>
    <w:next w:val="1282"/>
    <w:link w:val="11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3">
    <w:name w:val="xl41"/>
    <w:basedOn w:val="1147"/>
    <w:next w:val="1283"/>
    <w:link w:val="114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84">
    <w:name w:val="样式 宋体 五号 行距: 单倍行距"/>
    <w:basedOn w:val="1147"/>
    <w:next w:val="1284"/>
    <w:link w:val="1147"/>
    <w:qFormat/>
    <w:pPr>
      <w:jc w:val="left"/>
    </w:pPr>
    <w:rPr>
      <w:rFonts w:ascii="宋体" w:hAnsi="宋体"/>
      <w:szCs w:val="20"/>
    </w:rPr>
  </w:style>
  <w:style w:type="paragraph" w:styleId="1285">
    <w:name w:val="Char1 Char Char Char1"/>
    <w:basedOn w:val="1147"/>
    <w:next w:val="1285"/>
    <w:link w:val="1147"/>
    <w:qFormat/>
    <w:rPr>
      <w:rFonts w:ascii="Tahoma" w:hAnsi="Tahoma" w:cs="仿宋_GB2312"/>
      <w:sz w:val="24"/>
      <w:szCs w:val="28"/>
    </w:rPr>
  </w:style>
  <w:style w:type="paragraph" w:styleId="1286">
    <w:name w:val="四级条标题"/>
    <w:basedOn w:val="1287"/>
    <w:next w:val="1147"/>
    <w:link w:val="1147"/>
    <w:qFormat/>
    <w:pPr>
      <w:numPr>
        <w:ilvl w:val="4"/>
      </w:numPr>
      <w:ind w:left="0" w:hanging="840"/>
      <w:tabs>
        <w:tab w:val="left" w:pos="360" w:leader="none"/>
        <w:tab w:val="left" w:pos="840" w:leader="none"/>
      </w:tabs>
      <w:outlineLvl w:val="4"/>
    </w:pPr>
  </w:style>
  <w:style w:type="paragraph" w:styleId="1287">
    <w:name w:val="三级条标题"/>
    <w:basedOn w:val="1249"/>
    <w:next w:val="1147"/>
    <w:link w:val="1147"/>
    <w:qFormat/>
    <w:pPr>
      <w:numPr>
        <w:ilvl w:val="3"/>
        <w:numId w:val="1"/>
      </w:numPr>
      <w:ind w:left="0" w:hanging="840"/>
      <w:tabs>
        <w:tab w:val="left" w:pos="360" w:leader="none"/>
        <w:tab w:val="left" w:pos="840" w:leader="none"/>
      </w:tabs>
      <w:outlineLvl w:val="3"/>
    </w:pPr>
  </w:style>
  <w:style w:type="paragraph" w:styleId="1288">
    <w:name w:val="??"/>
    <w:next w:val="1288"/>
    <w:link w:val="1147"/>
    <w:qFormat/>
    <w:pPr>
      <w:jc w:val="both"/>
      <w:widowControl w:val="off"/>
    </w:pPr>
    <w:rPr>
      <w:sz w:val="21"/>
      <w:lang w:val="en-US" w:eastAsia="en-US" w:bidi="ar-SA"/>
    </w:rPr>
  </w:style>
  <w:style w:type="paragraph" w:styleId="1289">
    <w:name w:val="样式 标题 2 + 宋体 五号 行距: 单倍行距"/>
    <w:basedOn w:val="1149"/>
    <w:next w:val="1289"/>
    <w:link w:val="1147"/>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90">
    <w:name w:val="List Paragraph1"/>
    <w:basedOn w:val="1147"/>
    <w:next w:val="1290"/>
    <w:link w:val="1147"/>
    <w:qFormat/>
    <w:pPr>
      <w:ind w:firstLine="420"/>
    </w:pPr>
    <w:rPr>
      <w:rFonts w:ascii="Calibri" w:hAnsi="Calibri"/>
      <w:szCs w:val="22"/>
    </w:rPr>
  </w:style>
  <w:style w:type="paragraph" w:styleId="1291">
    <w:name w:val="项目符号1"/>
    <w:basedOn w:val="1292"/>
    <w:next w:val="1291"/>
    <w:link w:val="1147"/>
    <w:qFormat/>
    <w:pPr>
      <w:ind w:left="-25" w:firstLine="0"/>
    </w:pPr>
  </w:style>
  <w:style w:type="paragraph" w:styleId="1292">
    <w:name w:val="正文文本样式"/>
    <w:basedOn w:val="1147"/>
    <w:next w:val="1292"/>
    <w:link w:val="1147"/>
    <w:qFormat/>
    <w:pPr>
      <w:ind w:firstLine="482"/>
      <w:spacing w:line="360" w:lineRule="auto"/>
    </w:pPr>
    <w:rPr>
      <w:rFonts w:cs="宋体"/>
      <w:sz w:val="24"/>
      <w:szCs w:val="20"/>
    </w:rPr>
  </w:style>
  <w:style w:type="paragraph" w:styleId="1293">
    <w:name w:val="xl27"/>
    <w:basedOn w:val="1147"/>
    <w:next w:val="1293"/>
    <w:link w:val="11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4">
    <w:name w:val="font5"/>
    <w:basedOn w:val="1147"/>
    <w:next w:val="1294"/>
    <w:link w:val="1147"/>
    <w:qFormat/>
    <w:pPr>
      <w:jc w:val="left"/>
      <w:spacing w:before="100" w:beforeAutospacing="1" w:after="100" w:afterAutospacing="1"/>
      <w:widowControl/>
    </w:pPr>
    <w:rPr>
      <w:rFonts w:ascii="宋体" w:hAnsi="宋体" w:cs="宋体"/>
      <w:sz w:val="18"/>
      <w:szCs w:val="18"/>
    </w:rPr>
  </w:style>
  <w:style w:type="paragraph" w:styleId="1295">
    <w:name w:val="五级条标题"/>
    <w:basedOn w:val="1286"/>
    <w:next w:val="1147"/>
    <w:link w:val="1147"/>
    <w:qFormat/>
    <w:pPr>
      <w:numPr>
        <w:ilvl w:val="5"/>
      </w:numPr>
      <w:ind w:left="0" w:hanging="840"/>
      <w:tabs>
        <w:tab w:val="left" w:pos="360" w:leader="none"/>
        <w:tab w:val="left" w:pos="840" w:leader="none"/>
      </w:tabs>
      <w:outlineLvl w:val="5"/>
    </w:pPr>
  </w:style>
  <w:style w:type="paragraph" w:styleId="1296">
    <w:name w:val="xl49"/>
    <w:basedOn w:val="1147"/>
    <w:next w:val="1296"/>
    <w:link w:val="11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97">
    <w:name w:val="文档正文"/>
    <w:basedOn w:val="1147"/>
    <w:next w:val="1297"/>
    <w:link w:val="1147"/>
    <w:qFormat/>
    <w:pPr>
      <w:spacing w:before="120" w:after="120" w:line="180" w:lineRule="auto"/>
    </w:pPr>
    <w:rPr>
      <w:rFonts w:ascii="Arial" w:hAnsi="Arial"/>
      <w:szCs w:val="20"/>
    </w:rPr>
  </w:style>
  <w:style w:type="paragraph" w:styleId="1298">
    <w:name w:val="xl33"/>
    <w:basedOn w:val="1147"/>
    <w:next w:val="1298"/>
    <w:link w:val="11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9">
    <w:name w:val="xl42"/>
    <w:basedOn w:val="1147"/>
    <w:next w:val="1299"/>
    <w:link w:val="11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00">
    <w:name w:val="Char Char Char1 Char"/>
    <w:basedOn w:val="1147"/>
    <w:next w:val="1300"/>
    <w:link w:val="1147"/>
    <w:qFormat/>
    <w:rPr>
      <w:rFonts w:ascii="Tahoma" w:hAnsi="Tahoma"/>
      <w:sz w:val="24"/>
      <w:szCs w:val="20"/>
    </w:rPr>
  </w:style>
  <w:style w:type="paragraph" w:styleId="1301">
    <w:name w:val="xl44"/>
    <w:basedOn w:val="1147"/>
    <w:next w:val="1301"/>
    <w:link w:val="114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02">
    <w:name w:val="1名"/>
    <w:basedOn w:val="1147"/>
    <w:next w:val="1302"/>
    <w:link w:val="1147"/>
    <w:qFormat/>
    <w:pPr>
      <w:numPr>
        <w:ilvl w:val="0"/>
        <w:numId w:val="5"/>
      </w:numPr>
      <w:spacing w:before="120"/>
      <w:tabs>
        <w:tab w:val="left" w:pos="360" w:leader="none"/>
      </w:tabs>
    </w:pPr>
    <w:rPr>
      <w:rFonts w:ascii="宋体"/>
      <w:sz w:val="28"/>
      <w:szCs w:val="20"/>
    </w:rPr>
  </w:style>
  <w:style w:type="paragraph" w:styleId="1303">
    <w:name w:val="font9"/>
    <w:basedOn w:val="1147"/>
    <w:next w:val="1303"/>
    <w:link w:val="1147"/>
    <w:qFormat/>
    <w:pPr>
      <w:jc w:val="left"/>
      <w:spacing w:before="100" w:beforeAutospacing="1" w:after="100" w:afterAutospacing="1"/>
      <w:widowControl/>
    </w:pPr>
    <w:rPr>
      <w:rFonts w:hint="eastAsia" w:ascii="宋体" w:hAnsi="宋体" w:cs="Arial Unicode MS"/>
      <w:color w:val="000000"/>
      <w:sz w:val="20"/>
      <w:szCs w:val="20"/>
    </w:rPr>
  </w:style>
  <w:style w:type="paragraph" w:styleId="1304">
    <w:name w:val="Char Char Char1 Char1"/>
    <w:basedOn w:val="1147"/>
    <w:next w:val="1304"/>
    <w:link w:val="1147"/>
    <w:qFormat/>
    <w:rPr>
      <w:rFonts w:ascii="Tahoma" w:hAnsi="Tahoma"/>
      <w:sz w:val="24"/>
      <w:szCs w:val="20"/>
    </w:rPr>
  </w:style>
  <w:style w:type="paragraph" w:styleId="1305">
    <w:name w:val="Char Char Char Char Char Char Char Char Char Char"/>
    <w:basedOn w:val="1147"/>
    <w:next w:val="1305"/>
    <w:link w:val="1147"/>
    <w:qFormat/>
  </w:style>
  <w:style w:type="paragraph" w:styleId="1306">
    <w:name w:val="Char Char1 Char Char Char Char Char Char Char Char"/>
    <w:basedOn w:val="1147"/>
    <w:next w:val="1306"/>
    <w:link w:val="1147"/>
    <w:qFormat/>
    <w:pPr>
      <w:jc w:val="left"/>
      <w:spacing w:after="160" w:line="240" w:lineRule="exact"/>
      <w:widowControl/>
    </w:pPr>
    <w:rPr>
      <w:rFonts w:ascii="Verdana" w:hAnsi="Verdana"/>
      <w:sz w:val="20"/>
      <w:szCs w:val="20"/>
      <w:lang w:eastAsia="en-US"/>
    </w:rPr>
  </w:style>
  <w:style w:type="paragraph" w:styleId="1307">
    <w:name w:val="Char1"/>
    <w:basedOn w:val="1147"/>
    <w:next w:val="1307"/>
    <w:link w:val="1147"/>
    <w:qFormat/>
    <w:pPr>
      <w:tabs>
        <w:tab w:val="left" w:pos="360" w:leader="none"/>
      </w:tabs>
    </w:pPr>
    <w:rPr>
      <w:sz w:val="24"/>
    </w:rPr>
  </w:style>
  <w:style w:type="paragraph" w:styleId="1308">
    <w:name w:val="正文列项_字母"/>
    <w:basedOn w:val="1147"/>
    <w:next w:val="1308"/>
    <w:link w:val="1147"/>
    <w:qFormat/>
    <w:pPr>
      <w:numPr>
        <w:ilvl w:val="6"/>
        <w:numId w:val="1"/>
      </w:numPr>
      <w:ind w:left="480" w:hanging="180"/>
      <w:spacing w:line="460" w:lineRule="exact"/>
      <w:tabs>
        <w:tab w:val="clear" w:pos="635" w:leader="none"/>
      </w:tabs>
      <w:outlineLvl w:val="6"/>
    </w:pPr>
    <w:rPr>
      <w:rFonts w:ascii="宋体"/>
      <w:sz w:val="28"/>
      <w:szCs w:val="20"/>
    </w:rPr>
  </w:style>
  <w:style w:type="paragraph" w:styleId="1309">
    <w:name w:val="xl28"/>
    <w:basedOn w:val="1147"/>
    <w:next w:val="1309"/>
    <w:link w:val="11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0">
    <w:name w:val="xl47"/>
    <w:basedOn w:val="1147"/>
    <w:next w:val="1310"/>
    <w:link w:val="114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1">
    <w:name w:val="默认段落字体 Para Char Char Char Char"/>
    <w:basedOn w:val="1147"/>
    <w:next w:val="1311"/>
    <w:link w:val="1147"/>
    <w:qFormat/>
    <w:rPr>
      <w:rFonts w:ascii="Arial" w:hAnsi="Arial" w:cs="Arial"/>
      <w:szCs w:val="21"/>
    </w:rPr>
  </w:style>
  <w:style w:type="paragraph" w:styleId="1312">
    <w:name w:val="xl48"/>
    <w:basedOn w:val="1147"/>
    <w:next w:val="1312"/>
    <w:link w:val="11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13">
    <w:name w:val="xl31"/>
    <w:basedOn w:val="1147"/>
    <w:next w:val="1313"/>
    <w:link w:val="114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14">
    <w:name w:val="xl53"/>
    <w:basedOn w:val="1147"/>
    <w:next w:val="1314"/>
    <w:link w:val="11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5">
    <w:name w:val="Char Char Char"/>
    <w:basedOn w:val="1147"/>
    <w:next w:val="1315"/>
    <w:link w:val="1147"/>
    <w:qFormat/>
    <w:rPr>
      <w:rFonts w:ascii="Tahoma" w:hAnsi="Tahoma"/>
      <w:sz w:val="24"/>
      <w:szCs w:val="20"/>
    </w:rPr>
  </w:style>
  <w:style w:type="paragraph" w:styleId="1316">
    <w:name w:val="xl50"/>
    <w:basedOn w:val="1147"/>
    <w:next w:val="1316"/>
    <w:link w:val="11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17">
    <w:name w:val="缺省文本"/>
    <w:basedOn w:val="1147"/>
    <w:next w:val="1317"/>
    <w:link w:val="1147"/>
    <w:qFormat/>
    <w:pPr>
      <w:jc w:val="left"/>
    </w:pPr>
    <w:rPr>
      <w:sz w:val="24"/>
    </w:rPr>
  </w:style>
  <w:style w:type="paragraph" w:styleId="1318">
    <w:name w:val="Char Char Char1"/>
    <w:basedOn w:val="1147"/>
    <w:next w:val="1318"/>
    <w:link w:val="1147"/>
    <w:qFormat/>
    <w:rPr>
      <w:rFonts w:ascii="Tahoma" w:hAnsi="Tahoma"/>
      <w:sz w:val="24"/>
      <w:szCs w:val="20"/>
    </w:rPr>
  </w:style>
  <w:style w:type="paragraph" w:styleId="1319">
    <w:name w:val="Char Char Char Char Char Char Char1"/>
    <w:basedOn w:val="1147"/>
    <w:next w:val="1319"/>
    <w:link w:val="1147"/>
    <w:qFormat/>
    <w:pPr>
      <w:ind w:firstLine="200"/>
      <w:spacing w:line="360" w:lineRule="auto"/>
    </w:pPr>
    <w:rPr>
      <w:rFonts w:eastAsia="仿宋_GB2312"/>
      <w:sz w:val="24"/>
    </w:rPr>
  </w:style>
  <w:style w:type="paragraph" w:styleId="1320">
    <w:name w:val="xl51"/>
    <w:basedOn w:val="1147"/>
    <w:next w:val="1320"/>
    <w:link w:val="114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1">
    <w:name w:val="样式2"/>
    <w:basedOn w:val="1209"/>
    <w:next w:val="1321"/>
    <w:link w:val="1147"/>
    <w:qFormat/>
    <w:pPr>
      <w:jc w:val="center"/>
      <w:spacing w:line="360" w:lineRule="auto"/>
    </w:pPr>
    <w:rPr>
      <w:sz w:val="24"/>
    </w:rPr>
  </w:style>
  <w:style w:type="paragraph" w:styleId="1322">
    <w:name w:val="xl24"/>
    <w:basedOn w:val="1147"/>
    <w:next w:val="1322"/>
    <w:link w:val="11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3">
    <w:name w:val="xl29"/>
    <w:basedOn w:val="1147"/>
    <w:next w:val="1323"/>
    <w:link w:val="11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24">
    <w:name w:val="正文 + 楷体_GB2312"/>
    <w:basedOn w:val="1147"/>
    <w:next w:val="1324"/>
    <w:link w:val="1147"/>
    <w:qFormat/>
    <w:pPr>
      <w:jc w:val="left"/>
      <w:widowControl/>
    </w:pPr>
    <w:rPr>
      <w:rFonts w:ascii="楷体_GB2312" w:eastAsia="楷体_GB2312" w:cs="Arial"/>
      <w:sz w:val="24"/>
    </w:rPr>
  </w:style>
  <w:style w:type="paragraph" w:styleId="1325">
    <w:name w:val="xl34"/>
    <w:basedOn w:val="1147"/>
    <w:next w:val="1325"/>
    <w:link w:val="11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26">
    <w:name w:val="1 Char Char Char Char"/>
    <w:basedOn w:val="1147"/>
    <w:next w:val="1326"/>
    <w:link w:val="1147"/>
    <w:qFormat/>
    <w:rPr>
      <w:rFonts w:ascii="Tahoma" w:hAnsi="Tahoma"/>
      <w:sz w:val="24"/>
      <w:szCs w:val="20"/>
    </w:rPr>
  </w:style>
  <w:style w:type="paragraph" w:styleId="1327">
    <w:name w:val="列出段落1"/>
    <w:basedOn w:val="1147"/>
    <w:next w:val="1327"/>
    <w:link w:val="1147"/>
    <w:qFormat/>
    <w:pPr>
      <w:ind w:firstLine="420"/>
    </w:pPr>
    <w:rPr>
      <w:rFonts w:ascii="Calibri" w:hAnsi="Calibri"/>
      <w:szCs w:val="22"/>
    </w:rPr>
  </w:style>
  <w:style w:type="paragraph" w:styleId="1328">
    <w:name w:val="default"/>
    <w:basedOn w:val="1147"/>
    <w:next w:val="1328"/>
    <w:link w:val="1147"/>
    <w:qFormat/>
    <w:pPr>
      <w:jc w:val="left"/>
      <w:spacing w:before="100" w:beforeAutospacing="1" w:after="100" w:afterAutospacing="1"/>
      <w:widowControl/>
    </w:pPr>
    <w:rPr>
      <w:rFonts w:ascii="宋体" w:hAnsi="宋体" w:cs="宋体"/>
      <w:sz w:val="24"/>
    </w:rPr>
  </w:style>
  <w:style w:type="paragraph" w:styleId="1329">
    <w:name w:val="字元 字元1"/>
    <w:basedOn w:val="1147"/>
    <w:next w:val="1329"/>
    <w:link w:val="1147"/>
    <w:qFormat/>
    <w:rPr>
      <w:rFonts w:ascii="Tahoma" w:hAnsi="Tahoma"/>
      <w:sz w:val="24"/>
      <w:szCs w:val="20"/>
    </w:rPr>
  </w:style>
  <w:style w:type="paragraph" w:styleId="1330">
    <w:name w:val="_Style 160"/>
    <w:next w:val="1330"/>
    <w:link w:val="1147"/>
    <w:qFormat/>
    <w:rPr>
      <w:sz w:val="21"/>
      <w:szCs w:val="24"/>
      <w:lang w:val="en-US" w:eastAsia="zh-CN" w:bidi="ar-SA"/>
    </w:rPr>
  </w:style>
  <w:style w:type="paragraph" w:styleId="1331">
    <w:name w:val="项目编号3"/>
    <w:basedOn w:val="1292"/>
    <w:next w:val="1331"/>
    <w:link w:val="1147"/>
    <w:qFormat/>
    <w:pPr>
      <w:numPr>
        <w:ilvl w:val="0"/>
        <w:numId w:val="6"/>
      </w:numPr>
    </w:pPr>
  </w:style>
  <w:style w:type="paragraph" w:styleId="1332">
    <w:name w:val="Char21"/>
    <w:basedOn w:val="1147"/>
    <w:next w:val="1332"/>
    <w:link w:val="1147"/>
    <w:qFormat/>
    <w:rPr>
      <w:rFonts w:ascii="Tahoma" w:hAnsi="Tahoma"/>
      <w:sz w:val="24"/>
      <w:szCs w:val="20"/>
    </w:rPr>
  </w:style>
  <w:style w:type="paragraph" w:styleId="1333">
    <w:name w:val="表格文字"/>
    <w:basedOn w:val="1180"/>
    <w:next w:val="1333"/>
    <w:link w:val="1147"/>
    <w:qFormat/>
    <w:pPr>
      <w:ind w:firstLine="0"/>
      <w:spacing w:before="20" w:after="20" w:line="240" w:lineRule="auto"/>
    </w:pPr>
    <w:rPr>
      <w:rFonts w:ascii="Century Gothic" w:hAnsi="Century Gothic"/>
      <w:sz w:val="20"/>
      <w:szCs w:val="20"/>
    </w:rPr>
  </w:style>
  <w:style w:type="paragraph" w:styleId="1334">
    <w:name w:val="Char Char Char Char Char Char Char Char Char Char1"/>
    <w:basedOn w:val="1147"/>
    <w:next w:val="1334"/>
    <w:link w:val="1147"/>
    <w:qFormat/>
    <w:rPr>
      <w:rFonts w:ascii="宋体" w:hAnsi="宋体" w:cs="Courier New"/>
      <w:sz w:val="32"/>
      <w:szCs w:val="32"/>
    </w:rPr>
  </w:style>
  <w:style w:type="paragraph" w:styleId="1335">
    <w:name w:val="正文文本样式 加粗"/>
    <w:basedOn w:val="1292"/>
    <w:next w:val="1335"/>
    <w:link w:val="1147"/>
    <w:qFormat/>
    <w:rPr>
      <w:b/>
    </w:rPr>
  </w:style>
  <w:style w:type="paragraph" w:styleId="1336">
    <w:name w:val="Char2 Char Char Char Char Char Char"/>
    <w:basedOn w:val="1147"/>
    <w:next w:val="1336"/>
    <w:link w:val="1147"/>
    <w:qFormat/>
    <w:pPr>
      <w:jc w:val="center"/>
      <w:spacing w:line="400" w:lineRule="exact"/>
      <w:widowControl/>
    </w:pPr>
  </w:style>
  <w:style w:type="paragraph" w:styleId="1337">
    <w:name w:val="Char Char4"/>
    <w:basedOn w:val="1147"/>
    <w:next w:val="1337"/>
    <w:link w:val="1147"/>
    <w:qFormat/>
    <w:pPr>
      <w:jc w:val="center"/>
      <w:spacing w:line="400" w:lineRule="exact"/>
      <w:widowControl/>
    </w:pPr>
  </w:style>
  <w:style w:type="paragraph" w:styleId="1338">
    <w:name w:val="Char3 Char Char Char1"/>
    <w:basedOn w:val="1147"/>
    <w:next w:val="1338"/>
    <w:link w:val="1147"/>
    <w:qFormat/>
    <w:rPr>
      <w:rFonts w:ascii="Tahoma" w:hAnsi="Tahoma"/>
      <w:sz w:val="24"/>
      <w:szCs w:val="20"/>
    </w:rPr>
  </w:style>
  <w:style w:type="paragraph" w:styleId="1339">
    <w:name w:val="无间隔"/>
    <w:next w:val="1339"/>
    <w:link w:val="1147"/>
    <w:qFormat/>
    <w:pPr>
      <w:jc w:val="both"/>
      <w:widowControl w:val="off"/>
    </w:pPr>
    <w:rPr>
      <w:sz w:val="21"/>
      <w:szCs w:val="24"/>
      <w:lang w:val="en-US" w:eastAsia="zh-CN" w:bidi="ar-SA"/>
    </w:rPr>
  </w:style>
  <w:style w:type="paragraph" w:styleId="1340">
    <w:name w:val="22222222222222"/>
    <w:basedOn w:val="1147"/>
    <w:next w:val="1340"/>
    <w:link w:val="1147"/>
    <w:qFormat/>
    <w:pPr>
      <w:ind w:firstLine="480"/>
      <w:jc w:val="left"/>
      <w:spacing w:line="360" w:lineRule="auto"/>
      <w:widowControl/>
    </w:pPr>
    <w:rPr>
      <w:color w:val="ff0000"/>
      <w:sz w:val="24"/>
      <w:szCs w:val="20"/>
    </w:rPr>
  </w:style>
  <w:style w:type="character" w:styleId="1341">
    <w:name w:val="中等深浅网格 1 - 强调文字颜色 2 Char"/>
    <w:next w:val="1341"/>
    <w:link w:val="1342"/>
    <w:qFormat/>
    <w:rPr>
      <w:sz w:val="21"/>
      <w:szCs w:val="24"/>
      <w:lang w:val="zh-CN" w:eastAsia="zh-CN" w:bidi="ar-SA"/>
    </w:rPr>
  </w:style>
  <w:style w:type="paragraph" w:styleId="1342">
    <w:name w:val="1"/>
    <w:next w:val="1342"/>
    <w:link w:val="1341"/>
    <w:qFormat/>
    <w:rPr>
      <w:sz w:val="21"/>
      <w:szCs w:val="24"/>
      <w:lang w:val="zh-CN" w:eastAsia="zh-CN" w:bidi="ar-SA"/>
    </w:rPr>
  </w:style>
  <w:style w:type="paragraph" w:styleId="1343">
    <w:name w:val="图文"/>
    <w:basedOn w:val="1147"/>
    <w:next w:val="1343"/>
    <w:link w:val="1147"/>
    <w:qFormat/>
    <w:pPr>
      <w:spacing w:after="50" w:line="360" w:lineRule="auto"/>
    </w:pPr>
    <w:rPr>
      <w:sz w:val="24"/>
    </w:rPr>
  </w:style>
  <w:style w:type="paragraph" w:styleId="1344">
    <w:name w:val="xl23"/>
    <w:basedOn w:val="1147"/>
    <w:next w:val="1344"/>
    <w:link w:val="1147"/>
    <w:qFormat/>
    <w:pPr>
      <w:spacing w:before="100" w:beforeAutospacing="1" w:after="100" w:afterAutospacing="1" w:line="360" w:lineRule="auto"/>
      <w:widowControl/>
    </w:pPr>
    <w:rPr>
      <w:sz w:val="24"/>
      <w:szCs w:val="20"/>
    </w:rPr>
  </w:style>
  <w:style w:type="paragraph" w:styleId="1345">
    <w:name w:val="正文表格"/>
    <w:basedOn w:val="1147"/>
    <w:next w:val="1345"/>
    <w:link w:val="1346"/>
    <w:qFormat/>
    <w:pPr>
      <w:jc w:val="left"/>
    </w:pPr>
    <w:rPr>
      <w:rFonts w:ascii="宋体" w:hAnsi="宋体"/>
      <w:color w:val="000000"/>
      <w:szCs w:val="21"/>
    </w:rPr>
  </w:style>
  <w:style w:type="character" w:styleId="1346">
    <w:name w:val="正文表格 Char"/>
    <w:next w:val="1346"/>
    <w:link w:val="1345"/>
    <w:qFormat/>
    <w:rPr>
      <w:rFonts w:ascii="宋体" w:hAnsi="宋体"/>
      <w:color w:val="000000"/>
      <w:sz w:val="21"/>
      <w:szCs w:val="21"/>
    </w:rPr>
  </w:style>
  <w:style w:type="paragraph" w:styleId="1347">
    <w:name w:val="正文重点"/>
    <w:basedOn w:val="1147"/>
    <w:next w:val="1347"/>
    <w:link w:val="1348"/>
    <w:qFormat/>
    <w:pPr>
      <w:ind w:firstLine="482"/>
      <w:jc w:val="left"/>
      <w:spacing w:line="360" w:lineRule="auto"/>
    </w:pPr>
    <w:rPr>
      <w:b/>
      <w:sz w:val="24"/>
      <w:szCs w:val="20"/>
    </w:rPr>
  </w:style>
  <w:style w:type="character" w:styleId="1348">
    <w:name w:val="正文重点 Char"/>
    <w:next w:val="1348"/>
    <w:link w:val="1347"/>
    <w:qFormat/>
    <w:rPr>
      <w:b/>
      <w:sz w:val="24"/>
    </w:rPr>
  </w:style>
  <w:style w:type="paragraph" w:styleId="1349">
    <w:name w:val="标题1-附件"/>
    <w:basedOn w:val="1148"/>
    <w:next w:val="1349"/>
    <w:link w:val="1147"/>
    <w:qFormat/>
    <w:pPr>
      <w:jc w:val="left"/>
    </w:pPr>
    <w:rPr>
      <w:sz w:val="24"/>
      <w:szCs w:val="24"/>
    </w:rPr>
  </w:style>
  <w:style w:type="paragraph" w:styleId="1350">
    <w:name w:val="正文小标题"/>
    <w:basedOn w:val="1147"/>
    <w:next w:val="1161"/>
    <w:link w:val="1351"/>
    <w:qFormat/>
    <w:pPr>
      <w:ind w:firstLine="482"/>
      <w:jc w:val="left"/>
      <w:spacing w:before="312" w:after="312"/>
    </w:pPr>
    <w:rPr>
      <w:rFonts w:ascii="宋体" w:hAnsi="宋体"/>
      <w:b/>
      <w:i/>
      <w:color w:val="ff0000"/>
      <w:sz w:val="24"/>
      <w:szCs w:val="20"/>
    </w:rPr>
  </w:style>
  <w:style w:type="character" w:styleId="1351">
    <w:name w:val="正文小标题 Char"/>
    <w:next w:val="1351"/>
    <w:link w:val="1350"/>
    <w:qFormat/>
    <w:rPr>
      <w:rFonts w:ascii="宋体" w:hAnsi="宋体"/>
      <w:b/>
      <w:i/>
      <w:color w:val="ff0000"/>
      <w:sz w:val="24"/>
    </w:rPr>
  </w:style>
  <w:style w:type="paragraph" w:styleId="1352">
    <w:name w:val="正文大标题"/>
    <w:basedOn w:val="1350"/>
    <w:next w:val="1161"/>
    <w:link w:val="1353"/>
    <w:qFormat/>
    <w:pPr>
      <w:jc w:val="center"/>
    </w:pPr>
    <w:rPr>
      <w:i w:val="0"/>
      <w:color w:val="000000"/>
      <w:sz w:val="28"/>
      <w:szCs w:val="21"/>
    </w:rPr>
  </w:style>
  <w:style w:type="character" w:styleId="1353">
    <w:name w:val="正文大标题 Char"/>
    <w:next w:val="1353"/>
    <w:link w:val="1352"/>
    <w:qFormat/>
    <w:rPr>
      <w:rFonts w:ascii="宋体" w:hAnsi="宋体"/>
      <w:b/>
      <w:color w:val="000000"/>
      <w:sz w:val="28"/>
      <w:szCs w:val="21"/>
    </w:rPr>
  </w:style>
  <w:style w:type="paragraph" w:styleId="1354">
    <w:name w:val="注释"/>
    <w:basedOn w:val="1147"/>
    <w:next w:val="1354"/>
    <w:link w:val="1355"/>
    <w:qFormat/>
    <w:pPr>
      <w:ind w:left="420" w:hanging="420"/>
      <w:jc w:val="left"/>
    </w:pPr>
    <w:rPr>
      <w:rFonts w:ascii="宋体" w:hAnsi="宋体"/>
      <w:szCs w:val="21"/>
    </w:rPr>
  </w:style>
  <w:style w:type="character" w:styleId="1355">
    <w:name w:val="注释 Char"/>
    <w:next w:val="1355"/>
    <w:link w:val="1354"/>
    <w:qFormat/>
    <w:rPr>
      <w:rFonts w:ascii="宋体" w:hAnsi="宋体"/>
      <w:sz w:val="21"/>
      <w:szCs w:val="21"/>
    </w:rPr>
  </w:style>
  <w:style w:type="paragraph" w:styleId="1356">
    <w:name w:val="正文须知-1级"/>
    <w:basedOn w:val="1147"/>
    <w:next w:val="1147"/>
    <w:link w:val="1147"/>
    <w:qFormat/>
    <w:pPr>
      <w:numPr>
        <w:ilvl w:val="0"/>
        <w:numId w:val="7"/>
      </w:numPr>
      <w:spacing w:line="300" w:lineRule="auto"/>
    </w:pPr>
    <w:rPr>
      <w:rFonts w:ascii="宋体" w:hAnsi="Calibri"/>
      <w:sz w:val="24"/>
      <w:szCs w:val="21"/>
    </w:rPr>
  </w:style>
  <w:style w:type="paragraph" w:styleId="1357">
    <w:name w:val="正文须知-2级"/>
    <w:basedOn w:val="1147"/>
    <w:next w:val="1357"/>
    <w:link w:val="1147"/>
    <w:qFormat/>
    <w:pPr>
      <w:numPr>
        <w:ilvl w:val="1"/>
        <w:numId w:val="7"/>
      </w:numPr>
      <w:spacing w:line="300" w:lineRule="auto"/>
    </w:pPr>
    <w:rPr>
      <w:rFonts w:ascii="宋体" w:hAnsi="Calibri"/>
      <w:sz w:val="24"/>
      <w:szCs w:val="21"/>
    </w:rPr>
  </w:style>
  <w:style w:type="paragraph" w:styleId="1358">
    <w:name w:val="正文须知-3级"/>
    <w:basedOn w:val="1147"/>
    <w:next w:val="1358"/>
    <w:link w:val="1147"/>
    <w:qFormat/>
    <w:pPr>
      <w:numPr>
        <w:ilvl w:val="2"/>
        <w:numId w:val="7"/>
      </w:numPr>
      <w:ind w:hanging="355"/>
      <w:spacing w:line="300" w:lineRule="auto"/>
    </w:pPr>
    <w:rPr>
      <w:rFonts w:ascii="宋体" w:hAnsi="Calibri"/>
      <w:sz w:val="24"/>
      <w:szCs w:val="21"/>
    </w:rPr>
  </w:style>
  <w:style w:type="character" w:styleId="1359">
    <w:name w:val="纯文本 字符"/>
    <w:next w:val="1359"/>
    <w:link w:val="1147"/>
    <w:uiPriority w:val="99"/>
    <w:qFormat/>
    <w:rPr>
      <w:rFonts w:ascii="宋体" w:hAnsi="Courier New" w:eastAsia="宋体" w:cs="Times New Roman"/>
      <w:sz w:val="21"/>
      <w:szCs w:val="21"/>
      <w:lang w:val="en-US" w:eastAsia="zh-CN" w:bidi="ar-SA"/>
    </w:rPr>
  </w:style>
  <w:style w:type="paragraph" w:styleId="1360">
    <w:name w:val="表格1"/>
    <w:basedOn w:val="1147"/>
    <w:next w:val="1360"/>
    <w:link w:val="1147"/>
    <w:qFormat/>
    <w:pPr>
      <w:ind w:firstLine="480"/>
      <w:jc w:val="center"/>
    </w:pPr>
    <w:rPr>
      <w:sz w:val="24"/>
      <w:szCs w:val="20"/>
    </w:rPr>
  </w:style>
  <w:style w:type="character" w:styleId="1361">
    <w:name w:val="纯文本 字符1"/>
    <w:next w:val="1361"/>
    <w:link w:val="1147"/>
    <w:qFormat/>
    <w:rPr>
      <w:rFonts w:ascii="宋体" w:hAnsi="Courier New"/>
    </w:rPr>
  </w:style>
  <w:style w:type="character" w:styleId="1362">
    <w:name w:val="bjh-p"/>
    <w:next w:val="1362"/>
    <w:link w:val="1147"/>
    <w:qFormat/>
  </w:style>
  <w:style w:type="paragraph" w:styleId="1363">
    <w:name w:val="无标题条"/>
    <w:next w:val="1147"/>
    <w:link w:val="1147"/>
    <w:qFormat/>
    <w:pPr>
      <w:jc w:val="both"/>
    </w:pPr>
    <w:rPr>
      <w:sz w:val="21"/>
      <w:lang w:val="en-US" w:eastAsia="zh-CN" w:bidi="ar-SA"/>
    </w:rPr>
  </w:style>
  <w:style w:type="character" w:styleId="1364">
    <w:name w:val="正文格式 Char"/>
    <w:next w:val="1364"/>
    <w:link w:val="1365"/>
    <w:qFormat/>
    <w:rPr>
      <w:rFonts w:ascii="宋体" w:hAnsi="宋体"/>
      <w:sz w:val="24"/>
      <w:szCs w:val="24"/>
      <w:lang w:val="en-GB"/>
    </w:rPr>
  </w:style>
  <w:style w:type="paragraph" w:styleId="1365">
    <w:name w:val="正文格式"/>
    <w:basedOn w:val="1147"/>
    <w:next w:val="1365"/>
    <w:link w:val="1364"/>
    <w:qFormat/>
    <w:pPr>
      <w:ind w:firstLine="480"/>
      <w:spacing w:line="360" w:lineRule="auto"/>
    </w:pPr>
    <w:rPr>
      <w:rFonts w:ascii="宋体" w:hAnsi="宋体"/>
      <w:sz w:val="24"/>
      <w:lang w:val="en-GB"/>
    </w:rPr>
  </w:style>
  <w:style w:type="character" w:styleId="1366">
    <w:name w:val="标题 3 Char"/>
    <w:next w:val="1366"/>
    <w:link w:val="1147"/>
    <w:qFormat/>
    <w:rPr>
      <w:rFonts w:ascii="宋体" w:eastAsia="宋体"/>
      <w:b/>
      <w:sz w:val="24"/>
      <w:u w:val="single"/>
      <w:lang w:val="en-US" w:eastAsia="zh-CN" w:bidi="ar-SA"/>
    </w:rPr>
  </w:style>
  <w:style w:type="character" w:styleId="1367">
    <w:name w:val="正文缩进 Char"/>
    <w:next w:val="1367"/>
    <w:link w:val="1147"/>
    <w:qFormat/>
    <w:rPr>
      <w:rFonts w:ascii="宋体" w:eastAsia="宋体"/>
      <w:sz w:val="24"/>
      <w:szCs w:val="24"/>
      <w:lang w:val="en-US" w:eastAsia="zh-CN" w:bidi="ar-SA"/>
    </w:rPr>
  </w:style>
  <w:style w:type="character" w:styleId="1368">
    <w:name w:val="Char Char111"/>
    <w:next w:val="1368"/>
    <w:link w:val="1147"/>
    <w:qFormat/>
    <w:rPr>
      <w:rFonts w:ascii="宋体" w:eastAsia="宋体"/>
      <w:b/>
      <w:sz w:val="24"/>
      <w:u w:val="single"/>
      <w:lang w:val="en-US" w:eastAsia="zh-CN" w:bidi="ar-SA"/>
    </w:rPr>
  </w:style>
  <w:style w:type="character" w:styleId="1369">
    <w:name w:val="正文文本缩进 Char"/>
    <w:next w:val="1369"/>
    <w:link w:val="1147"/>
    <w:qFormat/>
    <w:rPr>
      <w:rFonts w:eastAsia="宋体"/>
      <w:sz w:val="24"/>
      <w:szCs w:val="24"/>
      <w:lang w:val="en-US" w:eastAsia="zh-CN" w:bidi="ar-SA"/>
    </w:rPr>
  </w:style>
  <w:style w:type="character" w:styleId="1370">
    <w:name w:val="列出段落 Char"/>
    <w:next w:val="1370"/>
    <w:link w:val="1147"/>
    <w:qFormat/>
    <w:rPr>
      <w:rFonts w:ascii="Calibri" w:hAnsi="Calibri" w:eastAsia="宋体"/>
      <w:sz w:val="21"/>
      <w:szCs w:val="22"/>
      <w:lang w:val="en-US" w:eastAsia="zh-CN" w:bidi="ar-SA"/>
    </w:rPr>
  </w:style>
  <w:style w:type="character" w:styleId="1371">
    <w:name w:val="页眉 Char"/>
    <w:next w:val="1371"/>
    <w:link w:val="1147"/>
    <w:qFormat/>
    <w:rPr>
      <w:rFonts w:eastAsia="宋体"/>
      <w:sz w:val="18"/>
      <w:szCs w:val="18"/>
      <w:lang w:val="en-US" w:eastAsia="zh-CN" w:bidi="ar-SA"/>
    </w:rPr>
  </w:style>
  <w:style w:type="character" w:styleId="1372">
    <w:name w:val="标题 2 Char"/>
    <w:next w:val="1372"/>
    <w:link w:val="1147"/>
    <w:qFormat/>
    <w:rPr>
      <w:rFonts w:ascii="Arial" w:hAnsi="Arial" w:eastAsia="黑体"/>
      <w:b/>
      <w:sz w:val="30"/>
      <w:lang w:val="en-US" w:eastAsia="zh-CN" w:bidi="ar-SA"/>
    </w:rPr>
  </w:style>
  <w:style w:type="paragraph" w:styleId="1373">
    <w:name w:val="字元 字元2"/>
    <w:basedOn w:val="1147"/>
    <w:next w:val="1373"/>
    <w:link w:val="1147"/>
    <w:qFormat/>
    <w:rPr>
      <w:rFonts w:ascii="Tahoma" w:hAnsi="Tahoma"/>
      <w:sz w:val="24"/>
      <w:szCs w:val="20"/>
    </w:rPr>
  </w:style>
  <w:style w:type="paragraph" w:styleId="1374">
    <w:name w:val="Char3 Char Char Char2"/>
    <w:basedOn w:val="1147"/>
    <w:next w:val="1374"/>
    <w:link w:val="1147"/>
    <w:qFormat/>
    <w:rPr>
      <w:rFonts w:ascii="Tahoma" w:hAnsi="Tahoma"/>
      <w:sz w:val="24"/>
      <w:szCs w:val="20"/>
    </w:rPr>
  </w:style>
  <w:style w:type="paragraph" w:styleId="1375">
    <w:name w:val="正文文本缩进2"/>
    <w:basedOn w:val="1147"/>
    <w:next w:val="1375"/>
    <w:link w:val="1147"/>
    <w:qFormat/>
    <w:pPr>
      <w:ind w:firstLine="480"/>
      <w:spacing w:line="480" w:lineRule="exact"/>
    </w:pPr>
    <w:rPr>
      <w:rFonts w:ascii="宋体" w:hAnsi="宋体"/>
      <w:sz w:val="24"/>
      <w:lang w:val="zh-CN" w:eastAsia="zh-CN"/>
    </w:rPr>
  </w:style>
  <w:style w:type="paragraph" w:styleId="1376">
    <w:name w:val="Char3"/>
    <w:basedOn w:val="1147"/>
    <w:next w:val="1376"/>
    <w:link w:val="1147"/>
    <w:qFormat/>
    <w:pPr>
      <w:tabs>
        <w:tab w:val="left" w:pos="360" w:leader="none"/>
      </w:tabs>
    </w:pPr>
    <w:rPr>
      <w:sz w:val="24"/>
    </w:rPr>
  </w:style>
  <w:style w:type="paragraph" w:styleId="1377">
    <w:name w:val="Char Char Char Char Char Char Char Char Char Char Char Char Char Char Char Char1"/>
    <w:basedOn w:val="1147"/>
    <w:next w:val="1377"/>
    <w:link w:val="1147"/>
    <w:qFormat/>
    <w:pPr>
      <w:jc w:val="center"/>
      <w:spacing w:after="160" w:line="240" w:lineRule="exact"/>
      <w:widowControl/>
    </w:pPr>
    <w:rPr>
      <w:rFonts w:ascii="宋体" w:hAnsi="宋体"/>
      <w:b/>
      <w:sz w:val="30"/>
      <w:szCs w:val="30"/>
      <w:lang w:eastAsia="en-US"/>
    </w:rPr>
  </w:style>
  <w:style w:type="paragraph" w:styleId="1378">
    <w:name w:val="Char Char1 Char Char Char Char Char Char1"/>
    <w:basedOn w:val="1147"/>
    <w:next w:val="1378"/>
    <w:link w:val="1147"/>
    <w:qFormat/>
    <w:pPr>
      <w:jc w:val="left"/>
      <w:spacing w:after="160" w:line="240" w:lineRule="exact"/>
      <w:widowControl/>
    </w:pPr>
    <w:rPr>
      <w:rFonts w:ascii="Verdana" w:hAnsi="Verdana" w:eastAsia="仿宋_GB2312"/>
      <w:sz w:val="24"/>
      <w:szCs w:val="20"/>
      <w:lang w:eastAsia="en-US"/>
    </w:rPr>
  </w:style>
  <w:style w:type="paragraph" w:styleId="1379">
    <w:name w:val="列出段落2"/>
    <w:basedOn w:val="1147"/>
    <w:next w:val="1379"/>
    <w:link w:val="1147"/>
    <w:qFormat/>
    <w:pPr>
      <w:ind w:firstLine="420"/>
    </w:pPr>
    <w:rPr>
      <w:rFonts w:ascii="Calibri" w:hAnsi="Calibri"/>
      <w:szCs w:val="22"/>
    </w:rPr>
  </w:style>
  <w:style w:type="paragraph" w:styleId="1380">
    <w:name w:val="Char Char Char1 Char2"/>
    <w:basedOn w:val="1147"/>
    <w:next w:val="1380"/>
    <w:link w:val="1147"/>
    <w:qFormat/>
    <w:rPr>
      <w:rFonts w:ascii="Tahoma" w:hAnsi="Tahoma"/>
      <w:sz w:val="24"/>
      <w:szCs w:val="20"/>
    </w:rPr>
  </w:style>
  <w:style w:type="paragraph" w:styleId="1381">
    <w:name w:val="Char Char Char2"/>
    <w:basedOn w:val="1147"/>
    <w:next w:val="1381"/>
    <w:link w:val="1147"/>
    <w:qFormat/>
    <w:rPr>
      <w:rFonts w:ascii="Tahoma" w:hAnsi="Tahoma"/>
      <w:sz w:val="24"/>
      <w:szCs w:val="20"/>
    </w:rPr>
  </w:style>
  <w:style w:type="paragraph" w:styleId="1382">
    <w:name w:val="Char Char Char Char Char Char Char2"/>
    <w:basedOn w:val="1147"/>
    <w:next w:val="1382"/>
    <w:link w:val="1147"/>
    <w:qFormat/>
    <w:pPr>
      <w:ind w:firstLine="200"/>
      <w:spacing w:line="360" w:lineRule="auto"/>
    </w:pPr>
    <w:rPr>
      <w:rFonts w:eastAsia="仿宋_GB2312"/>
      <w:sz w:val="24"/>
    </w:rPr>
  </w:style>
  <w:style w:type="paragraph" w:styleId="1383">
    <w:name w:val="正文缩进2"/>
    <w:basedOn w:val="1147"/>
    <w:next w:val="1383"/>
    <w:link w:val="1147"/>
    <w:qFormat/>
    <w:pPr>
      <w:ind w:firstLine="567"/>
      <w:spacing w:line="480" w:lineRule="exact"/>
      <w:widowControl/>
    </w:pPr>
    <w:rPr>
      <w:rFonts w:ascii="宋体"/>
      <w:color w:val="000000"/>
      <w:sz w:val="28"/>
      <w:szCs w:val="20"/>
      <w:lang w:val="zh-CN" w:eastAsia="zh-CN"/>
    </w:rPr>
  </w:style>
  <w:style w:type="paragraph" w:styleId="1384">
    <w:name w:val="Revision"/>
    <w:next w:val="1384"/>
    <w:link w:val="1147"/>
    <w:qFormat/>
    <w:rPr>
      <w:sz w:val="21"/>
      <w:szCs w:val="24"/>
      <w:lang w:val="en-US" w:eastAsia="zh-CN" w:bidi="ar-SA"/>
    </w:rPr>
  </w:style>
  <w:style w:type="paragraph" w:styleId="1385">
    <w:name w:val="Char22"/>
    <w:basedOn w:val="1147"/>
    <w:next w:val="1385"/>
    <w:link w:val="1147"/>
    <w:qFormat/>
    <w:rPr>
      <w:rFonts w:ascii="Tahoma" w:hAnsi="Tahoma"/>
      <w:sz w:val="24"/>
      <w:szCs w:val="20"/>
    </w:rPr>
  </w:style>
  <w:style w:type="paragraph" w:styleId="1386">
    <w:name w:val="Char Char Char Char Char Char Char Char Char Char2"/>
    <w:basedOn w:val="1147"/>
    <w:next w:val="1386"/>
    <w:link w:val="1147"/>
    <w:qFormat/>
    <w:rPr>
      <w:rFonts w:ascii="宋体" w:hAnsi="宋体" w:cs="Courier New"/>
      <w:sz w:val="32"/>
      <w:szCs w:val="32"/>
    </w:rPr>
  </w:style>
  <w:style w:type="paragraph" w:styleId="1387">
    <w:name w:val="Char2 Char Char Char Char Char Char1"/>
    <w:basedOn w:val="1147"/>
    <w:next w:val="1387"/>
    <w:link w:val="1147"/>
    <w:qFormat/>
    <w:pPr>
      <w:jc w:val="center"/>
      <w:spacing w:line="400" w:lineRule="exact"/>
      <w:widowControl/>
    </w:pPr>
  </w:style>
  <w:style w:type="character" w:styleId="1388">
    <w:name w:val="页脚 Char"/>
    <w:next w:val="1388"/>
    <w:link w:val="1147"/>
    <w:qFormat/>
    <w:rPr>
      <w:rFonts w:ascii="宋体" w:eastAsia="宋体"/>
      <w:sz w:val="18"/>
      <w:lang w:val="en-US" w:eastAsia="zh-CN" w:bidi="ar-SA"/>
    </w:rPr>
  </w:style>
  <w:style w:type="paragraph" w:styleId="1389">
    <w:name w:val="Char Char41"/>
    <w:basedOn w:val="1147"/>
    <w:next w:val="1389"/>
    <w:link w:val="1147"/>
    <w:qFormat/>
    <w:pPr>
      <w:jc w:val="center"/>
      <w:spacing w:line="400" w:lineRule="exact"/>
      <w:widowControl/>
    </w:pPr>
  </w:style>
  <w:style w:type="character" w:styleId="1390">
    <w:name w:val="批注文字 Char"/>
    <w:next w:val="1390"/>
    <w:link w:val="1147"/>
    <w:uiPriority w:val="99"/>
    <w:qFormat/>
    <w:rPr>
      <w:sz w:val="21"/>
      <w:szCs w:val="24"/>
    </w:rPr>
  </w:style>
  <w:style w:type="character" w:styleId="1391">
    <w:name w:val="标题 Char"/>
    <w:next w:val="1391"/>
    <w:link w:val="1147"/>
    <w:qFormat/>
    <w:rPr>
      <w:b/>
      <w:sz w:val="32"/>
    </w:rPr>
  </w:style>
  <w:style w:type="paragraph" w:styleId="1392">
    <w:name w:val="图例"/>
    <w:basedOn w:val="1147"/>
    <w:next w:val="1392"/>
    <w:link w:val="1147"/>
    <w:qFormat/>
    <w:pPr>
      <w:jc w:val="center"/>
      <w:spacing w:before="120" w:after="120" w:line="360" w:lineRule="auto"/>
    </w:pPr>
    <w:rPr>
      <w:rFonts w:eastAsia="仿宋_GB2312"/>
      <w:b/>
      <w:sz w:val="24"/>
      <w:szCs w:val="20"/>
    </w:rPr>
  </w:style>
  <w:style w:type="paragraph" w:styleId="1393">
    <w:name w:val="Table Paragraph"/>
    <w:basedOn w:val="1147"/>
    <w:next w:val="1393"/>
    <w:link w:val="1147"/>
    <w:uiPriority w:val="1"/>
    <w:qFormat/>
    <w:pPr>
      <w:jc w:val="left"/>
    </w:pPr>
    <w:rPr>
      <w:rFonts w:ascii="宋体" w:hAnsi="宋体" w:cs="宋体"/>
      <w:sz w:val="22"/>
      <w:szCs w:val="22"/>
      <w:lang w:eastAsia="en-US"/>
    </w:rPr>
  </w:style>
  <w:style w:type="table" w:styleId="1394">
    <w:name w:val="Table Normal"/>
    <w:next w:val="1394"/>
    <w:link w:val="1147"/>
    <w:uiPriority w:val="2"/>
    <w:semiHidden/>
    <w:qFormat/>
    <w:pPr>
      <w:widowControl w:val="off"/>
    </w:pPr>
    <w:rPr>
      <w:rFonts w:ascii="Calibri" w:hAnsi="Calibri"/>
      <w:sz w:val="22"/>
      <w:szCs w:val="22"/>
      <w:lang w:val="en-US" w:eastAsia="en-US" w:bidi="ar-SA"/>
    </w:rPr>
    <w:tblPr/>
  </w:style>
  <w:style w:type="paragraph" w:styleId="1395">
    <w:name w:val="成文日期"/>
    <w:basedOn w:val="1147"/>
    <w:next w:val="1395"/>
    <w:link w:val="1396"/>
    <w:qFormat/>
    <w:pPr>
      <w:ind w:right="400" w:firstLine="200"/>
      <w:jc w:val="right"/>
      <w:spacing w:line="570" w:lineRule="exact"/>
    </w:pPr>
    <w:rPr>
      <w:rFonts w:ascii="仿宋_GB2312" w:eastAsia="仿宋_GB2312"/>
      <w:sz w:val="32"/>
      <w:szCs w:val="20"/>
    </w:rPr>
  </w:style>
  <w:style w:type="character" w:styleId="1396">
    <w:name w:val="成文日期 Char"/>
    <w:next w:val="1396"/>
    <w:link w:val="1395"/>
    <w:rPr>
      <w:rFonts w:ascii="仿宋_GB2312" w:eastAsia="仿宋_GB2312"/>
      <w:sz w:val="32"/>
    </w:rPr>
  </w:style>
  <w:style w:type="paragraph" w:styleId="1397">
    <w:name w:val="标题 21"/>
    <w:basedOn w:val="1147"/>
    <w:next w:val="1398"/>
    <w:link w:val="1147"/>
    <w:qFormat/>
    <w:pPr>
      <w:jc w:val="center"/>
      <w:keepLines/>
      <w:keepNext/>
      <w:spacing w:before="120" w:line="300" w:lineRule="auto"/>
      <w:outlineLvl w:val="1"/>
    </w:pPr>
    <w:rPr>
      <w:rFonts w:ascii="Arial" w:hAnsi="Arial" w:eastAsia="黑体"/>
      <w:b/>
      <w:sz w:val="30"/>
      <w:szCs w:val="20"/>
    </w:rPr>
  </w:style>
  <w:style w:type="paragraph" w:styleId="1398">
    <w:name w:val="正文缩进11"/>
    <w:basedOn w:val="1147"/>
    <w:next w:val="1398"/>
    <w:link w:val="1147"/>
    <w:qFormat/>
    <w:pPr>
      <w:ind w:firstLine="420"/>
      <w:jc w:val="left"/>
    </w:pPr>
    <w:rPr>
      <w:rFonts w:ascii="宋体"/>
      <w:sz w:val="24"/>
    </w:rPr>
  </w:style>
  <w:style w:type="paragraph" w:styleId="1399">
    <w:name w:val="正文文本1"/>
    <w:basedOn w:val="1147"/>
    <w:next w:val="1147"/>
    <w:link w:val="1147"/>
    <w:qFormat/>
    <w:pPr>
      <w:spacing w:before="120" w:line="22" w:lineRule="atLeast"/>
      <w:tabs>
        <w:tab w:val="left" w:pos="567" w:leader="none"/>
      </w:tabs>
    </w:pPr>
    <w:rPr>
      <w:rFonts w:ascii="宋体" w:hAnsi="宋体"/>
      <w:sz w:val="24"/>
    </w:rPr>
  </w:style>
  <w:style w:type="character" w:styleId="1400">
    <w:name w:val="NormalCharacter1"/>
    <w:next w:val="1400"/>
    <w:link w:val="1147"/>
    <w:uiPriority w:val="99"/>
    <w:semiHidden/>
    <w:qFormat/>
  </w:style>
  <w:style w:type="paragraph" w:styleId="1401">
    <w:name w:val="段"/>
    <w:next w:val="1147"/>
    <w:link w:val="1147"/>
    <w:qFormat/>
    <w:pPr>
      <w:ind w:firstLine="200"/>
      <w:jc w:val="both"/>
      <w:spacing w:line="360" w:lineRule="auto"/>
    </w:pPr>
    <w:rPr>
      <w:rFonts w:ascii="宋体" w:hAnsi="Times New Roman" w:eastAsia="宋体" w:cs="Times New Roman"/>
      <w:sz w:val="24"/>
      <w:szCs w:val="22"/>
      <w:lang w:val="en-US" w:eastAsia="zh-CN" w:bidi="ar-SA"/>
    </w:rPr>
  </w:style>
  <w:style w:type="character" w:styleId="1402">
    <w:name w:val="font31"/>
    <w:basedOn w:val="1157"/>
    <w:next w:val="1402"/>
    <w:link w:val="1147"/>
    <w:rPr>
      <w:rFonts w:ascii="Times New Roman" w:hAnsi="Times New Roman" w:cs="Times New Roman"/>
      <w:i w:val="0"/>
      <w:iCs w:val="0"/>
      <w:color w:val="000000"/>
      <w:sz w:val="22"/>
      <w:szCs w:val="22"/>
      <w:u w:val="none"/>
    </w:rPr>
  </w:style>
  <w:style w:type="character" w:styleId="1403">
    <w:name w:val="font11"/>
    <w:basedOn w:val="1157"/>
    <w:next w:val="1403"/>
    <w:link w:val="1147"/>
    <w:rPr>
      <w:rFonts w:hint="eastAsia" w:ascii="黑体" w:hAnsi="宋体" w:eastAsia="黑体" w:cs="黑体"/>
      <w:i w:val="0"/>
      <w:iCs w:val="0"/>
      <w:color w:val="000000"/>
      <w:sz w:val="22"/>
      <w:szCs w:val="22"/>
      <w:u w:val="none"/>
    </w:rPr>
  </w:style>
  <w:style w:type="character" w:styleId="1404" w:default="1">
    <w:name w:val="Default Paragraph Font"/>
    <w:uiPriority w:val="1"/>
    <w:semiHidden/>
    <w:unhideWhenUsed/>
  </w:style>
  <w:style w:type="numbering" w:styleId="1405" w:default="1">
    <w:name w:val="No List"/>
    <w:uiPriority w:val="99"/>
    <w:semiHidden/>
    <w:unhideWhenUsed/>
  </w:style>
  <w:style w:type="table" w:styleId="14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袁旖</cp:lastModifiedBy>
  <cp:revision>4</cp:revision>
  <dcterms:created xsi:type="dcterms:W3CDTF">2024-02-21T07:05:00Z</dcterms:created>
  <dcterms:modified xsi:type="dcterms:W3CDTF">2026-03-30T07:01:01Z</dcterms:modified>
</cp:coreProperties>
</file>