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left="1606" w:hanging="1606"/>
        <w:rPr>
          <w:rFonts w:hint="eastAsia" w:ascii="Arial" w:hAnsi="Arial"/>
          <w:b/>
          <w:bCs/>
          <w:sz w:val="32"/>
          <w:szCs w:val="24"/>
        </w:rPr>
      </w:pPr>
      <w:r>
        <w:rPr>
          <w:rFonts w:hint="eastAsia" w:ascii="Arial" w:hAnsi="Arial"/>
          <w:b/>
          <w:bCs/>
          <w:sz w:val="32"/>
          <w:szCs w:val="24"/>
        </w:rPr>
      </w:r>
      <w:r/>
    </w:p>
    <w:p>
      <w:pPr>
        <w:ind w:left="1606" w:hanging="1606"/>
        <w:rPr>
          <w:rFonts w:ascii="Arial" w:hAnsi="Arial"/>
          <w:b/>
          <w:bCs/>
          <w:sz w:val="32"/>
          <w:szCs w:val="24"/>
        </w:rPr>
      </w:pPr>
      <w:r>
        <w:rPr>
          <w:rFonts w:hint="eastAsia" w:ascii="Arial" w:hAnsi="Arial"/>
          <w:b/>
          <w:bCs/>
          <w:sz w:val="32"/>
          <w:szCs w:val="24"/>
        </w:rPr>
        <w:t xml:space="preserve">项目名称：</w:t>
      </w:r>
      <w:r>
        <w:rPr>
          <w:rFonts w:ascii="Arial" w:hAnsi="宋体"/>
          <w:sz w:val="24"/>
          <w:szCs w:val="24"/>
        </w:rPr>
        <w:t xml:space="preserve">_</w:t>
      </w:r>
      <w:r>
        <w:rPr>
          <w:rFonts w:hint="eastAsia" w:ascii="Arial" w:hAnsi="Arial"/>
          <w:b/>
          <w:bCs/>
          <w:sz w:val="32"/>
          <w:szCs w:val="24"/>
          <w:u w:val="single"/>
        </w:rPr>
        <w:t xml:space="preserve">江苏数据知识产权登记系统与国家知识产权局数据知识产权审查管理平台对接改造</w:t>
      </w:r>
      <w:r/>
    </w:p>
    <w:p>
      <w:pPr>
        <w:jc w:val="left"/>
        <w:spacing w:before="120" w:after="120" w:line="360" w:lineRule="auto"/>
        <w:rPr>
          <w:rFonts w:ascii="Arial" w:hAnsi="Arial"/>
          <w:b/>
          <w:bCs/>
          <w:sz w:val="32"/>
          <w:szCs w:val="24"/>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：JSZC-320000-SCZX-C2026-0028</w:t>
      </w:r>
      <w:r>
        <w:rPr>
          <w:rFonts w:ascii="Arial" w:hAnsi="Arial"/>
          <w:b/>
          <w:bCs/>
          <w:sz w:val="32"/>
          <w:szCs w:val="24"/>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3</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16938516"/>
      <w:r/>
      <w:bookmarkStart w:id="2" w:name="_Toc20823272"/>
      <w:r/>
      <w:bookmarkStart w:id="3" w:name="_Toc523127445"/>
      <w:r/>
      <w:bookmarkStart w:id="4" w:name="_Toc513029200"/>
      <w:r/>
      <w:bookmarkStart w:id="5" w:name="_Toc479757206"/>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18</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30</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江苏省知识产权保护中心（江苏省专利信息服务中心）的委托，江苏省政府采购中心就〔江苏数据知识产权登记系统与国家知识产权局数据知识产权审查管理平台对接改造项目〕(JSZC-320000-SCZX-C2026-0028)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江苏数据知识产权登记系统与国家知识产权局数据知识产权审查管理平台对接改造</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3月</w:t>
      </w:r>
      <w:r>
        <w:rPr>
          <w:rFonts w:hint="eastAsia" w:ascii="宋体" w:hAnsi="宋体"/>
          <w:bCs/>
          <w:color w:val="000000" w:themeColor="text1"/>
          <w:sz w:val="24"/>
          <w:szCs w:val="24"/>
          <w:u w:val="single"/>
        </w:rPr>
        <w:t xml:space="preserve">24日9点30分（</w:t>
      </w:r>
      <w:r>
        <w:rPr>
          <w:rFonts w:hint="eastAsia" w:ascii="宋体" w:hAnsi="宋体"/>
          <w:bCs/>
          <w:color w:val="000000" w:themeColor="text1"/>
          <w:sz w:val="24"/>
          <w:szCs w:val="24"/>
        </w:rPr>
        <w:t xml:space="preserve">北京时间）</w:t>
      </w:r>
      <w:r>
        <w:rPr>
          <w:rFonts w:hint="eastAsia" w:ascii="宋体" w:hAnsi="宋体"/>
          <w:bCs/>
          <w:sz w:val="24"/>
          <w:szCs w:val="24"/>
        </w:rPr>
        <w:t xml:space="preserve">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eastAsia="宋体" w:cs="Times New Roman"/>
          <w:sz w:val="24"/>
          <w:szCs w:val="24"/>
          <w:lang w:eastAsia="zh-CN"/>
        </w:rPr>
        <w:t xml:space="preserve">：JSZC-320000-SCZX-C2026-0028 </w:t>
      </w:r>
      <w:r/>
    </w:p>
    <w:p>
      <w:pPr>
        <w:ind w:firstLine="480"/>
        <w:rPr>
          <w:rFonts w:ascii="宋体" w:hAnsi="宋体"/>
          <w:sz w:val="24"/>
          <w:szCs w:val="24"/>
        </w:rPr>
      </w:pPr>
      <w:r>
        <w:rPr>
          <w:rFonts w:hint="eastAsia" w:ascii="宋体" w:hAnsi="宋体"/>
          <w:sz w:val="24"/>
          <w:szCs w:val="24"/>
        </w:rPr>
        <w:t xml:space="preserve">2.项目名称：江苏数据知识产权登记系统与国家知识产权局数据知识产权审查管理平台对接改造项目</w:t>
      </w:r>
      <w:bookmarkEnd w:id="11"/>
      <w:r/>
    </w:p>
    <w:p>
      <w:pPr>
        <w:ind w:firstLine="480"/>
        <w:rPr>
          <w:rFonts w:ascii="宋体" w:hAnsi="宋体"/>
          <w:sz w:val="24"/>
          <w:szCs w:val="24"/>
        </w:rPr>
      </w:pPr>
      <w:r>
        <w:rPr>
          <w:rFonts w:hint="eastAsia" w:ascii="宋体" w:hAnsi="宋体"/>
          <w:sz w:val="24"/>
          <w:szCs w:val="24"/>
        </w:rPr>
        <w:t xml:space="preserve">3.预算金额</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800" w:type="dxa"/>
            <w:vAlign w:val="top"/>
            <w:textDirection w:val="lrTb"/>
            <w:noWrap w:val="false"/>
          </w:tcPr>
          <w:p>
            <w:pPr>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2800" w:type="dxa"/>
            <w:vAlign w:val="top"/>
            <w:textDirection w:val="lrTb"/>
            <w:noWrap w:val="false"/>
          </w:tcPr>
          <w:p>
            <w:pPr>
              <w:jc w:val="center"/>
              <w:rPr>
                <w:rFonts w:ascii="宋体" w:hAnsi="宋体" w:eastAsia="宋体"/>
                <w:szCs w:val="21"/>
                <w:lang w:val="en-US" w:eastAsia="zh-CN"/>
              </w:rPr>
            </w:pPr>
            <w:r>
              <w:rPr>
                <w:rFonts w:hint="eastAsia" w:ascii="宋体" w:hAnsi="宋体"/>
                <w:szCs w:val="21"/>
                <w:lang w:val="en-US" w:eastAsia="zh-CN"/>
              </w:rPr>
              <w:t xml:space="preserve">8.5</w:t>
            </w:r>
            <w:r/>
          </w:p>
        </w:tc>
      </w:tr>
    </w:tbl>
    <w:p>
      <w:pPr>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p>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3135" w:type="dxa"/>
            <w:vAlign w:val="top"/>
            <w:textDirection w:val="lrTb"/>
            <w:noWrap w:val="false"/>
          </w:tcPr>
          <w:p>
            <w:pPr>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8.5</w:t>
            </w:r>
            <w:r/>
          </w:p>
        </w:tc>
      </w:tr>
    </w:tbl>
    <w:p>
      <w:pPr>
        <w:ind w:firstLine="480"/>
        <w:rPr>
          <w:rFonts w:ascii="宋体" w:hAnsi="宋体"/>
          <w:sz w:val="24"/>
          <w:szCs w:val="24"/>
          <w:u w:val="single"/>
        </w:rPr>
      </w:pPr>
      <w:r>
        <w:rPr>
          <w:rFonts w:hint="eastAsia" w:ascii="宋体" w:hAnsi="宋体"/>
          <w:sz w:val="24"/>
          <w:szCs w:val="24"/>
          <w:lang w:val="en-US" w:eastAsia="zh-CN"/>
        </w:rPr>
        <w:t xml:space="preserve">5</w:t>
      </w:r>
      <w:r>
        <w:rPr>
          <w:rFonts w:hint="eastAsia" w:ascii="宋体" w:hAnsi="宋体"/>
          <w:sz w:val="24"/>
          <w:szCs w:val="24"/>
        </w:rPr>
        <w:t xml:space="preserve">.采购需求（简介）：根据国家知识产权局办公室印发《关于加快推动数据知识产权审查管理平台与地方登记管理平台对接的工作方案的通知》（国知办函规字〔2025〕865号）通知要求，启动对江苏数据知识产权登记系统的对接改造，与国家知识产权局数据知识产权审查管理平台进行数据接口传输对接，具体需求分为三个部分，分别是接口对接开发部分、流程改造部分和业务功能改造部分。</w:t>
      </w:r>
      <w:r>
        <w:rPr>
          <w:rFonts w:hint="eastAsia" w:ascii="宋体" w:hAnsi="宋体" w:cs="宋体"/>
          <w:sz w:val="24"/>
          <w:szCs w:val="24"/>
        </w:rPr>
        <w:t xml:space="preserve">（详细内容见本磋商文件第四章）</w:t>
      </w:r>
      <w:r/>
    </w:p>
    <w:p>
      <w:pPr>
        <w:ind w:firstLine="480"/>
        <w:rPr>
          <w:rFonts w:ascii="宋体" w:hAnsi="宋体"/>
          <w:sz w:val="24"/>
          <w:szCs w:val="24"/>
          <w:u w:val="single"/>
        </w:rPr>
      </w:pPr>
      <w:r>
        <w:rPr>
          <w:rFonts w:hint="eastAsia" w:ascii="宋体" w:hAnsi="宋体"/>
          <w:sz w:val="24"/>
          <w:szCs w:val="24"/>
          <w:lang w:val="en-US" w:eastAsia="zh-CN"/>
        </w:rPr>
        <w:t xml:space="preserve">6</w:t>
      </w:r>
      <w:r>
        <w:rPr>
          <w:rFonts w:hint="eastAsia" w:ascii="宋体" w:hAnsi="宋体"/>
          <w:sz w:val="24"/>
          <w:szCs w:val="24"/>
        </w:rPr>
        <w:t xml:space="preserve">.合同履行期限：自合同签订日起至2026年6月30日。</w:t>
      </w:r>
      <w:r/>
    </w:p>
    <w:p>
      <w:pPr>
        <w:ind w:firstLine="498"/>
        <w:keepLines/>
        <w:keepNext/>
        <w:spacing w:before="156" w:after="156" w:line="360" w:lineRule="auto"/>
        <w:rPr>
          <w:rFonts w:ascii="Times New Roman" w:hAnsi="Times New Roman"/>
          <w:b/>
          <w:bCs/>
          <w:sz w:val="32"/>
          <w:szCs w:val="32"/>
        </w:rPr>
        <w:outlineLvl w:val="2"/>
      </w:pPr>
      <w:r/>
      <w:bookmarkStart w:id="12" w:name="_Toc35393791"/>
      <w:r/>
      <w:bookmarkStart w:id="13" w:name="_Toc28359003"/>
      <w:r/>
      <w:bookmarkStart w:id="14" w:name="_Toc38985264"/>
      <w:r/>
      <w:bookmarkStart w:id="15" w:name="_Toc35393622"/>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w:t>
      </w:r>
      <w:r>
        <w:rPr>
          <w:rFonts w:hint="eastAsia" w:ascii="宋体" w:hAnsi="宋体"/>
          <w:sz w:val="24"/>
          <w:szCs w:val="24"/>
        </w:rPr>
        <w:t xml:space="preserve">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ascii="宋体" w:hAnsi="宋体" w:cs="宋体"/>
          <w:sz w:val="24"/>
          <w:szCs w:val="24"/>
        </w:rPr>
      </w:pPr>
      <w:r>
        <w:rPr>
          <w:rFonts w:hint="eastAsia" w:ascii="宋体" w:hAnsi="宋体"/>
          <w:sz w:val="24"/>
          <w:szCs w:val="24"/>
        </w:rPr>
        <w:t xml:space="preserve">3. 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4.联合体参与磋商</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968" w:type="dxa"/>
            <w:vAlign w:val="top"/>
            <w:textDirection w:val="lrTb"/>
            <w:noWrap w:val="false"/>
          </w:tcPr>
          <w:p>
            <w:pPr>
              <w:jc w:val="center"/>
              <w:rPr>
                <w:rFonts w:ascii="宋体" w:hAnsi="宋体"/>
                <w:szCs w:val="21"/>
              </w:rPr>
            </w:pPr>
            <w:r>
              <w:rPr>
                <w:rFonts w:hint="eastAsia" w:ascii="宋体" w:hAnsi="宋体"/>
                <w:szCs w:val="21"/>
              </w:rPr>
              <w:t xml:space="preserve">是否接受联合体参与磋商</w:t>
            </w:r>
            <w:r/>
          </w:p>
          <w:p>
            <w:pPr>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967" w:type="dxa"/>
            <w:vAlign w:val="top"/>
            <w:textDirection w:val="lrTb"/>
            <w:noWrap w:val="false"/>
          </w:tcPr>
          <w:p>
            <w:pPr>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p>
        </w:tc>
      </w:tr>
      <w:tr>
        <w:trPr/>
        <w:tc>
          <w:tcPr>
            <w:tcW w:w="1148"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1</w:t>
            </w:r>
            <w:r/>
          </w:p>
        </w:tc>
        <w:tc>
          <w:tcPr>
            <w:tcW w:w="2968" w:type="dxa"/>
            <w:vAlign w:val="top"/>
            <w:textDirection w:val="lrTb"/>
            <w:noWrap w:val="false"/>
          </w:tcPr>
          <w:p>
            <w:pPr>
              <w:jc w:val="center"/>
              <w:rPr>
                <w:rFonts w:ascii="宋体" w:hAnsi="宋体"/>
                <w:szCs w:val="21"/>
              </w:rPr>
            </w:pPr>
            <w:r>
              <w:rPr>
                <w:rFonts w:hint="eastAsia" w:ascii="宋体" w:hAnsi="宋体"/>
                <w:szCs w:val="21"/>
              </w:rPr>
              <w:t xml:space="preserve">否</w:t>
            </w:r>
            <w:r/>
          </w:p>
        </w:tc>
        <w:tc>
          <w:tcPr>
            <w:tcW w:w="2967" w:type="dxa"/>
            <w:vAlign w:val="top"/>
            <w:textDirection w:val="lrTb"/>
            <w:noWrap w:val="false"/>
          </w:tcPr>
          <w:p>
            <w:pPr>
              <w:jc w:val="center"/>
              <w:rPr>
                <w:rFonts w:hint="eastAsia" w:ascii="宋体" w:hAnsi="宋体"/>
                <w:szCs w:val="21"/>
              </w:rPr>
            </w:pPr>
            <w:r>
              <w:rPr>
                <w:rFonts w:hint="eastAsia" w:ascii="宋体" w:hAnsi="宋体"/>
                <w:szCs w:val="21"/>
              </w:rPr>
              <w:t xml:space="preserve">/</w:t>
            </w:r>
            <w:r/>
          </w:p>
        </w:tc>
      </w:tr>
    </w:tbl>
    <w:p>
      <w:pPr>
        <w:ind w:firstLine="480"/>
        <w:rPr>
          <w:rFonts w:ascii="宋体" w:hAnsi="宋体"/>
          <w:sz w:val="24"/>
          <w:szCs w:val="24"/>
        </w:rPr>
      </w:pPr>
      <w:r>
        <w:rPr>
          <w:rFonts w:hint="eastAsia" w:ascii="宋体" w:hAnsi="宋体"/>
          <w:sz w:val="24"/>
          <w:szCs w:val="24"/>
        </w:rPr>
        <w:t xml:space="preserve">（二）本项目的特定资格要求</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5903" w:type="dxa"/>
            <w:vAlign w:val="top"/>
            <w:textDirection w:val="lrTb"/>
            <w:noWrap w:val="false"/>
          </w:tcPr>
          <w:p>
            <w:pPr>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5903" w:type="dxa"/>
            <w:vAlign w:val="top"/>
            <w:textDirection w:val="lrTb"/>
            <w:noWrap w:val="false"/>
          </w:tcPr>
          <w:p>
            <w:pPr>
              <w:jc w:val="center"/>
              <w:rPr>
                <w:rFonts w:ascii="宋体" w:hAnsi="宋体"/>
                <w:szCs w:val="21"/>
              </w:rPr>
            </w:pPr>
            <w:r>
              <w:rPr>
                <w:rFonts w:hint="eastAsia" w:ascii="宋体" w:hAnsi="宋体"/>
                <w:szCs w:val="21"/>
              </w:rPr>
              <w:t xml:space="preserve">/</w:t>
            </w:r>
            <w:r/>
          </w:p>
        </w:tc>
      </w:tr>
    </w:tbl>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p>
    <w:p>
      <w:pPr>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bookmarkEnd w:id="17"/>
      <w:bookmarkEnd w:id="18"/>
      <w:bookmarkEnd w:id="19"/>
      <w:bookmarkEnd w:id="20"/>
      <w:bookmarkEnd w:id="21"/>
      <w:r/>
    </w:p>
    <w:p>
      <w:pPr>
        <w:ind w:firstLine="498"/>
        <w:keepLines/>
        <w:keepNext/>
        <w:spacing w:before="156" w:after="156" w:line="360" w:lineRule="auto"/>
        <w:rPr>
          <w:rFonts w:ascii="Times New Roman" w:hAnsi="Times New Roman"/>
          <w:b/>
          <w:bCs/>
          <w:sz w:val="32"/>
          <w:szCs w:val="32"/>
        </w:rPr>
        <w:outlineLvl w:val="2"/>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p>
    <w:p>
      <w:pPr>
        <w:ind w:firstLine="480"/>
        <w:rPr>
          <w:rFonts w:ascii="宋体" w:hAnsi="宋体" w:cs="宋体"/>
          <w:sz w:val="24"/>
          <w:szCs w:val="24"/>
        </w:rPr>
      </w:pPr>
      <w:r>
        <w:rPr>
          <w:rFonts w:hint="eastAsia" w:ascii="宋体" w:hAnsi="宋体"/>
          <w:bCs/>
          <w:sz w:val="24"/>
          <w:szCs w:val="24"/>
          <w:u w:val="none"/>
        </w:rPr>
        <w:t xml:space="preserve">1.</w:t>
      </w:r>
      <w:r>
        <w:rPr>
          <w:rFonts w:hint="eastAsia" w:ascii="宋体" w:hAnsi="宋体"/>
          <w:bCs/>
          <w:color w:val="000000" w:themeColor="text1"/>
          <w:sz w:val="24"/>
          <w:szCs w:val="24"/>
          <w:u w:val="single"/>
        </w:rPr>
        <w:t xml:space="preserve">2026年3月24日9点30分</w:t>
      </w:r>
      <w:r>
        <w:rPr>
          <w:rFonts w:hint="eastAsia" w:ascii="宋体" w:hAnsi="宋体"/>
          <w:bCs/>
          <w:color w:val="000000" w:themeColor="text1"/>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56" w:after="156" w:line="360" w:lineRule="auto"/>
        <w:rPr>
          <w:rFonts w:ascii="Times New Roman" w:hAnsi="Times New Roman"/>
          <w:b/>
          <w:bCs/>
          <w:sz w:val="32"/>
          <w:szCs w:val="32"/>
        </w:rPr>
        <w:outlineLvl w:val="2"/>
      </w:pPr>
      <w:r/>
      <w:bookmarkStart w:id="27" w:name="_Toc35393794"/>
      <w:r/>
      <w:bookmarkStart w:id="28" w:name="_Toc38985267"/>
      <w:r/>
      <w:bookmarkStart w:id="29" w:name="_Toc35393625"/>
      <w:r/>
      <w:bookmarkStart w:id="30" w:name="_Toc28359007"/>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rPr>
          <w:rFonts w:hint="eastAsia" w:ascii="宋体" w:hAnsi="宋体"/>
          <w:bCs/>
          <w:color w:val="ff0000"/>
          <w:sz w:val="24"/>
          <w:szCs w:val="24"/>
          <w:u w:val="single"/>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498"/>
        <w:keepLines/>
        <w:keepNext/>
        <w:spacing w:before="156" w:after="156" w:line="360" w:lineRule="auto"/>
        <w:rPr>
          <w:rFonts w:ascii="Times New Roman" w:hAnsi="Times New Roman"/>
          <w:b/>
          <w:bCs/>
          <w:sz w:val="32"/>
          <w:szCs w:val="32"/>
        </w:rPr>
        <w:outlineLvl w:val="2"/>
      </w:pPr>
      <w:r/>
      <w:bookmarkStart w:id="32" w:name="_Toc35393795"/>
      <w:r/>
      <w:bookmarkStart w:id="33" w:name="_Toc38985268"/>
      <w:r/>
      <w:bookmarkStart w:id="34" w:name="_Toc35393626"/>
      <w:r>
        <w:rPr>
          <w:rFonts w:hint="eastAsia" w:ascii="Times New Roman" w:hAnsi="Times New Roman"/>
          <w:b/>
          <w:bCs/>
          <w:sz w:val="32"/>
          <w:szCs w:val="32"/>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5" w:name="_Toc28359008"/>
      <w:r/>
      <w:bookmarkStart w:id="36" w:name="_Toc35393796"/>
      <w:r/>
      <w:bookmarkStart w:id="37" w:name="_Toc28359085"/>
      <w:r/>
      <w:bookmarkStart w:id="38" w:name="_Toc35393627"/>
      <w:r/>
      <w:bookmarkStart w:id="39" w:name="_Toc38985269"/>
      <w:r>
        <w:rPr>
          <w:rFonts w:hint="eastAsia" w:ascii="Times New Roman" w:hAnsi="Times New Roman"/>
          <w:b/>
          <w:bCs/>
          <w:sz w:val="32"/>
          <w:szCs w:val="32"/>
        </w:rPr>
        <w:t xml:space="preserve">七、本次磋商联系方式</w:t>
      </w:r>
      <w:bookmarkEnd w:id="35"/>
      <w:r/>
      <w:bookmarkEnd w:id="36"/>
      <w:r/>
      <w:bookmarkEnd w:id="37"/>
      <w:r/>
      <w:bookmarkEnd w:id="38"/>
      <w:r/>
      <w:bookmarkEnd w:id="39"/>
      <w:r/>
      <w:r/>
    </w:p>
    <w:p>
      <w:pPr>
        <w:ind w:firstLine="480"/>
        <w:jc w:val="left"/>
        <w:widowControl/>
        <w:rPr>
          <w:rFonts w:ascii="宋体" w:hAnsi="宋体"/>
          <w:sz w:val="24"/>
          <w:szCs w:val="24"/>
        </w:rPr>
      </w:pPr>
      <w:r/>
      <w:bookmarkStart w:id="40" w:name="_Toc28359010"/>
      <w:r/>
      <w:bookmarkStart w:id="41" w:name="_Toc28359087"/>
      <w:r>
        <w:rPr>
          <w:rFonts w:hint="eastAsia" w:ascii="宋体" w:hAnsi="宋体" w:cs="宋体"/>
          <w:sz w:val="24"/>
          <w:szCs w:val="24"/>
        </w:rPr>
        <w:t xml:space="preserve">1.采购人信息</w:t>
      </w:r>
      <w:r/>
    </w:p>
    <w:p>
      <w:pPr>
        <w:ind w:firstLine="480"/>
        <w:jc w:val="left"/>
        <w:spacing w:line="360" w:lineRule="auto"/>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江苏省知识产权保护中心（江苏省专利信息服务中心）</w:t>
      </w:r>
      <w:r/>
    </w:p>
    <w:p>
      <w:pPr>
        <w:ind w:firstLine="48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南京市汉中门大街145号省政务服务中心二期六楼6310</w:t>
      </w:r>
      <w:r/>
    </w:p>
    <w:p>
      <w:pPr>
        <w:ind w:firstLine="480"/>
        <w:jc w:val="left"/>
        <w:spacing w:line="360"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何老师  </w:t>
      </w:r>
      <w:r/>
    </w:p>
    <w:p>
      <w:pPr>
        <w:ind w:firstLine="480"/>
        <w:jc w:val="left"/>
        <w:spacing w:line="360" w:lineRule="auto"/>
        <w:rPr>
          <w:rFonts w:ascii="宋体" w:hAnsi="宋体"/>
          <w:sz w:val="24"/>
          <w:szCs w:val="24"/>
          <w:u w:val="single"/>
        </w:rPr>
      </w:pPr>
      <w:r>
        <w:rPr>
          <w:rFonts w:hint="eastAsia" w:ascii="宋体" w:hAnsi="宋体"/>
          <w:sz w:val="24"/>
          <w:szCs w:val="24"/>
        </w:rPr>
        <w:t xml:space="preserve">联系方式：</w:t>
      </w:r>
      <w:bookmarkStart w:id="42" w:name="_Toc28359086"/>
      <w:r/>
      <w:bookmarkStart w:id="43" w:name="_Toc28359009"/>
      <w:r>
        <w:rPr>
          <w:rFonts w:hint="eastAsia" w:ascii="宋体" w:hAnsi="宋体"/>
          <w:sz w:val="24"/>
          <w:szCs w:val="24"/>
          <w:u w:val="single"/>
        </w:rPr>
        <w:t xml:space="preserve">025-83238214</w:t>
      </w:r>
      <w:r/>
    </w:p>
    <w:p>
      <w:pPr>
        <w:ind w:firstLine="24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2"/>
      <w:r/>
      <w:bookmarkEnd w:id="43"/>
      <w:r/>
      <w:r/>
    </w:p>
    <w:p>
      <w:pPr>
        <w:ind w:firstLine="24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w:t>
      </w:r>
      <w:r/>
    </w:p>
    <w:p>
      <w:pPr>
        <w:ind w:firstLine="24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rPr>
        <w:t xml:space="preserve">蔡</w:t>
      </w:r>
      <w:r>
        <w:rPr>
          <w:rFonts w:hint="eastAsia" w:ascii="宋体" w:hAnsi="宋体"/>
          <w:sz w:val="24"/>
          <w:szCs w:val="24"/>
          <w:u w:val="single"/>
          <w:lang w:eastAsia="zh-CN"/>
        </w:rPr>
        <w:t xml:space="preserve">老师</w:t>
      </w:r>
      <w:r>
        <w:rPr>
          <w:rFonts w:hint="eastAsia" w:ascii="宋体" w:hAnsi="宋体"/>
          <w:sz w:val="24"/>
          <w:szCs w:val="24"/>
          <w:u w:val="single"/>
        </w:rPr>
        <w:t xml:space="preserve">、徐</w:t>
      </w:r>
      <w:r>
        <w:rPr>
          <w:rFonts w:hint="eastAsia" w:ascii="宋体" w:hAnsi="宋体"/>
          <w:sz w:val="24"/>
          <w:szCs w:val="24"/>
          <w:u w:val="single"/>
          <w:lang w:eastAsia="zh-CN"/>
        </w:rPr>
        <w:t xml:space="preserve">老师</w:t>
      </w:r>
      <w:r/>
    </w:p>
    <w:p>
      <w:pPr>
        <w:ind w:firstLine="240"/>
        <w:spacing w:line="360" w:lineRule="auto"/>
        <w:rPr>
          <w:rFonts w:ascii="宋体" w:hAnsi="宋体"/>
          <w:sz w:val="24"/>
          <w:szCs w:val="24"/>
        </w:rPr>
      </w:pPr>
      <w:r>
        <w:rPr>
          <w:rFonts w:hint="eastAsia" w:ascii="宋体" w:hAnsi="宋体"/>
          <w:sz w:val="24"/>
          <w:szCs w:val="24"/>
        </w:rPr>
        <w:t xml:space="preserve">联系方式：</w:t>
      </w:r>
      <w:bookmarkStart w:id="44" w:name="OLE_LINK2"/>
      <w:r>
        <w:rPr>
          <w:rFonts w:hint="eastAsia" w:ascii="宋体" w:hAnsi="宋体"/>
          <w:sz w:val="24"/>
          <w:szCs w:val="24"/>
          <w:u w:val="single"/>
        </w:rPr>
        <w:t xml:space="preserve">025-83668561/025-83668521</w:t>
      </w:r>
      <w:bookmarkEnd w:id="44"/>
      <w:r/>
      <w:bookmarkEnd w:id="40"/>
      <w:bookmarkEnd w:id="41"/>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p>
    <w:p>
      <w:pPr>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p>
    <w:p>
      <w:pPr>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p>
    <w:p>
      <w:pPr>
        <w:ind w:firstLine="498"/>
        <w:keepLines/>
        <w:keepNext/>
        <w:spacing w:before="156" w:after="156" w:line="360" w:lineRule="auto"/>
        <w:rPr>
          <w:rFonts w:hint="eastAsia" w:ascii="Times New Roman" w:hAnsi="Times New Roman"/>
          <w:b/>
          <w:bCs/>
          <w:sz w:val="32"/>
          <w:szCs w:val="32"/>
        </w:rPr>
        <w:outlineLvl w:val="2"/>
      </w:pPr>
      <w:r/>
      <w:bookmarkStart w:id="46" w:name="_Toc513029203"/>
      <w:r/>
      <w:bookmarkStart w:id="47" w:name="_Toc120614214"/>
      <w:r/>
      <w:bookmarkStart w:id="48" w:name="_Toc16938519"/>
      <w:r/>
      <w:bookmarkStart w:id="49" w:name="_Toc20823275"/>
      <w:r>
        <w:rPr>
          <w:rFonts w:hint="eastAsia" w:ascii="Times New Roman" w:hAnsi="Times New Roman"/>
          <w:b/>
          <w:bCs/>
          <w:sz w:val="32"/>
          <w:szCs w:val="32"/>
        </w:rPr>
        <w:t xml:space="preserve">一、总则</w:t>
      </w:r>
      <w:bookmarkEnd w:id="46"/>
      <w:r/>
      <w:bookmarkEnd w:id="47"/>
      <w:r/>
      <w:bookmarkEnd w:id="48"/>
      <w:r/>
      <w:bookmarkEnd w:id="49"/>
      <w:r/>
      <w:r/>
    </w:p>
    <w:p>
      <w:pPr>
        <w:ind w:firstLine="420"/>
        <w:keepLines/>
        <w:keepNext/>
        <w:rPr>
          <w:rFonts w:hint="eastAsia" w:ascii="Arial" w:hAnsi="Arial" w:eastAsia="黑体" w:cs="Arial"/>
          <w:sz w:val="28"/>
          <w:szCs w:val="28"/>
        </w:rPr>
        <w:outlineLvl w:val="3"/>
      </w:pPr>
      <w:r/>
      <w:bookmarkStart w:id="50" w:name="_Hlt16619475"/>
      <w:r/>
      <w:bookmarkEnd w:id="50"/>
      <w:r/>
      <w:bookmarkStart w:id="51" w:name="_Toc458694821"/>
      <w:r/>
      <w:bookmarkStart w:id="52" w:name="_Toc20823276"/>
      <w:r/>
      <w:bookmarkStart w:id="53" w:name="_Toc16938520"/>
      <w:r/>
      <w:bookmarkStart w:id="54" w:name="_Toc513029204"/>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hint="eastAsia" w:ascii="Arial" w:hAnsi="Arial" w:eastAsia="黑体" w:cs="Arial"/>
          <w:sz w:val="28"/>
          <w:szCs w:val="28"/>
        </w:rPr>
        <w:outlineLvl w:val="3"/>
      </w:pPr>
      <w:r/>
      <w:bookmarkStart w:id="55" w:name="_Toc20823277"/>
      <w:r/>
      <w:bookmarkStart w:id="56" w:name="_Toc16938521"/>
      <w:r/>
      <w:bookmarkStart w:id="57" w:name="_Toc513029205"/>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hint="eastAsia" w:ascii="Arial" w:hAnsi="Arial" w:eastAsia="黑体" w:cs="Arial"/>
          <w:sz w:val="28"/>
          <w:szCs w:val="28"/>
          <w:lang w:eastAsia="zh-CN"/>
        </w:rPr>
        <w:outlineLvl w:val="3"/>
      </w:pPr>
      <w:r/>
      <w:bookmarkStart w:id="58" w:name="_Toc16938522"/>
      <w:r/>
      <w:bookmarkStart w:id="59" w:name="_Toc20823278"/>
      <w:r/>
      <w:bookmarkStart w:id="60" w:name="_Toc513029206"/>
      <w:r/>
      <w:bookmarkStart w:id="61" w:name="_Toc462564067"/>
      <w:r/>
      <w:bookmarkStart w:id="62" w:name="_Toc20823279"/>
      <w:r/>
      <w:bookmarkStart w:id="63" w:name="_Toc16938523"/>
      <w:r/>
      <w:bookmarkStart w:id="64" w:name="_Toc513029207"/>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lang w:eastAsia="zh-CN"/>
        </w:rPr>
        <w:t xml:space="preserve">和标准</w:t>
      </w:r>
      <w:r/>
    </w:p>
    <w:p>
      <w:pPr>
        <w:ind w:firstLine="420"/>
        <w:spacing w:line="400" w:lineRule="exact"/>
        <w:rPr>
          <w:rFonts w:ascii="宋体" w:hAnsi="宋体"/>
          <w:sz w:val="24"/>
          <w:szCs w:val="21"/>
        </w:rPr>
      </w:pPr>
      <w:r>
        <w:rPr>
          <w:rFonts w:hint="eastAsia" w:ascii="宋体" w:hAnsi="宋体"/>
          <w:sz w:val="24"/>
          <w:szCs w:val="21"/>
        </w:rPr>
        <w:t xml:space="preserve">3.1 本次</w:t>
      </w:r>
      <w:r>
        <w:rPr>
          <w:rFonts w:hint="eastAsia" w:ascii="宋体" w:hAnsi="宋体"/>
          <w:sz w:val="24"/>
          <w:szCs w:val="21"/>
          <w:lang w:eastAsia="zh-CN"/>
        </w:rPr>
        <w:t xml:space="preserve">磋商</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3.2  在本项目政府采购活动过程中，如果所执行的标准有更新的，按照最新标准执行。</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4、磋商费用</w:t>
      </w:r>
      <w:bookmarkEnd w:id="61"/>
      <w:r/>
      <w:bookmarkEnd w:id="62"/>
      <w:r/>
      <w:bookmarkEnd w:id="63"/>
      <w:r/>
      <w:bookmarkEnd w:id="6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rFonts w:hint="eastAsia" w:ascii="Times New Roman" w:hAnsi="Times New Roman"/>
          <w:b/>
          <w:bCs/>
          <w:sz w:val="32"/>
          <w:szCs w:val="32"/>
        </w:rPr>
        <w:outlineLvl w:val="2"/>
      </w:pPr>
      <w:r/>
      <w:bookmarkStart w:id="65" w:name="_Toc513029209"/>
      <w:r/>
      <w:bookmarkStart w:id="66" w:name="_Toc20823281"/>
      <w:r/>
      <w:bookmarkStart w:id="67" w:name="_Toc16938525"/>
      <w:r/>
      <w:bookmarkStart w:id="68" w:name="_Toc120614215"/>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磋商文件</w:t>
      </w:r>
      <w:r/>
    </w:p>
    <w:p>
      <w:pPr>
        <w:ind w:firstLine="420"/>
        <w:keepLines/>
        <w:keepNext/>
        <w:rPr>
          <w:rFonts w:hint="eastAsia" w:ascii="Arial" w:hAnsi="Arial" w:eastAsia="黑体" w:cs="Arial"/>
          <w:sz w:val="28"/>
          <w:szCs w:val="28"/>
        </w:rPr>
        <w:outlineLvl w:val="3"/>
      </w:pPr>
      <w:r/>
      <w:bookmarkStart w:id="69" w:name="_Toc513029210"/>
      <w:r/>
      <w:bookmarkStart w:id="70" w:name="_Toc20823282"/>
      <w:r/>
      <w:bookmarkStart w:id="71" w:name="_Toc16938526"/>
      <w:r>
        <w:rPr>
          <w:rFonts w:hint="eastAsia" w:ascii="Arial" w:hAnsi="Arial" w:eastAsia="黑体" w:cs="Arial"/>
          <w:sz w:val="28"/>
          <w:szCs w:val="28"/>
        </w:rPr>
        <w:t xml:space="preserve">6、磋商文件构成</w:t>
      </w:r>
      <w:bookmarkEnd w:id="69"/>
      <w:r/>
      <w:bookmarkEnd w:id="70"/>
      <w:r/>
      <w:bookmarkEnd w:id="7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hint="eastAsia" w:ascii="Arial" w:hAnsi="Arial" w:eastAsia="黑体" w:cs="Arial"/>
          <w:sz w:val="28"/>
          <w:szCs w:val="28"/>
        </w:rPr>
        <w:outlineLvl w:val="3"/>
      </w:pPr>
      <w:r/>
      <w:bookmarkStart w:id="72" w:name="_Toc462564071"/>
      <w:r/>
      <w:bookmarkStart w:id="73" w:name="_Toc16938528"/>
      <w:r/>
      <w:bookmarkStart w:id="74" w:name="_Toc513029212"/>
      <w:r/>
      <w:bookmarkStart w:id="75" w:name="_Toc20823284"/>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2"/>
      <w:r/>
      <w:bookmarkEnd w:id="73"/>
      <w:r/>
      <w:bookmarkEnd w:id="74"/>
      <w:r/>
      <w:bookmarkEnd w:id="75"/>
      <w:r/>
      <w:r/>
    </w:p>
    <w:p>
      <w:pPr>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p>
    <w:p>
      <w:pPr>
        <w:ind w:firstLine="482"/>
        <w:keepLines/>
        <w:keepNext/>
        <w:spacing w:before="156" w:after="156" w:line="360" w:lineRule="auto"/>
        <w:rPr>
          <w:rFonts w:hint="eastAsia" w:ascii="Times New Roman" w:hAnsi="Times New Roman"/>
          <w:b/>
          <w:bCs/>
          <w:sz w:val="32"/>
          <w:szCs w:val="32"/>
        </w:rPr>
        <w:outlineLvl w:val="2"/>
      </w:pPr>
      <w:r/>
      <w:bookmarkStart w:id="76" w:name="_Toc513029213"/>
      <w:r/>
      <w:bookmarkStart w:id="77" w:name="_Toc16938529"/>
      <w:r/>
      <w:bookmarkStart w:id="78" w:name="_Toc462564072"/>
      <w:r/>
      <w:bookmarkStart w:id="79" w:name="_Toc20823285"/>
      <w:r/>
      <w:bookmarkStart w:id="80" w:name="_Toc120614216"/>
      <w:r>
        <w:rPr>
          <w:rFonts w:hint="eastAsia" w:ascii="Times New Roman" w:hAnsi="Times New Roman"/>
          <w:b/>
          <w:bCs/>
          <w:sz w:val="32"/>
          <w:szCs w:val="32"/>
        </w:rPr>
        <w:t xml:space="preserve">三、响应文件的编制</w:t>
      </w:r>
      <w:bookmarkEnd w:id="76"/>
      <w:r/>
      <w:bookmarkEnd w:id="77"/>
      <w:r/>
      <w:bookmarkEnd w:id="78"/>
      <w:r/>
      <w:bookmarkEnd w:id="79"/>
      <w:r/>
      <w:bookmarkEnd w:id="80"/>
      <w:r/>
      <w:r/>
    </w:p>
    <w:p>
      <w:pPr>
        <w:ind w:firstLine="560"/>
        <w:keepLines/>
        <w:keepNext/>
        <w:rPr>
          <w:rFonts w:hint="eastAsia" w:ascii="Arial" w:hAnsi="Arial" w:eastAsia="黑体" w:cs="Arial"/>
          <w:b/>
          <w:sz w:val="28"/>
          <w:szCs w:val="28"/>
        </w:rPr>
        <w:outlineLvl w:val="3"/>
      </w:pPr>
      <w:r/>
      <w:bookmarkStart w:id="81" w:name="_Toc16938530"/>
      <w:r/>
      <w:bookmarkStart w:id="82" w:name="_Toc513029214"/>
      <w:r/>
      <w:bookmarkStart w:id="83" w:name="_Toc462564073"/>
      <w:r/>
      <w:bookmarkStart w:id="84" w:name="_Toc20823286"/>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1"/>
      <w:r/>
      <w:bookmarkEnd w:id="82"/>
      <w:r/>
      <w:bookmarkEnd w:id="83"/>
      <w:r/>
      <w:bookmarkEnd w:id="84"/>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85" w:name="_Toc20823287"/>
      <w:r/>
      <w:bookmarkStart w:id="86" w:name="_Toc16938531"/>
      <w:r/>
      <w:bookmarkStart w:id="87" w:name="_Toc513029215"/>
      <w:r/>
      <w:bookmarkStart w:id="88" w:name="_Toc462564074"/>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5"/>
      <w:r/>
      <w:bookmarkEnd w:id="86"/>
      <w:r/>
      <w:bookmarkEnd w:id="87"/>
      <w:r/>
      <w:bookmarkEnd w:id="88"/>
      <w:r/>
      <w:r/>
    </w:p>
    <w:p>
      <w:pPr>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p>
    <w:p>
      <w:pPr>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p>
    <w:p>
      <w:pPr>
        <w:ind w:firstLine="420"/>
        <w:keepLines/>
        <w:keepNext/>
        <w:rPr>
          <w:rFonts w:hint="eastAsia" w:ascii="Arial" w:hAnsi="Arial" w:eastAsia="黑体" w:cs="Arial"/>
          <w:sz w:val="28"/>
          <w:szCs w:val="28"/>
        </w:rPr>
        <w:outlineLvl w:val="3"/>
      </w:pPr>
      <w:r/>
      <w:bookmarkStart w:id="89" w:name="_Hlt26670360"/>
      <w:r/>
      <w:bookmarkEnd w:id="89"/>
      <w:r/>
      <w:bookmarkStart w:id="90" w:name="_Hlt26668975"/>
      <w:r/>
      <w:bookmarkEnd w:id="90"/>
      <w:r/>
      <w:bookmarkStart w:id="91" w:name="_Hlt26954838"/>
      <w:r/>
      <w:bookmarkEnd w:id="91"/>
      <w:r/>
      <w:bookmarkStart w:id="92" w:name="_Toc14577357"/>
      <w:r/>
      <w:bookmarkStart w:id="93" w:name="_Toc49090509"/>
      <w:r/>
      <w:bookmarkStart w:id="94" w:name="_Toc513029219"/>
      <w:r/>
      <w:bookmarkStart w:id="95" w:name="_Toc49090507"/>
      <w:r/>
      <w:bookmarkStart w:id="96" w:name="_Toc14577354"/>
      <w:r/>
      <w:bookmarkStart w:id="97" w:name="_Toc513029216"/>
      <w:r/>
      <w:bookmarkStart w:id="98" w:name="_Toc14577355"/>
      <w:r/>
      <w:bookmarkStart w:id="99" w:name="_Toc490905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2"/>
      <w:r/>
      <w:bookmarkEnd w:id="93"/>
      <w:r/>
      <w:bookmarkEnd w:id="94"/>
      <w:r/>
      <w:bookmarkEnd w:id="95"/>
      <w:bookmarkEnd w:id="96"/>
      <w:bookmarkEnd w:id="97"/>
      <w:r/>
    </w:p>
    <w:p>
      <w:pPr>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bookmarkEnd w:id="98"/>
      <w:bookmarkEnd w:id="99"/>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hint="eastAsia" w:ascii="Arial" w:hAnsi="Arial" w:eastAsia="黑体" w:cs="Arial"/>
          <w:sz w:val="28"/>
          <w:szCs w:val="28"/>
        </w:rPr>
        <w:outlineLvl w:val="3"/>
      </w:pPr>
      <w:r/>
      <w:bookmarkStart w:id="100" w:name="_Hlt26954848"/>
      <w:r/>
      <w:bookmarkEnd w:id="100"/>
      <w:r/>
      <w:bookmarkStart w:id="101" w:name="_Hlt26954731"/>
      <w:r/>
      <w:bookmarkEnd w:id="101"/>
      <w:r/>
      <w:bookmarkStart w:id="102" w:name="_Hlt26670482"/>
      <w:r/>
      <w:bookmarkEnd w:id="102"/>
      <w:r/>
      <w:bookmarkStart w:id="103" w:name="_Hlt26954846"/>
      <w:r/>
      <w:bookmarkEnd w:id="103"/>
      <w:r/>
      <w:bookmarkStart w:id="104" w:name="_Hlt26670486"/>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hint="eastAsia" w:ascii="Arial" w:hAnsi="Arial" w:eastAsia="黑体" w:cs="Arial"/>
          <w:sz w:val="28"/>
          <w:szCs w:val="28"/>
        </w:rPr>
        <w:outlineLvl w:val="3"/>
      </w:pPr>
      <w:r/>
      <w:bookmarkStart w:id="105" w:name="_Toc49090510"/>
      <w:r/>
      <w:bookmarkStart w:id="106"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p>
    <w:p>
      <w:pPr>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bookmarkEnd w:id="105"/>
      <w:bookmarkEnd w:id="106"/>
      <w:r/>
    </w:p>
    <w:p>
      <w:pPr>
        <w:ind w:firstLine="420"/>
        <w:keepLines/>
        <w:keepNext/>
        <w:rPr>
          <w:rFonts w:hint="eastAsia" w:ascii="Arial" w:hAnsi="Arial" w:eastAsia="黑体" w:cs="Arial"/>
          <w:sz w:val="28"/>
          <w:szCs w:val="28"/>
        </w:rPr>
        <w:outlineLvl w:val="3"/>
      </w:pPr>
      <w:r/>
      <w:bookmarkStart w:id="107" w:name="_Toc49090511"/>
      <w:r/>
      <w:bookmarkStart w:id="108"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7"/>
      <w:r/>
      <w:bookmarkEnd w:id="108"/>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hint="eastAsia" w:ascii="Times New Roman" w:hAnsi="Times New Roman"/>
          <w:b/>
          <w:bCs/>
          <w:sz w:val="32"/>
          <w:szCs w:val="32"/>
        </w:rPr>
        <w:outlineLvl w:val="2"/>
      </w:pPr>
      <w:r/>
      <w:bookmarkStart w:id="109" w:name="_Hlt26954852"/>
      <w:r/>
      <w:bookmarkEnd w:id="109"/>
      <w:r/>
      <w:bookmarkStart w:id="110" w:name="_Hlt26954739"/>
      <w:r/>
      <w:bookmarkEnd w:id="110"/>
      <w:r/>
      <w:bookmarkStart w:id="111" w:name="_Toc20823296"/>
      <w:r/>
      <w:bookmarkStart w:id="112" w:name="_Toc513029224"/>
      <w:r/>
      <w:bookmarkStart w:id="113" w:name="_Toc120614217"/>
      <w:r/>
      <w:bookmarkStart w:id="114" w:name="_Toc16938540"/>
      <w:r>
        <w:rPr>
          <w:rFonts w:hint="eastAsia" w:ascii="Times New Roman" w:hAnsi="Times New Roman"/>
          <w:b/>
          <w:bCs/>
          <w:sz w:val="32"/>
          <w:szCs w:val="32"/>
        </w:rPr>
        <w:t xml:space="preserve">四、响应文件的递交</w:t>
      </w:r>
      <w:bookmarkEnd w:id="111"/>
      <w:r/>
      <w:bookmarkEnd w:id="112"/>
      <w:r/>
      <w:bookmarkEnd w:id="113"/>
      <w:r/>
      <w:bookmarkEnd w:id="114"/>
      <w:r/>
      <w:r/>
    </w:p>
    <w:p>
      <w:pPr>
        <w:ind w:firstLine="560"/>
        <w:keepLines/>
        <w:keepNext/>
        <w:rPr>
          <w:rFonts w:hint="eastAsia" w:ascii="黑体" w:hAnsi="Arial" w:eastAsia="黑体" w:cs="Arial"/>
          <w:sz w:val="28"/>
          <w:szCs w:val="28"/>
        </w:rPr>
        <w:outlineLvl w:val="3"/>
      </w:pPr>
      <w:r/>
      <w:bookmarkStart w:id="115" w:name="_Toc20823297"/>
      <w:r/>
      <w:bookmarkStart w:id="116" w:name="_Toc513029225"/>
      <w:r/>
      <w:bookmarkStart w:id="117" w:name="_Toc462564084"/>
      <w:r/>
      <w:bookmarkStart w:id="118"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5"/>
      <w:r/>
      <w:bookmarkEnd w:id="116"/>
      <w:r/>
      <w:bookmarkEnd w:id="117"/>
      <w:r/>
      <w:bookmarkEnd w:id="118"/>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9" w:name="_Toc20823298"/>
      <w:r/>
      <w:bookmarkStart w:id="120" w:name="_Toc16938542"/>
      <w:r/>
      <w:bookmarkStart w:id="121" w:name="_Toc513029226"/>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9"/>
      <w:r/>
      <w:bookmarkEnd w:id="120"/>
      <w:r/>
      <w:bookmarkEnd w:id="121"/>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Arial" w:hAnsi="Arial" w:eastAsia="黑体" w:cs="Arial"/>
          <w:sz w:val="28"/>
          <w:szCs w:val="28"/>
        </w:rPr>
        <w:outlineLvl w:val="3"/>
      </w:pPr>
      <w:r/>
      <w:bookmarkStart w:id="122" w:name="_Toc16938543"/>
      <w:r/>
      <w:bookmarkStart w:id="123" w:name="_Toc513029227"/>
      <w:r/>
      <w:bookmarkStart w:id="124" w:name="_Toc20823299"/>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2"/>
      <w:r/>
      <w:bookmarkEnd w:id="123"/>
      <w:r/>
      <w:bookmarkEnd w:id="124"/>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p>
    <w:p>
      <w:pPr>
        <w:ind w:firstLine="420"/>
        <w:keepLines/>
        <w:keepNext/>
        <w:rPr>
          <w:rFonts w:hint="eastAsia" w:ascii="Arial" w:hAnsi="Arial" w:eastAsia="黑体" w:cs="Arial"/>
          <w:sz w:val="28"/>
          <w:szCs w:val="28"/>
        </w:rPr>
        <w:outlineLvl w:val="3"/>
      </w:pPr>
      <w:r/>
      <w:bookmarkStart w:id="125" w:name="_Toc513029228"/>
      <w:r/>
      <w:bookmarkStart w:id="126" w:name="_Toc16938544"/>
      <w:r/>
      <w:bookmarkStart w:id="127"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5"/>
      <w:r/>
      <w:bookmarkEnd w:id="126"/>
      <w:r/>
      <w:bookmarkEnd w:id="127"/>
      <w:r/>
      <w:r/>
    </w:p>
    <w:p>
      <w:pPr>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hint="eastAsia" w:ascii="Times New Roman" w:hAnsi="Times New Roman"/>
          <w:b/>
          <w:bCs/>
          <w:sz w:val="32"/>
          <w:szCs w:val="32"/>
        </w:rPr>
        <w:outlineLvl w:val="2"/>
      </w:pPr>
      <w:r/>
      <w:bookmarkStart w:id="128" w:name="_Toc20823301"/>
      <w:r/>
      <w:bookmarkStart w:id="129" w:name="_Toc513029229"/>
      <w:r/>
      <w:bookmarkStart w:id="130" w:name="_Toc16938545"/>
      <w:r/>
      <w:bookmarkStart w:id="131" w:name="_Toc120614218"/>
      <w:r>
        <w:rPr>
          <w:rFonts w:hint="eastAsia" w:ascii="Times New Roman" w:hAnsi="Times New Roman"/>
          <w:b/>
          <w:bCs/>
          <w:sz w:val="32"/>
          <w:szCs w:val="32"/>
        </w:rPr>
        <w:t xml:space="preserve">五、响应文件的解密与评审</w:t>
      </w:r>
      <w:bookmarkEnd w:id="128"/>
      <w:r/>
      <w:bookmarkEnd w:id="129"/>
      <w:r/>
      <w:bookmarkEnd w:id="130"/>
      <w:r/>
      <w:bookmarkEnd w:id="131"/>
      <w:r/>
      <w:r/>
    </w:p>
    <w:p>
      <w:pPr>
        <w:ind w:firstLine="420"/>
        <w:keepLines/>
        <w:keepNext/>
        <w:rPr>
          <w:rFonts w:hint="eastAsia" w:ascii="Arial" w:hAnsi="Arial" w:eastAsia="黑体" w:cs="Arial"/>
          <w:sz w:val="28"/>
          <w:szCs w:val="28"/>
        </w:rPr>
        <w:outlineLvl w:val="3"/>
      </w:pPr>
      <w:r/>
      <w:bookmarkStart w:id="132" w:name="_Toc513029230"/>
      <w:r/>
      <w:bookmarkStart w:id="133" w:name="_Toc20823302"/>
      <w:r/>
      <w:bookmarkStart w:id="134"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2"/>
      <w:r/>
      <w:bookmarkEnd w:id="133"/>
      <w:r/>
      <w:bookmarkEnd w:id="134"/>
      <w:r>
        <w:rPr>
          <w:rFonts w:hint="eastAsia" w:ascii="Arial" w:hAnsi="Arial" w:eastAsia="黑体" w:cs="Arial"/>
          <w:sz w:val="28"/>
          <w:szCs w:val="28"/>
        </w:rPr>
        <w:t xml:space="preserve">响应文件解密</w:t>
      </w:r>
      <w:r/>
    </w:p>
    <w:p>
      <w:pPr>
        <w:ind w:firstLine="360"/>
        <w:rPr>
          <w:rFonts w:hint="eastAsia" w:ascii="宋体" w:hAnsi="宋体"/>
          <w:sz w:val="24"/>
          <w:szCs w:val="24"/>
          <w:lang w:eastAsia="zh-CN"/>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hint="eastAsia" w:ascii="Arial" w:hAnsi="Arial" w:eastAsia="黑体" w:cs="Arial"/>
          <w:sz w:val="28"/>
          <w:szCs w:val="28"/>
        </w:rPr>
        <w:outlineLvl w:val="3"/>
      </w:pPr>
      <w:r/>
      <w:bookmarkStart w:id="135" w:name="_Toc513029231"/>
      <w:r/>
      <w:bookmarkStart w:id="136" w:name="_Toc20823303"/>
      <w:r/>
      <w:bookmarkStart w:id="137"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p>
    <w:p>
      <w:pPr>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bookmarkEnd w:id="135"/>
      <w:bookmarkEnd w:id="136"/>
      <w:bookmarkEnd w:id="137"/>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p>
    <w:p>
      <w:pPr>
        <w:ind w:firstLine="420"/>
        <w:keepLines/>
        <w:keepNext/>
        <w:rPr>
          <w:rFonts w:hint="eastAsia" w:ascii="Arial" w:hAnsi="Arial" w:eastAsia="黑体" w:cs="Arial"/>
          <w:sz w:val="28"/>
          <w:szCs w:val="28"/>
        </w:rPr>
        <w:outlineLvl w:val="3"/>
      </w:pPr>
      <w:r/>
      <w:bookmarkStart w:id="138" w:name="_Toc513029232"/>
      <w:r/>
      <w:bookmarkStart w:id="139" w:name="_Toc16938548"/>
      <w:r/>
      <w:bookmarkStart w:id="140"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38"/>
      <w:r/>
      <w:bookmarkEnd w:id="139"/>
      <w:r/>
      <w:bookmarkEnd w:id="140"/>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rPr>
        <w:outlineLvl w:val="3"/>
      </w:pPr>
      <w:r/>
      <w:bookmarkStart w:id="141" w:name="_Toc513029233"/>
      <w:r/>
      <w:bookmarkStart w:id="142" w:name="_Toc16938549"/>
      <w:r/>
      <w:bookmarkStart w:id="143" w:name="_Toc20823305"/>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1"/>
      <w:r/>
      <w:bookmarkEnd w:id="142"/>
      <w:r/>
      <w:bookmarkEnd w:id="143"/>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p>
    <w:p>
      <w:pPr>
        <w:ind w:firstLine="480"/>
        <w:spacing w:line="460" w:lineRule="exact"/>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25.3.10 </w:t>
      </w:r>
      <w:r>
        <w:rPr>
          <w:rFonts w:hint="eastAsia" w:ascii="宋体" w:hAnsi="宋体" w:eastAsia="宋体" w:cs="Times New Roman"/>
          <w:bCs/>
          <w:sz w:val="24"/>
          <w:szCs w:val="21"/>
          <w:lang w:eastAsia="zh-CN"/>
        </w:rPr>
        <w:t xml:space="preserve">供应商所提供的服务不符合磋商文件中所列国家强制性标准的。</w:t>
      </w:r>
      <w:r/>
    </w:p>
    <w:p>
      <w:pPr>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rPr>
      </w:pPr>
      <w:r/>
      <w:bookmarkStart w:id="144" w:name="_Toc16938550"/>
      <w:r/>
      <w:bookmarkStart w:id="145" w:name="_Toc20823306"/>
      <w:r/>
      <w:bookmarkStart w:id="146" w:name="_Toc513029234"/>
      <w:r>
        <w:rPr>
          <w:rFonts w:hint="eastAsia" w:ascii="宋体" w:hAnsi="宋体"/>
          <w:sz w:val="24"/>
          <w:szCs w:val="21"/>
        </w:rPr>
        <w:t xml:space="preserve">25.6供应商在项目评审全过程中应保持通讯畅通，并安排专人与采购中心及磋商小组联系。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4"/>
      <w:r/>
      <w:bookmarkEnd w:id="145"/>
      <w:r/>
      <w:bookmarkEnd w:id="146"/>
      <w:r>
        <w:rPr>
          <w:rFonts w:hint="eastAsia" w:ascii="Arial" w:hAnsi="Arial" w:eastAsia="黑体" w:cs="Arial"/>
          <w:sz w:val="28"/>
          <w:szCs w:val="28"/>
        </w:rPr>
        <w:t xml:space="preserve">磋商程序及评审方法</w:t>
      </w:r>
      <w:r>
        <w:rPr>
          <w:rFonts w:hint="eastAsia" w:ascii="Arial" w:hAnsi="Arial" w:eastAsia="黑体" w:cs="Arial"/>
          <w:sz w:val="28"/>
          <w:szCs w:val="28"/>
          <w:lang w:eastAsia="zh-CN"/>
        </w:rPr>
        <w:t xml:space="preserve">与</w:t>
      </w:r>
      <w:r>
        <w:rPr>
          <w:rFonts w:hint="eastAsia" w:ascii="Arial" w:hAnsi="Arial" w:eastAsia="黑体" w:cs="Arial"/>
          <w:sz w:val="28"/>
          <w:szCs w:val="28"/>
        </w:rPr>
        <w:t xml:space="preserve">评审标准</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20"/>
        <w:spacing w:line="400" w:lineRule="exact"/>
        <w:rPr>
          <w:rFonts w:hint="eastAsia" w:ascii="方正魏碑_GBK" w:hAnsi="方正魏碑_GBK" w:eastAsia="方正魏碑_GBK" w:cs="方正魏碑_GBK"/>
          <w:color w:val="000000"/>
          <w:sz w:val="32"/>
          <w:szCs w:val="24"/>
        </w:rPr>
      </w:pPr>
      <w:r/>
      <w:bookmarkStart w:id="147" w:name="OLE_LINK1"/>
      <w:r>
        <w:rPr>
          <w:rFonts w:hint="eastAsia" w:ascii="方正魏碑_GBK" w:hAnsi="方正魏碑_GBK" w:eastAsia="方正魏碑_GBK" w:cs="方正魏碑_GBK"/>
          <w:color w:val="000000"/>
          <w:sz w:val="32"/>
          <w:szCs w:val="24"/>
        </w:rPr>
        <w:t xml:space="preserve">2</w:t>
      </w:r>
      <w:r>
        <w:rPr>
          <w:rFonts w:hint="eastAsia" w:ascii="方正魏碑_GBK" w:hAnsi="方正魏碑_GBK" w:eastAsia="方正魏碑_GBK" w:cs="方正魏碑_GBK"/>
          <w:color w:val="000000"/>
          <w:sz w:val="32"/>
          <w:szCs w:val="24"/>
          <w:lang w:val="en-US" w:eastAsia="zh-CN"/>
        </w:rPr>
        <w:t xml:space="preserve">6</w:t>
      </w:r>
      <w:r>
        <w:rPr>
          <w:rFonts w:hint="eastAsia" w:ascii="方正魏碑_GBK" w:hAnsi="方正魏碑_GBK" w:eastAsia="方正魏碑_GBK" w:cs="方正魏碑_GBK"/>
          <w:color w:val="000000"/>
          <w:sz w:val="32"/>
          <w:szCs w:val="24"/>
        </w:rPr>
        <w:t xml:space="preserve">.</w:t>
      </w:r>
      <w:r>
        <w:rPr>
          <w:rFonts w:hint="eastAsia" w:ascii="方正魏碑_GBK" w:hAnsi="方正魏碑_GBK" w:eastAsia="方正魏碑_GBK" w:cs="方正魏碑_GBK"/>
          <w:color w:val="000000"/>
          <w:sz w:val="32"/>
          <w:szCs w:val="24"/>
          <w:lang w:val="en-US" w:eastAsia="zh-CN"/>
        </w:rPr>
        <w:t xml:space="preserve">1.4</w:t>
      </w:r>
      <w:r>
        <w:rPr>
          <w:rFonts w:hint="eastAsia" w:ascii="方正魏碑_GBK" w:hAnsi="方正魏碑_GBK" w:eastAsia="方正魏碑_GBK" w:cs="方正魏碑_GBK"/>
          <w:color w:val="000000"/>
          <w:sz w:val="32"/>
          <w:szCs w:val="24"/>
        </w:rPr>
        <w:t xml:space="preserve"> 异常低价</w:t>
      </w:r>
      <w:r>
        <w:rPr>
          <w:rFonts w:hint="eastAsia" w:ascii="方正魏碑_GBK" w:hAnsi="方正魏碑_GBK" w:eastAsia="方正魏碑_GBK" w:cs="方正魏碑_GBK"/>
          <w:color w:val="000000"/>
          <w:sz w:val="32"/>
          <w:szCs w:val="24"/>
          <w:lang w:eastAsia="zh-CN"/>
        </w:rPr>
        <w:t xml:space="preserve">响应</w:t>
      </w:r>
      <w:r>
        <w:rPr>
          <w:rFonts w:hint="eastAsia" w:ascii="方正魏碑_GBK" w:hAnsi="方正魏碑_GBK" w:eastAsia="方正魏碑_GBK" w:cs="方正魏碑_GBK"/>
          <w:color w:val="000000"/>
          <w:sz w:val="32"/>
          <w:szCs w:val="24"/>
        </w:rPr>
        <w:t xml:space="preserve">审查</w:t>
      </w:r>
      <w:r/>
    </w:p>
    <w:p>
      <w:pPr>
        <w:ind w:firstLine="420"/>
        <w:spacing w:line="400" w:lineRule="exact"/>
        <w:rPr>
          <w:rFonts w:hint="eastAsia" w:ascii="方正魏碑_GBK" w:hAnsi="方正魏碑_GBK" w:eastAsia="方正魏碑_GBK" w:cs="方正魏碑_GBK"/>
          <w:color w:val="000000"/>
          <w:sz w:val="32"/>
          <w:szCs w:val="24"/>
        </w:rPr>
      </w:pPr>
      <w:r>
        <w:rPr>
          <w:rFonts w:hint="eastAsia" w:ascii="方正魏碑_GBK" w:hAnsi="方正魏碑_GBK" w:eastAsia="方正魏碑_GBK" w:cs="方正魏碑_GBK"/>
          <w:color w:val="000000"/>
          <w:sz w:val="32"/>
          <w:szCs w:val="24"/>
        </w:rPr>
        <w:t xml:space="preserve">2</w:t>
      </w:r>
      <w:r>
        <w:rPr>
          <w:rFonts w:hint="eastAsia" w:ascii="方正魏碑_GBK" w:hAnsi="方正魏碑_GBK" w:eastAsia="方正魏碑_GBK" w:cs="方正魏碑_GBK"/>
          <w:color w:val="000000"/>
          <w:sz w:val="32"/>
          <w:szCs w:val="24"/>
          <w:lang w:val="en-US" w:eastAsia="zh-CN"/>
        </w:rPr>
        <w:t xml:space="preserve">6</w:t>
      </w:r>
      <w:r>
        <w:rPr>
          <w:rFonts w:hint="eastAsia" w:ascii="方正魏碑_GBK" w:hAnsi="方正魏碑_GBK" w:eastAsia="方正魏碑_GBK" w:cs="方正魏碑_GBK"/>
          <w:color w:val="000000"/>
          <w:sz w:val="32"/>
          <w:szCs w:val="24"/>
        </w:rPr>
        <w:t xml:space="preserve">.</w:t>
      </w:r>
      <w:r>
        <w:rPr>
          <w:rFonts w:hint="eastAsia" w:ascii="方正魏碑_GBK" w:hAnsi="方正魏碑_GBK" w:eastAsia="方正魏碑_GBK" w:cs="方正魏碑_GBK"/>
          <w:color w:val="000000"/>
          <w:sz w:val="32"/>
          <w:szCs w:val="24"/>
          <w:lang w:val="en-US" w:eastAsia="zh-CN"/>
        </w:rPr>
        <w:t xml:space="preserve">1.4.1</w:t>
      </w:r>
      <w:r>
        <w:rPr>
          <w:rFonts w:hint="eastAsia" w:ascii="方正魏碑_GBK" w:hAnsi="方正魏碑_GBK" w:eastAsia="方正魏碑_GBK" w:cs="方正魏碑_GBK"/>
          <w:color w:val="000000"/>
          <w:sz w:val="32"/>
          <w:szCs w:val="24"/>
        </w:rPr>
        <w:t xml:space="preserve"> </w:t>
      </w:r>
      <w:r>
        <w:rPr>
          <w:rFonts w:hint="eastAsia" w:ascii="方正魏碑_GBK" w:hAnsi="方正魏碑_GBK" w:eastAsia="方正魏碑_GBK" w:cs="方正魏碑_GBK"/>
          <w:color w:val="000000"/>
          <w:sz w:val="32"/>
          <w:szCs w:val="24"/>
          <w:lang w:eastAsia="zh-CN"/>
        </w:rPr>
        <w:t xml:space="preserve">评审</w:t>
      </w:r>
      <w:r>
        <w:rPr>
          <w:rFonts w:hint="eastAsia" w:ascii="方正魏碑_GBK" w:hAnsi="方正魏碑_GBK" w:eastAsia="方正魏碑_GBK" w:cs="方正魏碑_GBK"/>
          <w:color w:val="000000"/>
          <w:sz w:val="32"/>
          <w:szCs w:val="24"/>
        </w:rPr>
        <w:t xml:space="preserve">过程中出现下列情形之一的，</w:t>
      </w:r>
      <w:r>
        <w:rPr>
          <w:rFonts w:hint="eastAsia" w:ascii="方正魏碑_GBK" w:hAnsi="方正魏碑_GBK" w:eastAsia="方正魏碑_GBK" w:cs="方正魏碑_GBK"/>
          <w:color w:val="000000"/>
          <w:sz w:val="32"/>
          <w:szCs w:val="24"/>
          <w:lang w:eastAsia="zh-CN"/>
        </w:rPr>
        <w:t xml:space="preserve">磋商小组</w:t>
      </w:r>
      <w:r>
        <w:rPr>
          <w:rFonts w:hint="eastAsia" w:ascii="方正魏碑_GBK" w:hAnsi="方正魏碑_GBK" w:eastAsia="方正魏碑_GBK" w:cs="方正魏碑_GBK"/>
          <w:color w:val="000000"/>
          <w:sz w:val="32"/>
          <w:szCs w:val="24"/>
        </w:rPr>
        <w:t xml:space="preserve">应当启动异常低价</w:t>
      </w:r>
      <w:r>
        <w:rPr>
          <w:rFonts w:hint="eastAsia" w:ascii="方正魏碑_GBK" w:hAnsi="方正魏碑_GBK" w:eastAsia="方正魏碑_GBK" w:cs="方正魏碑_GBK"/>
          <w:color w:val="000000"/>
          <w:sz w:val="32"/>
          <w:szCs w:val="24"/>
          <w:lang w:eastAsia="zh-CN"/>
        </w:rPr>
        <w:t xml:space="preserve">响应</w:t>
      </w:r>
      <w:r>
        <w:rPr>
          <w:rFonts w:hint="eastAsia" w:ascii="方正魏碑_GBK" w:hAnsi="方正魏碑_GBK" w:eastAsia="方正魏碑_GBK" w:cs="方正魏碑_GBK"/>
          <w:color w:val="000000"/>
          <w:sz w:val="32"/>
          <w:szCs w:val="24"/>
        </w:rPr>
        <w:t xml:space="preserve">审查程序：</w:t>
      </w:r>
      <w:r/>
    </w:p>
    <w:p>
      <w:pPr>
        <w:ind w:firstLine="420"/>
        <w:spacing w:line="400" w:lineRule="exact"/>
        <w:rPr>
          <w:rFonts w:hint="eastAsia" w:ascii="方正魏碑_GBK" w:hAnsi="方正魏碑_GBK" w:eastAsia="方正魏碑_GBK" w:cs="方正魏碑_GBK"/>
          <w:color w:val="000000"/>
          <w:sz w:val="32"/>
          <w:szCs w:val="24"/>
        </w:rPr>
      </w:pPr>
      <w:r>
        <w:rPr>
          <w:rFonts w:hint="eastAsia" w:ascii="方正魏碑_GBK" w:hAnsi="方正魏碑_GBK" w:eastAsia="方正魏碑_GBK" w:cs="方正魏碑_GBK"/>
          <w:color w:val="000000"/>
          <w:sz w:val="32"/>
          <w:szCs w:val="24"/>
        </w:rPr>
        <w:t xml:space="preserve">（1）</w:t>
      </w:r>
      <w:r>
        <w:rPr>
          <w:rFonts w:hint="eastAsia" w:ascii="方正魏碑_GBK" w:hAnsi="方正魏碑_GBK" w:eastAsia="方正魏碑_GBK" w:cs="方正魏碑_GBK"/>
          <w:color w:val="000000"/>
          <w:sz w:val="32"/>
          <w:szCs w:val="24"/>
          <w:lang w:eastAsia="zh-CN"/>
        </w:rPr>
        <w:t xml:space="preserve">响应</w:t>
      </w:r>
      <w:r>
        <w:rPr>
          <w:rFonts w:hint="eastAsia" w:ascii="方正魏碑_GBK" w:hAnsi="方正魏碑_GBK" w:eastAsia="方正魏碑_GBK" w:cs="方正魏碑_GBK"/>
          <w:color w:val="000000"/>
          <w:sz w:val="32"/>
          <w:szCs w:val="24"/>
        </w:rPr>
        <w:t xml:space="preserve">报价低于全部通过符合性审查供应商</w:t>
      </w:r>
      <w:r>
        <w:rPr>
          <w:rFonts w:hint="eastAsia" w:ascii="方正魏碑_GBK" w:hAnsi="方正魏碑_GBK" w:eastAsia="方正魏碑_GBK" w:cs="方正魏碑_GBK"/>
          <w:color w:val="000000"/>
          <w:sz w:val="32"/>
          <w:szCs w:val="24"/>
          <w:lang w:eastAsia="zh-CN"/>
        </w:rPr>
        <w:t xml:space="preserve">响应</w:t>
      </w:r>
      <w:r>
        <w:rPr>
          <w:rFonts w:hint="eastAsia" w:ascii="方正魏碑_GBK" w:hAnsi="方正魏碑_GBK" w:eastAsia="方正魏碑_GBK" w:cs="方正魏碑_GBK"/>
          <w:color w:val="000000"/>
          <w:sz w:val="32"/>
          <w:szCs w:val="24"/>
        </w:rPr>
        <w:t xml:space="preserve">报价平均值50%的，即</w:t>
      </w:r>
      <w:r>
        <w:rPr>
          <w:rFonts w:hint="eastAsia" w:ascii="方正魏碑_GBK" w:hAnsi="方正魏碑_GBK" w:eastAsia="方正魏碑_GBK" w:cs="方正魏碑_GBK"/>
          <w:color w:val="000000"/>
          <w:sz w:val="32"/>
          <w:szCs w:val="24"/>
          <w:lang w:eastAsia="zh-CN"/>
        </w:rPr>
        <w:t xml:space="preserve">响应报价</w:t>
      </w:r>
      <w:r>
        <w:rPr>
          <w:rFonts w:hint="eastAsia" w:ascii="方正魏碑_GBK" w:hAnsi="方正魏碑_GBK" w:eastAsia="方正魏碑_GBK" w:cs="方正魏碑_GBK"/>
          <w:color w:val="000000"/>
          <w:sz w:val="32"/>
          <w:szCs w:val="24"/>
        </w:rPr>
        <w:t xml:space="preserve">&lt;全部通过符合性审查供应商</w:t>
      </w:r>
      <w:r>
        <w:rPr>
          <w:rFonts w:hint="eastAsia" w:ascii="方正魏碑_GBK" w:hAnsi="方正魏碑_GBK" w:eastAsia="方正魏碑_GBK" w:cs="方正魏碑_GBK"/>
          <w:color w:val="000000"/>
          <w:sz w:val="32"/>
          <w:szCs w:val="24"/>
          <w:lang w:eastAsia="zh-CN"/>
        </w:rPr>
        <w:t xml:space="preserve">响应报价</w:t>
      </w:r>
      <w:r>
        <w:rPr>
          <w:rFonts w:hint="eastAsia" w:ascii="方正魏碑_GBK" w:hAnsi="方正魏碑_GBK" w:eastAsia="方正魏碑_GBK" w:cs="方正魏碑_GBK"/>
          <w:color w:val="000000"/>
          <w:sz w:val="32"/>
          <w:szCs w:val="24"/>
        </w:rPr>
        <w:t xml:space="preserve">平均值×50%；</w:t>
      </w:r>
      <w:r/>
    </w:p>
    <w:p>
      <w:pPr>
        <w:ind w:firstLine="420"/>
        <w:spacing w:line="400" w:lineRule="exact"/>
        <w:rPr>
          <w:rFonts w:hint="eastAsia" w:ascii="方正魏碑_GBK" w:hAnsi="方正魏碑_GBK" w:eastAsia="方正魏碑_GBK" w:cs="方正魏碑_GBK"/>
          <w:color w:val="000000"/>
          <w:sz w:val="32"/>
          <w:szCs w:val="24"/>
        </w:rPr>
      </w:pPr>
      <w:r>
        <w:rPr>
          <w:rFonts w:hint="eastAsia" w:ascii="方正魏碑_GBK" w:hAnsi="方正魏碑_GBK" w:eastAsia="方正魏碑_GBK" w:cs="方正魏碑_GBK"/>
          <w:color w:val="000000"/>
          <w:sz w:val="32"/>
          <w:szCs w:val="24"/>
        </w:rPr>
        <w:t xml:space="preserve">（2）</w:t>
      </w:r>
      <w:r>
        <w:rPr>
          <w:rFonts w:hint="eastAsia" w:ascii="方正魏碑_GBK" w:hAnsi="方正魏碑_GBK" w:eastAsia="方正魏碑_GBK" w:cs="方正魏碑_GBK"/>
          <w:color w:val="000000"/>
          <w:sz w:val="32"/>
          <w:szCs w:val="24"/>
          <w:lang w:eastAsia="zh-CN"/>
        </w:rPr>
        <w:t xml:space="preserve">响应报价</w:t>
      </w:r>
      <w:r>
        <w:rPr>
          <w:rFonts w:hint="eastAsia" w:ascii="方正魏碑_GBK" w:hAnsi="方正魏碑_GBK" w:eastAsia="方正魏碑_GBK" w:cs="方正魏碑_GBK"/>
          <w:color w:val="000000"/>
          <w:sz w:val="32"/>
          <w:szCs w:val="24"/>
        </w:rPr>
        <w:t xml:space="preserve">低于通过符合性审查的次低报价供应商</w:t>
      </w:r>
      <w:r>
        <w:rPr>
          <w:rFonts w:hint="eastAsia" w:ascii="方正魏碑_GBK" w:hAnsi="方正魏碑_GBK" w:eastAsia="方正魏碑_GBK" w:cs="方正魏碑_GBK"/>
          <w:color w:val="000000"/>
          <w:sz w:val="32"/>
          <w:szCs w:val="24"/>
          <w:lang w:eastAsia="zh-CN"/>
        </w:rPr>
        <w:t xml:space="preserve">响应报价</w:t>
      </w:r>
      <w:r>
        <w:rPr>
          <w:rFonts w:hint="eastAsia" w:ascii="方正魏碑_GBK" w:hAnsi="方正魏碑_GBK" w:eastAsia="方正魏碑_GBK" w:cs="方正魏碑_GBK"/>
          <w:color w:val="000000"/>
          <w:sz w:val="32"/>
          <w:szCs w:val="24"/>
        </w:rPr>
        <w:t xml:space="preserve">50%的，即</w:t>
      </w:r>
      <w:r>
        <w:rPr>
          <w:rFonts w:hint="eastAsia" w:ascii="方正魏碑_GBK" w:hAnsi="方正魏碑_GBK" w:eastAsia="方正魏碑_GBK" w:cs="方正魏碑_GBK"/>
          <w:color w:val="000000"/>
          <w:sz w:val="32"/>
          <w:szCs w:val="24"/>
          <w:lang w:eastAsia="zh-CN"/>
        </w:rPr>
        <w:t xml:space="preserve">响应报价</w:t>
      </w:r>
      <w:r>
        <w:rPr>
          <w:rFonts w:hint="eastAsia" w:ascii="方正魏碑_GBK" w:hAnsi="方正魏碑_GBK" w:eastAsia="方正魏碑_GBK" w:cs="方正魏碑_GBK"/>
          <w:color w:val="000000"/>
          <w:sz w:val="32"/>
          <w:szCs w:val="24"/>
        </w:rPr>
        <w:t xml:space="preserve">&lt;通过符合性审查的次低报价供应商</w:t>
      </w:r>
      <w:r>
        <w:rPr>
          <w:rFonts w:hint="eastAsia" w:ascii="方正魏碑_GBK" w:hAnsi="方正魏碑_GBK" w:eastAsia="方正魏碑_GBK" w:cs="方正魏碑_GBK"/>
          <w:color w:val="000000"/>
          <w:sz w:val="32"/>
          <w:szCs w:val="24"/>
          <w:lang w:eastAsia="zh-CN"/>
        </w:rPr>
        <w:t xml:space="preserve">响应报价</w:t>
      </w:r>
      <w:r>
        <w:rPr>
          <w:rFonts w:hint="eastAsia" w:ascii="方正魏碑_GBK" w:hAnsi="方正魏碑_GBK" w:eastAsia="方正魏碑_GBK" w:cs="方正魏碑_GBK"/>
          <w:color w:val="000000"/>
          <w:sz w:val="32"/>
          <w:szCs w:val="24"/>
        </w:rPr>
        <w:t xml:space="preserve">×50%；</w:t>
      </w:r>
      <w:r/>
    </w:p>
    <w:p>
      <w:pPr>
        <w:ind w:firstLine="420"/>
        <w:spacing w:line="400" w:lineRule="exact"/>
        <w:rPr>
          <w:rFonts w:hint="eastAsia" w:ascii="方正魏碑_GBK" w:hAnsi="方正魏碑_GBK" w:eastAsia="方正魏碑_GBK" w:cs="方正魏碑_GBK"/>
          <w:color w:val="000000"/>
          <w:sz w:val="32"/>
          <w:szCs w:val="24"/>
          <w:lang w:eastAsia="zh-CN"/>
        </w:rPr>
      </w:pPr>
      <w:r>
        <w:rPr>
          <w:rFonts w:hint="eastAsia" w:ascii="方正魏碑_GBK" w:hAnsi="方正魏碑_GBK" w:eastAsia="方正魏碑_GBK" w:cs="方正魏碑_GBK"/>
          <w:color w:val="000000"/>
          <w:sz w:val="32"/>
          <w:szCs w:val="24"/>
          <w:lang w:eastAsia="zh-CN"/>
        </w:rPr>
        <w:t xml:space="preserve">（</w:t>
      </w:r>
      <w:r>
        <w:rPr>
          <w:rFonts w:hint="eastAsia" w:ascii="方正魏碑_GBK" w:hAnsi="方正魏碑_GBK" w:eastAsia="方正魏碑_GBK" w:cs="方正魏碑_GBK"/>
          <w:color w:val="000000"/>
          <w:sz w:val="32"/>
          <w:szCs w:val="24"/>
          <w:lang w:val="en-US" w:eastAsia="zh-CN"/>
        </w:rPr>
        <w:t xml:space="preserve">3</w:t>
      </w:r>
      <w:r>
        <w:rPr>
          <w:rFonts w:hint="eastAsia" w:ascii="方正魏碑_GBK" w:hAnsi="方正魏碑_GBK" w:eastAsia="方正魏碑_GBK" w:cs="方正魏碑_GBK"/>
          <w:color w:val="000000"/>
          <w:sz w:val="32"/>
          <w:szCs w:val="24"/>
          <w:lang w:eastAsia="zh-CN"/>
        </w:rPr>
        <w:t xml:space="preserve">）响应报价低于采购项目最高限价45%的，即响应报价&lt;采购项目最高限价×45%；</w:t>
      </w:r>
      <w:r/>
    </w:p>
    <w:p>
      <w:pPr>
        <w:ind w:firstLine="420"/>
        <w:spacing w:line="400" w:lineRule="exact"/>
        <w:rPr>
          <w:rFonts w:hint="eastAsia" w:ascii="方正魏碑_GBK" w:hAnsi="方正魏碑_GBK" w:eastAsia="方正魏碑_GBK" w:cs="方正魏碑_GBK"/>
          <w:color w:val="000000"/>
          <w:sz w:val="32"/>
          <w:szCs w:val="24"/>
        </w:rPr>
      </w:pPr>
      <w:r>
        <w:rPr>
          <w:rFonts w:hint="eastAsia" w:ascii="方正魏碑_GBK" w:hAnsi="方正魏碑_GBK" w:eastAsia="方正魏碑_GBK" w:cs="方正魏碑_GBK"/>
          <w:color w:val="000000"/>
          <w:sz w:val="32"/>
          <w:szCs w:val="24"/>
        </w:rPr>
        <w:t xml:space="preserve">（</w:t>
      </w:r>
      <w:r>
        <w:rPr>
          <w:rFonts w:hint="eastAsia" w:ascii="方正魏碑_GBK" w:hAnsi="方正魏碑_GBK" w:eastAsia="方正魏碑_GBK" w:cs="方正魏碑_GBK"/>
          <w:color w:val="000000"/>
          <w:sz w:val="32"/>
          <w:szCs w:val="24"/>
          <w:lang w:val="en-US" w:eastAsia="zh-CN"/>
        </w:rPr>
        <w:t xml:space="preserve">4</w:t>
      </w:r>
      <w:r>
        <w:rPr>
          <w:rFonts w:hint="eastAsia" w:ascii="方正魏碑_GBK" w:hAnsi="方正魏碑_GBK" w:eastAsia="方正魏碑_GBK" w:cs="方正魏碑_GBK"/>
          <w:color w:val="000000"/>
          <w:sz w:val="32"/>
          <w:szCs w:val="24"/>
        </w:rPr>
        <w:t xml:space="preserve">）</w:t>
      </w:r>
      <w:r>
        <w:rPr>
          <w:rFonts w:hint="eastAsia" w:ascii="方正魏碑_GBK" w:hAnsi="方正魏碑_GBK" w:eastAsia="方正魏碑_GBK" w:cs="方正魏碑_GBK"/>
          <w:color w:val="000000"/>
          <w:sz w:val="32"/>
          <w:szCs w:val="24"/>
          <w:lang w:eastAsia="zh-CN"/>
        </w:rPr>
        <w:t xml:space="preserve">磋商小组</w:t>
      </w:r>
      <w:r>
        <w:rPr>
          <w:rFonts w:hint="eastAsia" w:ascii="方正魏碑_GBK" w:hAnsi="方正魏碑_GBK" w:eastAsia="方正魏碑_GBK" w:cs="方正魏碑_GBK"/>
          <w:color w:val="000000"/>
          <w:sz w:val="32"/>
          <w:szCs w:val="24"/>
        </w:rPr>
        <w:t xml:space="preserve">基于专业判断，认为供应商报价过低，有可能影响产品质量或者不能诚信履约的其他情形。</w:t>
      </w:r>
      <w:bookmarkEnd w:id="147"/>
      <w:r/>
    </w:p>
    <w:p>
      <w:pPr>
        <w:ind w:firstLine="420"/>
        <w:spacing w:line="400" w:lineRule="exact"/>
        <w:rPr>
          <w:rFonts w:hint="eastAsia" w:ascii="方正魏碑_GBK" w:hAnsi="方正魏碑_GBK" w:eastAsia="方正魏碑_GBK" w:cs="方正魏碑_GBK"/>
          <w:color w:val="000000"/>
          <w:sz w:val="32"/>
          <w:szCs w:val="24"/>
          <w:lang w:val="en-US" w:eastAsia="zh-CN"/>
        </w:rPr>
      </w:pPr>
      <w:r>
        <w:rPr>
          <w:rFonts w:hint="eastAsia" w:ascii="方正魏碑_GBK" w:hAnsi="方正魏碑_GBK" w:eastAsia="方正魏碑_GBK" w:cs="方正魏碑_GBK"/>
          <w:color w:val="000000"/>
          <w:sz w:val="32"/>
          <w:szCs w:val="24"/>
        </w:rPr>
        <w:t xml:space="preserve">2</w:t>
      </w:r>
      <w:r>
        <w:rPr>
          <w:rFonts w:hint="eastAsia" w:ascii="方正魏碑_GBK" w:hAnsi="方正魏碑_GBK" w:eastAsia="方正魏碑_GBK" w:cs="方正魏碑_GBK"/>
          <w:color w:val="000000"/>
          <w:sz w:val="32"/>
          <w:szCs w:val="24"/>
          <w:lang w:val="en-US" w:eastAsia="zh-CN"/>
        </w:rPr>
        <w:t xml:space="preserve">6</w:t>
      </w:r>
      <w:r>
        <w:rPr>
          <w:rFonts w:hint="eastAsia" w:ascii="方正魏碑_GBK" w:hAnsi="方正魏碑_GBK" w:eastAsia="方正魏碑_GBK" w:cs="方正魏碑_GBK"/>
          <w:color w:val="000000"/>
          <w:sz w:val="32"/>
          <w:szCs w:val="24"/>
        </w:rPr>
        <w:t xml:space="preserve">.</w:t>
      </w:r>
      <w:r>
        <w:rPr>
          <w:rFonts w:hint="eastAsia" w:ascii="方正魏碑_GBK" w:hAnsi="方正魏碑_GBK" w:eastAsia="方正魏碑_GBK" w:cs="方正魏碑_GBK"/>
          <w:color w:val="000000"/>
          <w:sz w:val="32"/>
          <w:szCs w:val="24"/>
          <w:lang w:val="en-US" w:eastAsia="zh-CN"/>
        </w:rPr>
        <w:t xml:space="preserve">1.4.2</w:t>
      </w:r>
      <w:r>
        <w:rPr>
          <w:rFonts w:hint="eastAsia" w:ascii="方正魏碑_GBK" w:hAnsi="方正魏碑_GBK" w:eastAsia="方正魏碑_GBK" w:cs="方正魏碑_GBK"/>
          <w:color w:val="000000"/>
          <w:sz w:val="32"/>
          <w:szCs w:val="24"/>
        </w:rPr>
        <w:t xml:space="preserve"> </w:t>
      </w:r>
      <w:r>
        <w:rPr>
          <w:rFonts w:hint="eastAsia" w:ascii="方正魏碑_GBK" w:hAnsi="方正魏碑_GBK" w:eastAsia="方正魏碑_GBK" w:cs="方正魏碑_GBK"/>
          <w:color w:val="000000"/>
          <w:sz w:val="32"/>
          <w:szCs w:val="24"/>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hint="eastAsia" w:ascii="方正魏碑_GBK" w:hAnsi="方正魏碑_GBK" w:eastAsia="方正魏碑_GBK" w:cs="方正魏碑_GBK"/>
          <w:color w:val="000000"/>
          <w:sz w:val="32"/>
          <w:szCs w:val="24"/>
          <w:lang w:val="en-US" w:eastAsia="zh-CN"/>
        </w:rPr>
      </w:pPr>
      <w:r>
        <w:rPr>
          <w:rFonts w:hint="eastAsia" w:ascii="方正魏碑_GBK" w:hAnsi="方正魏碑_GBK" w:eastAsia="方正魏碑_GBK" w:cs="方正魏碑_GBK"/>
          <w:color w:val="000000"/>
          <w:sz w:val="32"/>
          <w:szCs w:val="24"/>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w:t>
      </w:r>
      <w:r>
        <w:rPr>
          <w:rFonts w:hint="eastAsia" w:ascii="宋体" w:hAnsi="宋体"/>
          <w:sz w:val="24"/>
          <w:szCs w:val="24"/>
          <w:lang w:eastAsia="zh-CN"/>
        </w:rPr>
        <w:t xml:space="preserve">与</w:t>
      </w:r>
      <w:r>
        <w:rPr>
          <w:rFonts w:hint="eastAsia" w:ascii="宋体" w:hAnsi="宋体"/>
          <w:sz w:val="24"/>
          <w:szCs w:val="24"/>
        </w:rPr>
        <w:t xml:space="preserve">评审标准</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rFonts w:hint="eastAsia" w:ascii="Times New Roman" w:hAnsi="Times New Roman"/>
          <w:b/>
          <w:bCs/>
          <w:sz w:val="32"/>
          <w:szCs w:val="32"/>
        </w:rPr>
        <w:outlineLvl w:val="2"/>
      </w:pPr>
      <w:r/>
      <w:bookmarkStart w:id="148" w:name="_Toc513029235"/>
      <w:r/>
      <w:bookmarkStart w:id="149" w:name="_Toc20823307"/>
      <w:r/>
      <w:bookmarkStart w:id="150" w:name="_Toc16938551"/>
      <w:r/>
      <w:bookmarkStart w:id="151" w:name="_Toc120614219"/>
      <w:r>
        <w:rPr>
          <w:rFonts w:hint="eastAsia" w:ascii="Times New Roman" w:hAnsi="Times New Roman"/>
          <w:b/>
          <w:bCs/>
          <w:sz w:val="32"/>
          <w:szCs w:val="32"/>
        </w:rPr>
        <w:t xml:space="preserve">六、</w:t>
      </w:r>
      <w:bookmarkEnd w:id="148"/>
      <w:r/>
      <w:bookmarkEnd w:id="149"/>
      <w:r/>
      <w:bookmarkEnd w:id="150"/>
      <w:r/>
      <w:bookmarkEnd w:id="151"/>
      <w:r>
        <w:rPr>
          <w:rFonts w:hint="eastAsia" w:ascii="Times New Roman" w:hAnsi="Times New Roman"/>
          <w:b/>
          <w:bCs/>
          <w:sz w:val="32"/>
          <w:szCs w:val="32"/>
        </w:rPr>
        <w:t xml:space="preserve">成交</w:t>
      </w:r>
      <w:r/>
    </w:p>
    <w:p>
      <w:pPr>
        <w:ind w:firstLine="600"/>
        <w:keepLines/>
        <w:keepNext/>
        <w:rPr>
          <w:rFonts w:hint="eastAsia" w:ascii="黑体" w:hAnsi="宋体" w:eastAsia="黑体"/>
          <w:bCs/>
          <w:sz w:val="30"/>
          <w:szCs w:val="30"/>
        </w:rPr>
        <w:outlineLvl w:val="3"/>
      </w:pPr>
      <w:r/>
      <w:bookmarkStart w:id="152" w:name="_Toc513029238"/>
      <w:r/>
      <w:bookmarkStart w:id="153" w:name="_Toc16938554"/>
      <w:r/>
      <w:bookmarkStart w:id="154"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p>
    <w:p>
      <w:pPr>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5"/>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hint="eastAsia" w:ascii="Times New Roman" w:hAnsi="Times New Roman"/>
          <w:b/>
          <w:bCs/>
          <w:sz w:val="32"/>
          <w:szCs w:val="32"/>
        </w:rPr>
        <w:outlineLvl w:val="2"/>
      </w:pPr>
      <w:r/>
      <w:bookmarkStart w:id="156" w:name="_Toc120614220"/>
      <w:r/>
      <w:bookmarkStart w:id="157" w:name="_Toc16938552"/>
      <w:r/>
      <w:bookmarkStart w:id="158" w:name="_Toc513029236"/>
      <w:r/>
      <w:bookmarkStart w:id="159" w:name="_Toc20823308"/>
      <w:r>
        <w:rPr>
          <w:rFonts w:hint="eastAsia" w:ascii="Times New Roman" w:hAnsi="Times New Roman"/>
          <w:b/>
          <w:bCs/>
          <w:sz w:val="32"/>
          <w:szCs w:val="32"/>
        </w:rPr>
        <w:t xml:space="preserve">七、授予合同</w:t>
      </w:r>
      <w:bookmarkEnd w:id="156"/>
      <w:r/>
      <w:bookmarkEnd w:id="157"/>
      <w:bookmarkEnd w:id="158"/>
      <w:bookmarkEnd w:id="159"/>
      <w:r/>
    </w:p>
    <w:p>
      <w:pPr>
        <w:ind w:firstLine="600"/>
        <w:keepLines/>
        <w:keepNext/>
        <w:rPr>
          <w:rFonts w:hint="eastAsia" w:ascii="黑体" w:hAnsi="宋体" w:eastAsia="黑体"/>
          <w:bCs/>
          <w:sz w:val="30"/>
          <w:szCs w:val="30"/>
        </w:rPr>
        <w:outlineLvl w:val="3"/>
      </w:pPr>
      <w:r/>
      <w:bookmarkStart w:id="160" w:name="_Toc16938553"/>
      <w:r/>
      <w:bookmarkStart w:id="161" w:name="_Toc20823309"/>
      <w:r/>
      <w:bookmarkStart w:id="162"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bookmarkEnd w:id="161"/>
      <w:bookmarkEnd w:id="162"/>
      <w:r/>
    </w:p>
    <w:p>
      <w:pPr>
        <w:ind w:firstLine="600"/>
        <w:keepLines/>
        <w:keepNext/>
        <w:rPr>
          <w:rFonts w:ascii="黑体" w:hAnsi="宋体" w:eastAsia="黑体"/>
          <w:bCs/>
          <w:sz w:val="30"/>
          <w:szCs w:val="30"/>
        </w:rPr>
        <w:outlineLvl w:val="3"/>
      </w:pPr>
      <w:r/>
      <w:bookmarkStart w:id="163" w:name="_Toc513029242"/>
      <w:r/>
      <w:bookmarkStart w:id="164" w:name="_Toc20823314"/>
      <w:r/>
      <w:bookmarkStart w:id="165" w:name="_Toc479757207"/>
      <w:r/>
      <w:bookmarkStart w:id="166" w:name="_Toc120614221"/>
      <w:r/>
      <w:bookmarkStart w:id="167" w:name="_Toc16938558"/>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ind w:firstLine="2640"/>
        <w:keepNext/>
        <w:rPr>
          <w:rFonts w:hint="eastAsia" w:ascii="宋体" w:hAnsi="宋体"/>
          <w:b/>
          <w:sz w:val="30"/>
          <w:szCs w:val="21"/>
        </w:rPr>
        <w:outlineLvl w:val="0"/>
      </w:pP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bookmarkStart w:id="168" w:name="_Toc20823315"/>
      <w:r/>
      <w:bookmarkStart w:id="169" w:name="_Toc513029243"/>
      <w:r/>
      <w:bookmarkStart w:id="170" w:name="_Toc16938559"/>
      <w:r/>
      <w:r/>
    </w:p>
    <w:p>
      <w:pPr>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p>
    <w:p>
      <w:pPr>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p>
    <w:p>
      <w:pPr>
        <w:spacing w:before="120" w:after="120"/>
        <w:rPr>
          <w:rFonts w:ascii="宋体" w:hAnsi="宋体" w:cs="Courier New"/>
          <w:sz w:val="24"/>
          <w:szCs w:val="24"/>
        </w:rPr>
      </w:pPr>
      <w:r>
        <w:rPr>
          <w:rFonts w:ascii="宋体" w:hAnsi="宋体" w:cs="Courier New"/>
          <w:sz w:val="24"/>
          <w:szCs w:val="24"/>
        </w:rPr>
        <w:t xml:space="preserve">项目名称： ****                                    </w:t>
      </w:r>
      <w:r/>
    </w:p>
    <w:p>
      <w:pPr>
        <w:spacing w:before="120" w:after="120"/>
        <w:rPr>
          <w:rFonts w:ascii="宋体" w:hAnsi="宋体" w:cs="Courier New"/>
          <w:sz w:val="24"/>
          <w:szCs w:val="24"/>
        </w:rPr>
      </w:pPr>
      <w:r>
        <w:rPr>
          <w:rFonts w:hint="eastAsia" w:ascii="宋体" w:hAnsi="宋体" w:cs="Courier New"/>
          <w:sz w:val="24"/>
          <w:szCs w:val="24"/>
          <w:lang w:eastAsia="zh-CN"/>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20" w:after="120"/>
        <w:rPr>
          <w:rFonts w:hint="eastAsia" w:ascii="宋体" w:hAnsi="宋体" w:cs="Courier New"/>
          <w:bCs/>
          <w:sz w:val="24"/>
          <w:szCs w:val="24"/>
        </w:rPr>
      </w:pPr>
      <w:r>
        <w:rPr>
          <w:rFonts w:ascii="宋体" w:hAnsi="宋体" w:cs="Courier New"/>
          <w:bCs/>
          <w:sz w:val="24"/>
          <w:szCs w:val="24"/>
        </w:rPr>
        <w:t xml:space="preserve">8.1.1</w:t>
      </w:r>
      <w:r>
        <w:rPr>
          <w:rFonts w:hint="eastAsia" w:ascii="宋体" w:hAnsi="宋体" w:cs="Courier New"/>
          <w:bCs/>
          <w:sz w:val="24"/>
          <w:szCs w:val="24"/>
        </w:rPr>
        <w:t xml:space="preserve">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spacing w:before="120" w:after="120"/>
        <w:rPr>
          <w:rFonts w:hint="eastAsia" w:ascii="宋体" w:hAnsi="宋体" w:cs="Courier New"/>
          <w:bCs/>
          <w:sz w:val="24"/>
          <w:szCs w:val="24"/>
        </w:rPr>
      </w:pPr>
      <w:r>
        <w:rPr>
          <w:rFonts w:ascii="宋体" w:hAnsi="宋体" w:cs="Courier New"/>
          <w:bCs/>
          <w:sz w:val="24"/>
          <w:szCs w:val="24"/>
        </w:rPr>
        <w:t xml:space="preserve">8.1.2</w:t>
      </w:r>
      <w:r>
        <w:rPr>
          <w:rFonts w:hint="eastAsia" w:ascii="宋体" w:hAnsi="宋体" w:cs="Courier New"/>
          <w:bCs/>
          <w:sz w:val="24"/>
          <w:szCs w:val="24"/>
        </w:rPr>
        <w:t xml:space="preserve">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ascii="Times New Roman" w:hAnsi="Times New Roman"/>
          <w:sz w:val="24"/>
          <w:szCs w:val="24"/>
        </w:rPr>
      </w:pPr>
      <w:r>
        <w:rPr>
          <w:rFonts w:hint="eastAsia" w:ascii="Times New Roman" w:hAnsi="Times New Roman"/>
          <w:szCs w:val="21"/>
        </w:rPr>
        <w:t xml:space="preserve">                                          </w:t>
      </w: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bookmarkEnd w:id="168"/>
      <w:bookmarkEnd w:id="169"/>
      <w:bookmarkEnd w:id="170"/>
      <w:r/>
    </w:p>
    <w:p>
      <w:pPr>
        <w:jc w:val="center"/>
        <w:spacing w:before="120" w:after="120" w:line="0" w:lineRule="atLeast"/>
        <w:rPr>
          <w:rFonts w:ascii="黑体" w:hAnsi="Courier New" w:eastAsia="黑体" w:cs="Courier New"/>
          <w:bCs/>
          <w:sz w:val="44"/>
          <w:szCs w:val="21"/>
        </w:rPr>
      </w:pPr>
      <w:r/>
      <w:bookmarkStart w:id="171" w:name="_Hlt16619369"/>
      <w:r/>
      <w:bookmarkEnd w:id="171"/>
      <w:r/>
      <w:bookmarkStart w:id="172" w:name="_Hlt16619350"/>
      <w:r/>
      <w:bookmarkStart w:id="173" w:name="_Toc16938590"/>
      <w:r/>
      <w:bookmarkStart w:id="174" w:name="_Toc20823346"/>
      <w:r/>
      <w:bookmarkStart w:id="175" w:name="_Toc120614244"/>
      <w:r/>
      <w:bookmarkStart w:id="176" w:name="_Toc462564139"/>
      <w:r/>
      <w:bookmarkStart w:id="177" w:name="_Toc479757211"/>
      <w:r>
        <w:rPr>
          <w:rFonts w:ascii="黑体" w:hAnsi="Courier New" w:eastAsia="黑体" w:cs="Courier New"/>
          <w:bCs/>
          <w:sz w:val="44"/>
          <w:szCs w:val="21"/>
        </w:rPr>
        <w:br w:type="page" w:clear="all"/>
      </w:r>
      <w:bookmarkEnd w:id="172"/>
      <w:r/>
      <w:bookmarkEnd w:id="173"/>
      <w:r/>
      <w:bookmarkEnd w:id="174"/>
      <w:r/>
      <w:bookmarkEnd w:id="175"/>
      <w:r/>
      <w:bookmarkStart w:id="178" w:name="_Toc49090575"/>
      <w:r/>
      <w:bookmarkStart w:id="179" w:name="_Toc26554093"/>
      <w:r>
        <w:rPr>
          <w:rFonts w:hint="eastAsia" w:ascii="黑体" w:hAnsi="Courier New" w:eastAsia="黑体" w:cs="Courier New"/>
          <w:bCs/>
          <w:sz w:val="44"/>
          <w:szCs w:val="21"/>
        </w:rPr>
        <w:t xml:space="preserve">第四章   采购需求</w:t>
      </w:r>
      <w:r/>
    </w:p>
    <w:p>
      <w:pPr>
        <w:pStyle w:val="963"/>
        <w:numPr>
          <w:ilvl w:val="1"/>
          <w:numId w:val="0"/>
        </w:numPr>
        <w:jc w:val="both"/>
        <w:spacing w:line="570" w:lineRule="exact"/>
        <w:rPr>
          <w:rFonts w:ascii="Times New Roman" w:hAnsi="Times New Roman" w:eastAsia="方正仿宋_GB2312" w:cs="Times New Roman"/>
          <w:color w:val="000000"/>
          <w:sz w:val="24"/>
          <w:szCs w:val="24"/>
        </w:rPr>
      </w:pPr>
      <w:r>
        <w:rPr>
          <w:rFonts w:ascii="Times New Roman" w:hAnsi="Times New Roman" w:eastAsia="方正仿宋_GB2312" w:cs="Times New Roman"/>
          <w:color w:val="000000"/>
          <w:sz w:val="24"/>
          <w:szCs w:val="24"/>
        </w:rPr>
        <w:t xml:space="preserve">一、采购标的清单</w:t>
      </w:r>
      <w:r/>
    </w:p>
    <w:tbl>
      <w:tblPr>
        <w:tblStyle w:val="681"/>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66"/>
        <w:gridCol w:w="3359"/>
        <w:gridCol w:w="2568"/>
        <w:gridCol w:w="1452"/>
      </w:tblGrid>
      <w:tr>
        <w:trPr>
          <w:cantSplit/>
          <w:jc w:val="center"/>
        </w:trPr>
        <w:tc>
          <w:tcPr>
            <w:tcW w:w="343" w:type="dxa"/>
            <w:vAlign w:val="center"/>
            <w:textDirection w:val="lrTb"/>
            <w:noWrap w:val="false"/>
          </w:tcPr>
          <w:p>
            <w:pPr>
              <w:jc w:val="center"/>
              <w:spacing w:line="0" w:lineRule="atLeast"/>
              <w:rPr>
                <w:rFonts w:ascii="Times New Roman" w:hAnsi="Times New Roman" w:eastAsia="方正仿宋_GB2312"/>
                <w:b/>
                <w:bCs/>
                <w:color w:val="000000"/>
                <w:sz w:val="24"/>
                <w:szCs w:val="24"/>
              </w:rPr>
            </w:pPr>
            <w:r>
              <w:rPr>
                <w:rFonts w:hint="eastAsia" w:ascii="Times New Roman" w:hAnsi="Times New Roman" w:eastAsia="方正仿宋_GB2312"/>
                <w:b/>
                <w:bCs/>
                <w:color w:val="000000"/>
                <w:sz w:val="24"/>
                <w:szCs w:val="24"/>
              </w:rPr>
              <w:t xml:space="preserve">分包</w:t>
            </w:r>
            <w:r/>
          </w:p>
        </w:tc>
        <w:tc>
          <w:tcPr>
            <w:tcW w:w="256" w:type="dxa"/>
            <w:vAlign w:val="center"/>
            <w:textDirection w:val="lrTb"/>
            <w:noWrap w:val="false"/>
          </w:tcPr>
          <w:p>
            <w:pPr>
              <w:jc w:val="center"/>
              <w:spacing w:line="0" w:lineRule="atLeast"/>
              <w:rPr>
                <w:rFonts w:ascii="Times New Roman" w:hAnsi="Times New Roman" w:eastAsia="方正仿宋_GB2312"/>
                <w:b/>
                <w:bCs/>
                <w:color w:val="000000"/>
                <w:sz w:val="24"/>
                <w:szCs w:val="24"/>
              </w:rPr>
            </w:pPr>
            <w:r>
              <w:rPr>
                <w:rFonts w:ascii="Times New Roman" w:hAnsi="Times New Roman" w:eastAsia="方正仿宋_GB2312"/>
                <w:b/>
                <w:bCs/>
                <w:color w:val="000000"/>
                <w:sz w:val="24"/>
                <w:szCs w:val="24"/>
              </w:rPr>
              <w:t xml:space="preserve">序号</w:t>
            </w:r>
            <w:r/>
          </w:p>
        </w:tc>
        <w:tc>
          <w:tcPr>
            <w:tcW w:w="2003" w:type="dxa"/>
            <w:vAlign w:val="center"/>
            <w:textDirection w:val="lrTb"/>
            <w:noWrap w:val="false"/>
          </w:tcPr>
          <w:p>
            <w:pPr>
              <w:jc w:val="center"/>
              <w:spacing w:line="0" w:lineRule="atLeast"/>
              <w:rPr>
                <w:rFonts w:ascii="Times New Roman" w:hAnsi="Times New Roman" w:eastAsia="方正仿宋_GB2312"/>
                <w:b/>
                <w:bCs/>
                <w:color w:val="000000"/>
                <w:sz w:val="24"/>
                <w:szCs w:val="24"/>
              </w:rPr>
            </w:pPr>
            <w:r>
              <w:rPr>
                <w:rFonts w:ascii="Times New Roman" w:hAnsi="Times New Roman" w:eastAsia="方正仿宋_GB2312"/>
                <w:b/>
                <w:bCs/>
                <w:color w:val="000000"/>
                <w:sz w:val="24"/>
                <w:szCs w:val="24"/>
              </w:rPr>
              <w:t xml:space="preserve">采购标的</w:t>
            </w:r>
            <w:r/>
          </w:p>
        </w:tc>
        <w:tc>
          <w:tcPr>
            <w:tcW w:w="1531" w:type="dxa"/>
            <w:vAlign w:val="center"/>
            <w:textDirection w:val="lrTb"/>
            <w:noWrap w:val="false"/>
          </w:tcPr>
          <w:p>
            <w:pPr>
              <w:jc w:val="center"/>
              <w:spacing w:line="0" w:lineRule="atLeast"/>
              <w:rPr>
                <w:rFonts w:ascii="Times New Roman" w:hAnsi="Times New Roman" w:eastAsia="方正仿宋_GB2312"/>
                <w:b/>
                <w:bCs/>
                <w:color w:val="000000"/>
                <w:sz w:val="24"/>
                <w:szCs w:val="24"/>
              </w:rPr>
            </w:pPr>
            <w:r>
              <w:rPr>
                <w:rFonts w:ascii="Times New Roman" w:hAnsi="Times New Roman" w:eastAsia="方正仿宋_GB2312"/>
                <w:b/>
                <w:bCs/>
                <w:color w:val="000000"/>
                <w:sz w:val="24"/>
                <w:szCs w:val="24"/>
              </w:rPr>
              <w:t xml:space="preserve">对应中小企业划分标准所属行业</w:t>
            </w:r>
            <w:r/>
          </w:p>
        </w:tc>
        <w:tc>
          <w:tcPr>
            <w:tcW w:w="865" w:type="dxa"/>
            <w:vAlign w:val="center"/>
            <w:textDirection w:val="lrTb"/>
            <w:noWrap w:val="false"/>
          </w:tcPr>
          <w:p>
            <w:pPr>
              <w:jc w:val="center"/>
              <w:spacing w:line="0" w:lineRule="atLeast"/>
              <w:rPr>
                <w:rFonts w:ascii="Times New Roman" w:hAnsi="Times New Roman" w:eastAsia="方正仿宋_GB2312"/>
                <w:b/>
                <w:bCs/>
                <w:color w:val="000000"/>
                <w:sz w:val="24"/>
                <w:szCs w:val="24"/>
              </w:rPr>
            </w:pPr>
            <w:r>
              <w:rPr>
                <w:rFonts w:hint="eastAsia" w:ascii="Times New Roman" w:hAnsi="Times New Roman" w:eastAsia="方正仿宋_GB2312"/>
                <w:b/>
                <w:bCs/>
                <w:color w:val="000000"/>
                <w:sz w:val="24"/>
                <w:szCs w:val="24"/>
              </w:rPr>
              <w:t xml:space="preserve">预算（万元）</w:t>
            </w:r>
            <w:r/>
          </w:p>
        </w:tc>
      </w:tr>
      <w:tr>
        <w:trPr>
          <w:cantSplit/>
          <w:jc w:val="center"/>
          <w:trHeight w:val="291"/>
        </w:trPr>
        <w:tc>
          <w:tcPr>
            <w:tcW w:w="343" w:type="dxa"/>
            <w:vAlign w:val="top"/>
            <w:textDirection w:val="lrTb"/>
            <w:noWrap w:val="false"/>
          </w:tcPr>
          <w:p>
            <w:pPr>
              <w:jc w:val="center"/>
              <w:spacing w:line="0" w:lineRule="atLeast"/>
              <w:rPr>
                <w:rFonts w:ascii="Times New Roman" w:hAnsi="Times New Roman" w:eastAsia="方正仿宋_GB2312"/>
                <w:color w:val="000000"/>
                <w:sz w:val="24"/>
                <w:szCs w:val="24"/>
              </w:rPr>
            </w:pPr>
            <w:r>
              <w:rPr>
                <w:rFonts w:hint="eastAsia" w:ascii="Times New Roman" w:hAnsi="Times New Roman" w:eastAsia="方正仿宋_GB2312"/>
                <w:color w:val="000000"/>
                <w:sz w:val="24"/>
                <w:szCs w:val="24"/>
              </w:rPr>
              <w:t xml:space="preserve">分包1</w:t>
            </w:r>
            <w:r/>
          </w:p>
        </w:tc>
        <w:tc>
          <w:tcPr>
            <w:tcW w:w="256" w:type="dxa"/>
            <w:vAlign w:val="top"/>
            <w:textDirection w:val="lrTb"/>
            <w:noWrap w:val="false"/>
          </w:tcPr>
          <w:p>
            <w:pPr>
              <w:jc w:val="center"/>
              <w:spacing w:line="0" w:lineRule="atLeast"/>
              <w:rPr>
                <w:rFonts w:ascii="Times New Roman" w:hAnsi="Times New Roman" w:eastAsia="方正仿宋_GB2312"/>
                <w:color w:val="000000"/>
                <w:sz w:val="24"/>
                <w:szCs w:val="24"/>
              </w:rPr>
            </w:pPr>
            <w:r>
              <w:rPr>
                <w:rFonts w:ascii="Times New Roman" w:hAnsi="Times New Roman" w:eastAsia="方正仿宋_GB2312"/>
                <w:color w:val="000000"/>
                <w:sz w:val="24"/>
                <w:szCs w:val="24"/>
              </w:rPr>
              <w:t xml:space="preserve">1</w:t>
            </w:r>
            <w:r/>
          </w:p>
        </w:tc>
        <w:tc>
          <w:tcPr>
            <w:tcW w:w="2003" w:type="dxa"/>
            <w:vAlign w:val="top"/>
            <w:textDirection w:val="lrTb"/>
            <w:noWrap w:val="false"/>
          </w:tcPr>
          <w:p>
            <w:pPr>
              <w:jc w:val="left"/>
              <w:spacing w:line="0" w:lineRule="atLeast"/>
              <w:rPr>
                <w:rFonts w:ascii="Times New Roman" w:hAnsi="Times New Roman" w:eastAsia="方正仿宋_GB2312"/>
                <w:color w:val="000000"/>
                <w:sz w:val="24"/>
                <w:szCs w:val="24"/>
              </w:rPr>
            </w:pPr>
            <w:r>
              <w:rPr>
                <w:rFonts w:hint="eastAsia" w:ascii="Times New Roman" w:hAnsi="Times New Roman" w:eastAsia="方正仿宋_GB2312"/>
                <w:color w:val="000000"/>
                <w:sz w:val="24"/>
                <w:szCs w:val="24"/>
              </w:rPr>
              <w:t xml:space="preserve">江苏数据知识产权登记系统与国家知识产权局数据知识产权审查管理平台对接改造</w:t>
            </w:r>
            <w:r>
              <w:rPr>
                <w:rFonts w:ascii="Times New Roman" w:hAnsi="Times New Roman" w:eastAsia="方正仿宋_GB2312"/>
                <w:color w:val="000000"/>
                <w:sz w:val="24"/>
                <w:szCs w:val="24"/>
              </w:rPr>
              <w:t xml:space="preserve">项目</w:t>
            </w:r>
            <w:r/>
          </w:p>
        </w:tc>
        <w:tc>
          <w:tcPr>
            <w:tcW w:w="1531" w:type="dxa"/>
            <w:vAlign w:val="top"/>
            <w:textDirection w:val="lrTb"/>
            <w:noWrap w:val="false"/>
          </w:tcPr>
          <w:p>
            <w:pPr>
              <w:jc w:val="center"/>
              <w:spacing w:line="0" w:lineRule="atLeast"/>
              <w:rPr>
                <w:rFonts w:ascii="Times New Roman" w:hAnsi="Times New Roman" w:eastAsia="方正仿宋_GB2312"/>
                <w:color w:val="000000"/>
                <w:sz w:val="24"/>
                <w:szCs w:val="24"/>
              </w:rPr>
            </w:pPr>
            <w:r>
              <w:rPr>
                <w:rFonts w:ascii="Times New Roman" w:hAnsi="Times New Roman" w:eastAsia="方正仿宋_GB2312"/>
                <w:color w:val="000000"/>
                <w:sz w:val="24"/>
                <w:szCs w:val="24"/>
              </w:rPr>
              <w:t xml:space="preserve">软件和信息技术服务业</w:t>
            </w:r>
            <w:r/>
          </w:p>
        </w:tc>
        <w:tc>
          <w:tcPr>
            <w:tcW w:w="865" w:type="dxa"/>
            <w:vAlign w:val="top"/>
            <w:textDirection w:val="lrTb"/>
            <w:noWrap w:val="false"/>
          </w:tcPr>
          <w:p>
            <w:pPr>
              <w:jc w:val="center"/>
              <w:spacing w:line="0" w:lineRule="atLeast"/>
              <w:rPr>
                <w:rFonts w:ascii="Times New Roman" w:hAnsi="Times New Roman" w:eastAsia="方正仿宋_GB2312"/>
                <w:color w:val="000000"/>
                <w:sz w:val="24"/>
                <w:szCs w:val="24"/>
              </w:rPr>
            </w:pPr>
            <w:r>
              <w:rPr>
                <w:rFonts w:hint="eastAsia" w:ascii="Times New Roman" w:hAnsi="Times New Roman" w:eastAsia="方正仿宋_GB2312"/>
                <w:color w:val="000000"/>
                <w:sz w:val="24"/>
                <w:szCs w:val="24"/>
              </w:rPr>
              <w:t xml:space="preserve">8.5</w:t>
            </w:r>
            <w:r/>
          </w:p>
        </w:tc>
      </w:tr>
    </w:tbl>
    <w:p>
      <w:pPr>
        <w:spacing w:line="0" w:lineRule="atLeast"/>
        <w:rPr>
          <w:rFonts w:ascii="Times New Roman" w:hAnsi="Times New Roman" w:eastAsia="方正仿宋_GBK"/>
          <w:b/>
          <w:bCs/>
          <w:color w:val="000000"/>
          <w:sz w:val="24"/>
          <w:szCs w:val="24"/>
        </w:rPr>
      </w:pPr>
      <w:r>
        <w:rPr>
          <w:rFonts w:ascii="Times New Roman" w:hAnsi="Times New Roman" w:eastAsia="方正仿宋_GBK"/>
          <w:b/>
          <w:bCs/>
          <w:color w:val="000000"/>
          <w:sz w:val="24"/>
          <w:szCs w:val="24"/>
        </w:rPr>
      </w:r>
      <w:r/>
    </w:p>
    <w:p>
      <w:pPr>
        <w:pStyle w:val="963"/>
        <w:numPr>
          <w:ilvl w:val="1"/>
          <w:numId w:val="0"/>
        </w:numPr>
        <w:jc w:val="both"/>
        <w:spacing w:line="570" w:lineRule="exact"/>
        <w:rPr>
          <w:rFonts w:ascii="Times New Roman" w:hAnsi="Times New Roman" w:eastAsia="方正仿宋_GB2312" w:cs="Times New Roman"/>
          <w:color w:val="000000"/>
          <w:sz w:val="24"/>
          <w:szCs w:val="24"/>
        </w:rPr>
      </w:pPr>
      <w:r>
        <w:rPr>
          <w:rFonts w:hint="eastAsia" w:ascii="Times New Roman" w:hAnsi="Times New Roman" w:eastAsia="方正仿宋_GB2312" w:cs="Times New Roman"/>
          <w:color w:val="000000"/>
          <w:sz w:val="24"/>
          <w:szCs w:val="24"/>
        </w:rPr>
        <w:t xml:space="preserve">二、接口设计需求</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审查数据提交接口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本接口用于提交审查案件的基本信息。首次调用为新增审查案件，后续调用为更新案件信息。接口中，涉及到附件地址的url，要求提交的url地址是可直接访问的，可以获取到对应的附件。涉及身份证号需加密后传输，仅显示前4位和后3位。</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审查结果拉取接口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按照国知局接口文件要求完成。本接口用于拉取审查结果的数据，包括部分案件信息、审查结论、最新的审查意见相关信息、补正日期、公示期。</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审查意见历史拉取接口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按照国知局接口文件要求完成。本接口用于拉取审查意见的所有数据，包括部分审核时间、审查意见、审查附件等。</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补正提交接口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按照国知局接口文件要求完成。本接口用于提交案件的补正说明。如果补正阶段，案件基本信息有修改，则使用审查数据提交接口将案件信息进行更新。</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申请人主动撤回接口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按照国知局接口文件要求完成。本接口用于申请人主动撤回案件。</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异议状态提交接口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按照国知局接口文件要求完成。本接口用于通知审查管理平台数据进入异议阶段或者通知异议处理结论。</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获取证书接口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按照国知局接口文件要求完成。自数据正式对接审查管理平台开始，所有新数据，均通过本接口获取证书。</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提交盖章证书接口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按照国知局接口文件要求完成。根据证书url地址来获取证书，要求提交的url地址是可直接访问的。</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异议信息提交接口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 本接口用于提交案件异议过程信息。本阶段暂不收此类数据，具体对接时间待国知局通知。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更正数据提交接口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变更数据提交接口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质押备案数据提交接口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续展数据提交接口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许可备案数据提交接口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转让备案数据提交接口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撤销数据提交接口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numPr>
          <w:ilvl w:val="0"/>
          <w:numId w:val="5"/>
        </w:numPr>
        <w:ind w:left="0" w:firstLine="480"/>
        <w:spacing w:before="120" w:after="120"/>
        <w:rPr>
          <w:rFonts w:ascii="宋体" w:hAnsi="宋体" w:cs="Courier New"/>
          <w:sz w:val="24"/>
          <w:szCs w:val="24"/>
        </w:rPr>
      </w:pPr>
      <w:r>
        <w:rPr>
          <w:rFonts w:hint="eastAsia" w:ascii="宋体" w:hAnsi="宋体" w:cs="Courier New"/>
          <w:sz w:val="24"/>
          <w:szCs w:val="24"/>
        </w:rPr>
        <w:t xml:space="preserve">扩展信息接口</w:t>
      </w:r>
      <w:r/>
    </w:p>
    <w:p>
      <w:pPr>
        <w:ind w:firstLine="480"/>
        <w:spacing w:before="120" w:after="120"/>
        <w:rPr>
          <w:rFonts w:ascii="宋体" w:hAnsi="宋体" w:cs="Courier New"/>
          <w:sz w:val="24"/>
          <w:szCs w:val="24"/>
        </w:rPr>
      </w:pPr>
      <w:r>
        <w:rPr>
          <w:rFonts w:hint="eastAsia" w:ascii="宋体" w:hAnsi="宋体" w:cs="Courier New"/>
          <w:sz w:val="24"/>
          <w:szCs w:val="24"/>
        </w:rPr>
        <w:t xml:space="preserve">现阶段不对接，具体对接时间待国知局通知。</w:t>
      </w:r>
      <w:r/>
    </w:p>
    <w:p>
      <w:pPr>
        <w:ind w:firstLine="480"/>
        <w:rPr>
          <w:rFonts w:ascii="宋体" w:hAnsi="宋体" w:cs="Courier New"/>
          <w:sz w:val="24"/>
          <w:szCs w:val="24"/>
        </w:rPr>
      </w:pPr>
      <w:r>
        <w:rPr>
          <w:rFonts w:hint="eastAsia" w:ascii="宋体" w:hAnsi="宋体" w:cs="Courier New"/>
          <w:sz w:val="24"/>
          <w:szCs w:val="24"/>
        </w:rPr>
        <w:t xml:space="preserve">接口设计方案方案要求：为确保按照国知局接口文件要求完成，投标人应根据上述接口设计需求完成接口设计方案，方案需涵盖：审查数据提交接口、审查结果拉取接口、审查意见历史拉取接口、补正提交接口、申请人主动撤回接口、异议状态提交接口、获取证书接口、提交盖章证书接口等国知局审查平台已明确可对接的接口。 要求方案按照对接规范要求需阐述完整的接口的参数定义、返回值、接口样例等接口内容，方案需贴合国知局对接的核心需求，具有对接的针对性和可操作性。</w:t>
      </w:r>
      <w:r/>
    </w:p>
    <w:p>
      <w:pPr>
        <w:pStyle w:val="963"/>
        <w:numPr>
          <w:ilvl w:val="1"/>
          <w:numId w:val="0"/>
        </w:numPr>
        <w:jc w:val="both"/>
        <w:spacing w:line="570" w:lineRule="exact"/>
        <w:rPr>
          <w:rFonts w:ascii="Times New Roman" w:hAnsi="Times New Roman" w:eastAsia="方正仿宋_GB2312" w:cs="Times New Roman"/>
          <w:color w:val="000000"/>
          <w:sz w:val="24"/>
          <w:szCs w:val="24"/>
        </w:rPr>
      </w:pPr>
      <w:r>
        <w:rPr>
          <w:rFonts w:hint="eastAsia" w:ascii="Times New Roman" w:hAnsi="Times New Roman" w:eastAsia="方正仿宋_GB2312" w:cs="Times New Roman"/>
          <w:color w:val="000000"/>
          <w:sz w:val="24"/>
          <w:szCs w:val="24"/>
        </w:rPr>
        <w:t xml:space="preserve">三、流程改造和功能优化需求</w:t>
      </w:r>
      <w:r/>
    </w:p>
    <w:p>
      <w:pPr>
        <w:numPr>
          <w:ilvl w:val="0"/>
          <w:numId w:val="6"/>
        </w:numPr>
        <w:ind w:left="0" w:firstLine="480"/>
        <w:rPr>
          <w:rFonts w:ascii="宋体" w:hAnsi="宋体" w:cs="Courier New"/>
          <w:sz w:val="24"/>
          <w:szCs w:val="24"/>
        </w:rPr>
      </w:pPr>
      <w:r>
        <w:rPr>
          <w:rFonts w:hint="eastAsia" w:ascii="宋体" w:hAnsi="宋体" w:cs="Courier New"/>
          <w:sz w:val="24"/>
          <w:szCs w:val="24"/>
        </w:rPr>
        <w:t xml:space="preserve">审核流程改造</w:t>
      </w:r>
      <w:r/>
    </w:p>
    <w:p>
      <w:pPr>
        <w:ind w:firstLine="480"/>
        <w:rPr>
          <w:rFonts w:ascii="宋体" w:hAnsi="宋体" w:cs="Courier New"/>
          <w:sz w:val="24"/>
          <w:szCs w:val="24"/>
        </w:rPr>
      </w:pPr>
      <w:r>
        <w:rPr>
          <w:rFonts w:hint="eastAsia" w:ascii="宋体" w:hAnsi="宋体" w:cs="Courier New"/>
          <w:sz w:val="24"/>
          <w:szCs w:val="24"/>
        </w:rPr>
        <w:t xml:space="preserve">依据要求调整登记审核流程，自数据正式对接审查管理平台起，所有新数据均需提交至审查管理平台审核。对于改造前已存在的历史数据，仍沿用原有审核流程及规则，在原系统内正常开展审核工作，确保新老数据审核有序衔接，既满足新规要求，又保障历史业务平稳过渡，提升审核合规性与效率。</w:t>
      </w:r>
      <w:r/>
    </w:p>
    <w:p>
      <w:pPr>
        <w:ind w:firstLine="420"/>
        <w:jc w:val="left"/>
        <w:spacing w:before="120" w:after="120" w:line="0" w:lineRule="atLeast"/>
      </w:pPr>
      <w:r>
        <w:rPr>
          <w:rFonts w:hint="eastAsia" w:ascii="宋体" w:hAnsi="宋体" w:cs="Courier New"/>
          <w:sz w:val="24"/>
          <w:szCs w:val="24"/>
        </w:rPr>
        <w:t xml:space="preserve">流程改造方案要求：为确保按照国知局接口文件要求完成，投标人应根据上述审核流程改造需求完成审核流程改造方案设计，方案需</w:t>
      </w:r>
      <w:r>
        <w:rPr>
          <w:rFonts w:hint="eastAsia" w:ascii="宋体" w:hAnsi="宋体" w:cs="宋体"/>
          <w:sz w:val="24"/>
          <w:szCs w:val="24"/>
        </w:rPr>
        <w:t xml:space="preserve">提供流程设计图，其中，历史数据的流程图需完全符合江苏数据知识产权登记系统审核流程，新数据的登记审核流程需完全符合国知识局平台的审核流程。</w:t>
      </w:r>
      <w:r/>
    </w:p>
    <w:p>
      <w:pPr>
        <w:numPr>
          <w:ilvl w:val="0"/>
          <w:numId w:val="6"/>
        </w:numPr>
        <w:ind w:left="0" w:firstLine="480"/>
        <w:rPr>
          <w:rFonts w:ascii="宋体" w:hAnsi="宋体" w:cs="Courier New"/>
          <w:sz w:val="24"/>
          <w:szCs w:val="24"/>
        </w:rPr>
      </w:pPr>
      <w:r>
        <w:rPr>
          <w:rFonts w:hint="eastAsia" w:ascii="宋体" w:hAnsi="宋体" w:cs="Courier New"/>
          <w:sz w:val="24"/>
          <w:szCs w:val="24"/>
        </w:rPr>
        <w:t xml:space="preserve">功能优化方案</w:t>
      </w:r>
      <w:r/>
    </w:p>
    <w:p>
      <w:pPr>
        <w:numPr>
          <w:ilvl w:val="0"/>
          <w:numId w:val="7"/>
        </w:numPr>
        <w:ind w:left="0" w:firstLine="480"/>
        <w:rPr>
          <w:rFonts w:ascii="宋体" w:hAnsi="宋体" w:cs="Courier New"/>
          <w:sz w:val="24"/>
          <w:szCs w:val="24"/>
        </w:rPr>
      </w:pPr>
      <w:r>
        <w:rPr>
          <w:rFonts w:hint="eastAsia" w:ascii="宋体" w:hAnsi="宋体" w:cs="Courier New"/>
          <w:sz w:val="24"/>
          <w:szCs w:val="24"/>
        </w:rPr>
        <w:t xml:space="preserve">登记申请功能升级</w:t>
      </w:r>
      <w:r/>
    </w:p>
    <w:p>
      <w:pPr>
        <w:ind w:firstLine="480"/>
        <w:rPr>
          <w:rFonts w:ascii="宋体" w:hAnsi="宋体" w:cs="Courier New"/>
          <w:sz w:val="24"/>
          <w:szCs w:val="24"/>
        </w:rPr>
      </w:pPr>
      <w:r>
        <w:rPr>
          <w:rFonts w:hint="eastAsia" w:ascii="宋体" w:hAnsi="宋体" w:cs="Courier New"/>
          <w:sz w:val="24"/>
          <w:szCs w:val="24"/>
        </w:rPr>
        <w:t xml:space="preserve">是否联合申请、联合申请人序号、联合申请人性质、联合申请人类型、联合申请人名称、联合申请人证件号码、联合申请人所属省、联合申请人所属市、联合申请人所属区调整。以上调整与一件事平台对接调试。</w:t>
      </w:r>
      <w:r/>
    </w:p>
    <w:p>
      <w:pPr>
        <w:ind w:firstLine="480"/>
        <w:rPr>
          <w:rFonts w:ascii="宋体" w:hAnsi="宋体" w:cs="Courier New"/>
          <w:sz w:val="24"/>
          <w:szCs w:val="24"/>
        </w:rPr>
      </w:pPr>
      <w:r>
        <w:rPr>
          <w:rFonts w:hint="eastAsia" w:ascii="宋体" w:hAnsi="宋体" w:cs="Courier New"/>
          <w:sz w:val="24"/>
          <w:szCs w:val="24"/>
        </w:rPr>
        <w:t xml:space="preserve">案源状态（登记状态）：登记申请列表中需与局内提供的案源状态（部分）进行对应，保证业务含义一致。</w:t>
      </w:r>
      <w:r/>
    </w:p>
    <w:p>
      <w:pPr>
        <w:ind w:firstLine="480"/>
        <w:rPr>
          <w:rFonts w:ascii="宋体" w:hAnsi="宋体" w:cs="Courier New"/>
          <w:sz w:val="24"/>
          <w:szCs w:val="24"/>
        </w:rPr>
      </w:pPr>
      <w:r>
        <w:rPr>
          <w:rFonts w:hint="eastAsia" w:ascii="宋体" w:hAnsi="宋体" w:cs="Courier New"/>
          <w:sz w:val="24"/>
          <w:szCs w:val="24"/>
        </w:rPr>
        <w:t xml:space="preserve">审查状态：登记申请列表中添加此字段。在详情页面中添加此字段。</w:t>
      </w:r>
      <w:r/>
    </w:p>
    <w:p>
      <w:pPr>
        <w:ind w:firstLine="480"/>
        <w:rPr>
          <w:rFonts w:ascii="宋体" w:hAnsi="宋体" w:cs="Courier New"/>
          <w:sz w:val="24"/>
          <w:szCs w:val="24"/>
        </w:rPr>
      </w:pPr>
      <w:r>
        <w:rPr>
          <w:rFonts w:hint="eastAsia" w:ascii="宋体" w:hAnsi="宋体" w:cs="Courier New"/>
          <w:sz w:val="24"/>
          <w:szCs w:val="24"/>
        </w:rPr>
        <w:t xml:space="preserve">审查结论：在详情页面中添加此字段。</w:t>
      </w:r>
      <w:r/>
    </w:p>
    <w:p>
      <w:pPr>
        <w:ind w:firstLine="480"/>
        <w:rPr>
          <w:rFonts w:ascii="宋体" w:hAnsi="宋体" w:cs="Courier New"/>
          <w:sz w:val="24"/>
          <w:szCs w:val="24"/>
        </w:rPr>
      </w:pPr>
      <w:r>
        <w:rPr>
          <w:rFonts w:hint="eastAsia" w:ascii="宋体" w:hAnsi="宋体" w:cs="Courier New"/>
          <w:sz w:val="24"/>
          <w:szCs w:val="24"/>
        </w:rPr>
        <w:t xml:space="preserve">审查意见：在详情页面中添加此字段。</w:t>
      </w:r>
      <w:r/>
    </w:p>
    <w:p>
      <w:pPr>
        <w:ind w:firstLine="480"/>
        <w:rPr>
          <w:rFonts w:ascii="宋体" w:hAnsi="宋体" w:cs="Courier New"/>
          <w:sz w:val="24"/>
          <w:szCs w:val="24"/>
        </w:rPr>
      </w:pPr>
      <w:r>
        <w:rPr>
          <w:rFonts w:hint="eastAsia" w:ascii="宋体" w:hAnsi="宋体" w:cs="Courier New"/>
          <w:sz w:val="24"/>
          <w:szCs w:val="24"/>
        </w:rPr>
        <w:t xml:space="preserve">是否挂起：在详情页面中添加此字段。</w:t>
      </w:r>
      <w:r/>
    </w:p>
    <w:p>
      <w:pPr>
        <w:ind w:firstLine="480"/>
        <w:rPr>
          <w:rFonts w:ascii="宋体" w:hAnsi="宋体" w:cs="Courier New"/>
          <w:sz w:val="24"/>
          <w:szCs w:val="24"/>
        </w:rPr>
      </w:pPr>
      <w:r>
        <w:rPr>
          <w:rFonts w:hint="eastAsia" w:ascii="宋体" w:hAnsi="宋体" w:cs="Courier New"/>
          <w:sz w:val="24"/>
          <w:szCs w:val="24"/>
        </w:rPr>
        <w:t xml:space="preserve">审查员姓名：在详情页面中添加此字段。</w:t>
      </w:r>
      <w:r/>
    </w:p>
    <w:p>
      <w:pPr>
        <w:ind w:firstLine="480"/>
        <w:rPr>
          <w:rFonts w:ascii="宋体" w:hAnsi="宋体" w:cs="Courier New"/>
          <w:sz w:val="24"/>
          <w:szCs w:val="24"/>
        </w:rPr>
      </w:pPr>
      <w:r>
        <w:rPr>
          <w:rFonts w:hint="eastAsia" w:ascii="宋体" w:hAnsi="宋体" w:cs="Courier New"/>
          <w:sz w:val="24"/>
          <w:szCs w:val="24"/>
        </w:rPr>
        <w:t xml:space="preserve">审查意见生成时间：在详情页面中添加此字段。</w:t>
      </w:r>
      <w:r/>
    </w:p>
    <w:p>
      <w:pPr>
        <w:numPr>
          <w:ilvl w:val="0"/>
          <w:numId w:val="7"/>
        </w:numPr>
        <w:ind w:left="0" w:firstLine="480"/>
        <w:rPr>
          <w:rFonts w:ascii="宋体" w:hAnsi="宋体" w:cs="Courier New"/>
          <w:sz w:val="24"/>
          <w:szCs w:val="24"/>
        </w:rPr>
      </w:pPr>
      <w:r>
        <w:rPr>
          <w:rFonts w:hint="eastAsia" w:ascii="宋体" w:hAnsi="宋体" w:cs="Courier New"/>
          <w:sz w:val="24"/>
          <w:szCs w:val="24"/>
        </w:rPr>
        <w:t xml:space="preserve">主动撤回功能</w:t>
      </w:r>
      <w:r/>
    </w:p>
    <w:p>
      <w:pPr>
        <w:ind w:firstLine="480"/>
        <w:rPr>
          <w:rFonts w:ascii="宋体" w:hAnsi="宋体" w:cs="Courier New"/>
          <w:sz w:val="24"/>
          <w:szCs w:val="24"/>
        </w:rPr>
      </w:pPr>
      <w:r>
        <w:rPr>
          <w:rFonts w:hint="eastAsia" w:ascii="宋体" w:hAnsi="宋体" w:cs="Courier New"/>
          <w:sz w:val="24"/>
          <w:szCs w:val="24"/>
        </w:rPr>
        <w:t xml:space="preserve">用于申请人主动撤回案件，在公示前均可选择主动撤回申请。在详情页面展示撤回审查结论和撤回审查意见。</w:t>
      </w:r>
      <w:r/>
    </w:p>
    <w:p>
      <w:pPr>
        <w:numPr>
          <w:ilvl w:val="0"/>
          <w:numId w:val="7"/>
        </w:numPr>
        <w:ind w:left="0" w:firstLine="480"/>
        <w:rPr>
          <w:rFonts w:ascii="宋体" w:hAnsi="宋体" w:cs="Courier New"/>
          <w:sz w:val="24"/>
          <w:szCs w:val="24"/>
        </w:rPr>
      </w:pPr>
      <w:r>
        <w:rPr>
          <w:rFonts w:hint="eastAsia" w:ascii="宋体" w:hAnsi="宋体" w:cs="Courier New"/>
          <w:sz w:val="24"/>
          <w:szCs w:val="24"/>
        </w:rPr>
        <w:t xml:space="preserve">公示和公告功能改造</w:t>
      </w:r>
      <w:r/>
    </w:p>
    <w:p>
      <w:pPr>
        <w:ind w:firstLine="480"/>
        <w:rPr>
          <w:rFonts w:ascii="宋体" w:hAnsi="宋体" w:cs="Courier New"/>
          <w:sz w:val="24"/>
          <w:szCs w:val="24"/>
        </w:rPr>
      </w:pPr>
      <w:r>
        <w:rPr>
          <w:rFonts w:hint="eastAsia" w:ascii="宋体" w:hAnsi="宋体" w:cs="Courier New"/>
          <w:sz w:val="24"/>
          <w:szCs w:val="24"/>
        </w:rPr>
        <w:t xml:space="preserve">按照国知局接口文件要求改造江苏数据知识产权登记系统公示公告功能。</w:t>
      </w:r>
      <w:r/>
    </w:p>
    <w:p>
      <w:pPr>
        <w:numPr>
          <w:ilvl w:val="0"/>
          <w:numId w:val="7"/>
        </w:numPr>
        <w:ind w:left="0" w:firstLine="480"/>
        <w:rPr>
          <w:rFonts w:ascii="宋体" w:hAnsi="宋体" w:cs="Courier New"/>
          <w:sz w:val="24"/>
          <w:szCs w:val="24"/>
        </w:rPr>
      </w:pPr>
      <w:r>
        <w:rPr>
          <w:rFonts w:hint="eastAsia" w:ascii="宋体" w:hAnsi="宋体" w:cs="Courier New"/>
          <w:sz w:val="24"/>
          <w:szCs w:val="24"/>
        </w:rPr>
        <w:t xml:space="preserve">补正功能改造</w:t>
      </w:r>
      <w:r/>
    </w:p>
    <w:p>
      <w:pPr>
        <w:ind w:firstLine="480"/>
        <w:rPr>
          <w:rFonts w:ascii="宋体" w:hAnsi="宋体" w:cs="Courier New"/>
          <w:sz w:val="24"/>
          <w:szCs w:val="24"/>
        </w:rPr>
      </w:pPr>
      <w:r>
        <w:rPr>
          <w:rFonts w:hint="eastAsia" w:ascii="宋体" w:hAnsi="宋体" w:cs="Courier New"/>
          <w:sz w:val="24"/>
          <w:szCs w:val="24"/>
        </w:rPr>
        <w:t xml:space="preserve">按照国知局接口文件要求改造江苏数据知识产权登记系统补正功能。</w:t>
      </w:r>
      <w:r/>
    </w:p>
    <w:p>
      <w:pPr>
        <w:numPr>
          <w:ilvl w:val="0"/>
          <w:numId w:val="7"/>
        </w:numPr>
        <w:ind w:left="0" w:firstLine="480"/>
        <w:rPr>
          <w:rFonts w:ascii="宋体" w:hAnsi="宋体" w:cs="Courier New"/>
          <w:sz w:val="24"/>
          <w:szCs w:val="24"/>
        </w:rPr>
      </w:pPr>
      <w:r>
        <w:rPr>
          <w:rFonts w:hint="eastAsia" w:ascii="宋体" w:hAnsi="宋体" w:cs="Courier New"/>
          <w:sz w:val="24"/>
          <w:szCs w:val="24"/>
        </w:rPr>
        <w:t xml:space="preserve">旧数据清洗</w:t>
      </w:r>
      <w:r/>
    </w:p>
    <w:p>
      <w:pPr>
        <w:ind w:firstLine="480"/>
        <w:rPr>
          <w:rFonts w:ascii="宋体" w:hAnsi="宋体" w:cs="Courier New"/>
          <w:sz w:val="24"/>
          <w:szCs w:val="24"/>
        </w:rPr>
      </w:pPr>
      <w:r>
        <w:rPr>
          <w:rFonts w:hint="eastAsia" w:ascii="宋体" w:hAnsi="宋体" w:cs="Courier New"/>
          <w:sz w:val="24"/>
          <w:szCs w:val="24"/>
        </w:rPr>
        <w:t xml:space="preserve">将江苏数据知识产权登记系统已有的数据根据本次标准进行相关内容的清洗，按时完成信息推送。</w:t>
      </w:r>
      <w:r/>
    </w:p>
    <w:p>
      <w:pPr>
        <w:numPr>
          <w:ilvl w:val="0"/>
          <w:numId w:val="7"/>
        </w:numPr>
        <w:ind w:left="0" w:firstLine="480"/>
        <w:rPr>
          <w:rFonts w:ascii="宋体" w:hAnsi="宋体" w:cs="Courier New"/>
          <w:sz w:val="24"/>
          <w:szCs w:val="24"/>
        </w:rPr>
      </w:pPr>
      <w:r>
        <w:rPr>
          <w:rFonts w:hint="eastAsia" w:ascii="宋体" w:hAnsi="宋体" w:cs="Courier New"/>
          <w:sz w:val="24"/>
          <w:szCs w:val="24"/>
        </w:rPr>
        <w:t xml:space="preserve">数据库表结构改造和旧数据迁移</w:t>
      </w:r>
      <w:r/>
    </w:p>
    <w:p>
      <w:pPr>
        <w:ind w:firstLine="480"/>
        <w:rPr>
          <w:rFonts w:ascii="宋体" w:hAnsi="宋体" w:cs="Courier New"/>
          <w:sz w:val="24"/>
          <w:szCs w:val="24"/>
        </w:rPr>
      </w:pPr>
      <w:r>
        <w:rPr>
          <w:rFonts w:hint="eastAsia" w:ascii="宋体" w:hAnsi="宋体" w:cs="Courier New"/>
          <w:sz w:val="24"/>
          <w:szCs w:val="24"/>
        </w:rPr>
        <w:t xml:space="preserve">根据国家局接口和业务要求以及清洗后的原业务数据，调整系统数据库表结构，将清洗后的原业务数据迁移至新系统以满足系统功能要求。</w:t>
      </w:r>
      <w:r/>
    </w:p>
    <w:p>
      <w:pPr>
        <w:ind w:firstLine="480"/>
      </w:pPr>
      <w:r>
        <w:rPr>
          <w:rFonts w:hint="eastAsia" w:ascii="宋体" w:hAnsi="宋体" w:cs="Courier New"/>
          <w:sz w:val="24"/>
          <w:szCs w:val="24"/>
        </w:rPr>
        <w:t xml:space="preserve">功能优化方案要求：为确保按照国知局接口文件要求完成，投标人应根据上述功能优化需求完成功能优化方案设计，方案需</w:t>
      </w:r>
      <w:r>
        <w:rPr>
          <w:rFonts w:hint="eastAsia" w:ascii="宋体" w:hAnsi="宋体" w:cs="宋体"/>
          <w:sz w:val="24"/>
          <w:szCs w:val="24"/>
        </w:rPr>
        <w:t xml:space="preserve">提供登记申请功能、主动撤回功能、公示和公告功能改造、补正功能改造的优化、旧数据清洗、数据库表结构改造和旧数据迁移方案设计。</w:t>
      </w:r>
      <w:r>
        <w:rPr>
          <w:rFonts w:hint="eastAsia" w:ascii="宋体" w:hAnsi="宋体" w:cs="Courier New"/>
          <w:sz w:val="24"/>
          <w:szCs w:val="24"/>
        </w:rPr>
        <w:t xml:space="preserve">要求方案按照对接规范要求需阐述完整详细的功能优化设计内容，方案需贴合国知局对接的核心需求，具有对接的针对性和可操作性。</w:t>
      </w:r>
      <w:r/>
    </w:p>
    <w:p>
      <w:pPr>
        <w:pStyle w:val="963"/>
        <w:numPr>
          <w:ilvl w:val="1"/>
          <w:numId w:val="0"/>
        </w:numPr>
        <w:jc w:val="both"/>
        <w:spacing w:line="570" w:lineRule="exact"/>
        <w:rPr>
          <w:rFonts w:ascii="Times New Roman" w:hAnsi="Times New Roman" w:eastAsia="方正仿宋_GB2312" w:cs="Times New Roman"/>
          <w:color w:val="000000"/>
          <w:sz w:val="24"/>
          <w:szCs w:val="24"/>
        </w:rPr>
      </w:pPr>
      <w:r>
        <w:rPr>
          <w:rFonts w:hint="eastAsia" w:ascii="Times New Roman" w:hAnsi="Times New Roman" w:eastAsia="方正仿宋_GB2312" w:cs="Times New Roman"/>
          <w:color w:val="000000"/>
          <w:sz w:val="24"/>
          <w:szCs w:val="24"/>
        </w:rPr>
        <w:t xml:space="preserve">四、其他需求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1．兼容性需求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供应商需根据项目集成需求，制定兼容性与可集成性方案，方案包含集成对象、接口设计规范、数据一致性保障措施、兼容性验证策略，方案逻辑清晰、风险可控。对接系统平台代码、接口等均为规范化标准，都无条件进行开放，免费对接。</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投标人应根据上述兼容性需求完成方案设计，方案需涵盖：兼容性测试计划、版本适配策略、接口兼容性验证、第三方系统集成测试。</w:t>
      </w:r>
      <w:r/>
    </w:p>
    <w:p>
      <w:pPr>
        <w:ind w:firstLine="480"/>
        <w:spacing w:before="120" w:after="120"/>
        <w:rPr>
          <w:rFonts w:ascii="宋体" w:hAnsi="宋体" w:cs="Courier New"/>
          <w:sz w:val="24"/>
          <w:szCs w:val="24"/>
        </w:rPr>
      </w:pPr>
      <w:r>
        <w:rPr>
          <w:rFonts w:hint="eastAsia" w:ascii="宋体" w:hAnsi="宋体" w:cs="Courier New"/>
          <w:sz w:val="24"/>
          <w:szCs w:val="24"/>
        </w:rPr>
        <w:t xml:space="preserve">2．安全保障需求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为确保接口数据和权限安全，供应商需提供安全保障措施方案，须涵盖应用系统安全防护机制、数据权限分级管控体系、网络环境安全架构等核心维度。针对各项安全措施需阐述具体实施路径、技术参数标准及应急响应预案。</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安全保障需求完成方案设计，方案需涵盖：多因素身份认证机制、基于角色的权限控制模型、安全审计日志规范、数据备份与恢复策略；同时需满足与国家知识产权局数据知识产权审查管理平台的接口安全对接要求，保障跨系统数据交互的机密性、完整性和可用性。同时供应商应具有信息安全管理方面的能力。具备有效的ISO27001信息安全管理体系认证证书。</w:t>
      </w:r>
      <w:r/>
    </w:p>
    <w:p>
      <w:pPr>
        <w:ind w:firstLine="480"/>
        <w:spacing w:before="120" w:after="120"/>
        <w:rPr>
          <w:rFonts w:ascii="宋体" w:hAnsi="宋体" w:cs="Courier New"/>
          <w:sz w:val="24"/>
          <w:szCs w:val="24"/>
        </w:rPr>
      </w:pPr>
      <w:r/>
      <w:bookmarkStart w:id="180" w:name="OLE_LINK6"/>
      <w:r/>
      <w:bookmarkStart w:id="181" w:name="OLE_LINK7"/>
      <w:r>
        <w:rPr>
          <w:rFonts w:hint="eastAsia" w:ascii="宋体" w:hAnsi="宋体" w:cs="Courier New"/>
          <w:sz w:val="24"/>
          <w:szCs w:val="24"/>
        </w:rPr>
        <w:t xml:space="preserve">3．实施服务需求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为确保项目顺利实施，业绩经验方面供应商应具备类似信息化软件系统开发</w:t>
      </w:r>
      <w:r>
        <w:rPr>
          <w:rFonts w:hint="eastAsia" w:ascii="宋体" w:hAnsi="宋体" w:cs="Courier New"/>
          <w:sz w:val="24"/>
          <w:szCs w:val="24"/>
          <w:lang w:eastAsia="zh-CN"/>
        </w:rPr>
        <w:t xml:space="preserve">类似案例</w:t>
      </w:r>
      <w:r>
        <w:rPr>
          <w:rFonts w:hint="eastAsia" w:ascii="宋体" w:hAnsi="宋体" w:cs="Courier New"/>
          <w:sz w:val="24"/>
          <w:szCs w:val="24"/>
        </w:rPr>
        <w:t xml:space="preserve">。</w:t>
      </w:r>
      <w:bookmarkEnd w:id="180"/>
      <w:r>
        <w:rPr>
          <w:rFonts w:hint="eastAsia" w:ascii="宋体" w:hAnsi="宋体" w:cs="Courier New"/>
          <w:sz w:val="24"/>
          <w:szCs w:val="24"/>
        </w:rPr>
        <w:t xml:space="preserve">项目团队方面人才储备类型涵盖高级工程师、信息系统项目管理、软件设计、信息安全等领域。</w:t>
      </w:r>
      <w:bookmarkEnd w:id="181"/>
      <w:r/>
    </w:p>
    <w:p>
      <w:pPr>
        <w:ind w:firstLine="480"/>
        <w:spacing w:before="120" w:after="120"/>
        <w:rPr>
          <w:rFonts w:ascii="宋体" w:hAnsi="宋体" w:cs="Courier New"/>
          <w:sz w:val="24"/>
          <w:szCs w:val="24"/>
        </w:rPr>
      </w:pPr>
      <w:r>
        <w:rPr>
          <w:rFonts w:hint="eastAsia" w:ascii="宋体" w:hAnsi="宋体" w:cs="Courier New"/>
          <w:sz w:val="24"/>
          <w:szCs w:val="24"/>
        </w:rPr>
        <w:t xml:space="preserve">同时，供应商需制定详细且合理的实施服务方案，项目实施计划、时间进度安排以及人员分工布置合理且周全，确保方案具备高度可操作性。</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实施服务需求编制详细方案，方案需包含：项目实施流程图、里程碑节点计划、周度进度跟踪机制、风险识别及应对措施；同时需确保方案兼容国家知识产权局数据知识产权审查管理平台的对接周期，保障与原系统数据迁移的完整性和业务连续性。</w:t>
      </w:r>
      <w:r/>
    </w:p>
    <w:p>
      <w:pPr>
        <w:ind w:firstLine="480"/>
        <w:spacing w:before="120" w:after="120"/>
        <w:rPr>
          <w:rFonts w:ascii="宋体" w:hAnsi="宋体" w:cs="Courier New"/>
          <w:sz w:val="24"/>
          <w:szCs w:val="24"/>
        </w:rPr>
      </w:pPr>
      <w:r>
        <w:rPr>
          <w:rFonts w:hint="eastAsia" w:ascii="宋体" w:hAnsi="宋体" w:cs="Courier New"/>
          <w:sz w:val="24"/>
          <w:szCs w:val="24"/>
        </w:rPr>
        <w:t xml:space="preserve">4．系统部署需求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系统部署在政务云，须支持国产服务器部署。制定详细合理的部署策略方案，部署流程（环境准备、软件部署、版本控制、回滚机制等）设计合理完备，环境配置（硬件、网络、资源）与生产需求匹配，风险控制措施明确。</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投标人应根据上述系统部署需求编制实施方案，方案需涵盖：部署架构拓扑图、环境部署清单；同时需满足与国家知识产权局数据知识产权审查管理平台的部署周期协同要求。</w:t>
      </w:r>
      <w:r/>
    </w:p>
    <w:p>
      <w:pPr>
        <w:ind w:firstLine="480"/>
        <w:spacing w:before="120" w:after="120"/>
        <w:rPr>
          <w:rFonts w:ascii="宋体" w:hAnsi="宋体" w:cs="Courier New"/>
          <w:sz w:val="24"/>
          <w:szCs w:val="24"/>
        </w:rPr>
      </w:pPr>
      <w:r>
        <w:rPr>
          <w:rFonts w:hint="eastAsia" w:ascii="宋体" w:hAnsi="宋体" w:cs="Courier New"/>
          <w:sz w:val="24"/>
          <w:szCs w:val="24"/>
        </w:rPr>
        <w:t xml:space="preserve">5．系统测试需求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供应商需制定一套合理的系统测试方案，确保测试策略的完整性。该方案至少应涵盖测试管理、测试计划、测试技术及测试内容等关键要素。</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投标人应根据上述系统测试需求编制详细测试方案，方案需包含：测试总体流程图、测试用例设计、测试数据生成策略、测试报告模板、接口联调测试方案。</w:t>
      </w:r>
      <w:r/>
    </w:p>
    <w:p>
      <w:pPr>
        <w:ind w:firstLine="480"/>
        <w:spacing w:before="120" w:after="120"/>
        <w:rPr>
          <w:rFonts w:ascii="宋体" w:hAnsi="宋体" w:cs="Courier New"/>
          <w:sz w:val="24"/>
          <w:szCs w:val="24"/>
        </w:rPr>
      </w:pPr>
      <w:r>
        <w:rPr>
          <w:rFonts w:hint="eastAsia" w:ascii="宋体" w:hAnsi="宋体" w:cs="Courier New"/>
          <w:sz w:val="24"/>
          <w:szCs w:val="24"/>
        </w:rPr>
        <w:t xml:space="preserve">6．培训服务需求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系统上线之前，供应商应提供相应的系统使用培训，</w:t>
      </w:r>
      <w:r>
        <w:rPr>
          <w:rFonts w:hint="eastAsia" w:ascii="宋体" w:hAnsi="宋体" w:cs="Courier New"/>
          <w:sz w:val="24"/>
          <w:szCs w:val="24"/>
          <w:lang w:eastAsia="zh-CN"/>
        </w:rPr>
        <w:t xml:space="preserve">服务期内需培训不少</w:t>
      </w:r>
      <w:r>
        <w:rPr>
          <w:rFonts w:hint="eastAsia" w:ascii="宋体" w:hAnsi="宋体" w:cs="Courier New"/>
          <w:sz w:val="24"/>
          <w:szCs w:val="24"/>
          <w:lang w:val="en-US" w:eastAsia="zh-CN"/>
        </w:rPr>
        <w:t xml:space="preserve">3次，</w:t>
      </w:r>
      <w:r>
        <w:rPr>
          <w:rFonts w:hint="eastAsia" w:ascii="宋体" w:hAnsi="宋体" w:cs="Courier New"/>
          <w:sz w:val="24"/>
          <w:szCs w:val="24"/>
        </w:rPr>
        <w:t xml:space="preserve">供应商提供培训材料，培训材料至少应包含培训计划、培训内容、培训方案等。</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投标人应根据上述培训需求制定详细培训服务方案，方案需包含：分角色培训大纲、培训教材、培训效果评估报告。</w:t>
      </w:r>
      <w:r/>
    </w:p>
    <w:p>
      <w:pPr>
        <w:ind w:firstLine="480"/>
        <w:spacing w:before="120" w:after="120"/>
        <w:rPr>
          <w:rFonts w:ascii="宋体" w:hAnsi="宋体" w:cs="Courier New"/>
          <w:sz w:val="24"/>
          <w:szCs w:val="24"/>
        </w:rPr>
      </w:pPr>
      <w:r>
        <w:rPr>
          <w:rFonts w:hint="eastAsia" w:ascii="宋体" w:hAnsi="宋体" w:cs="Courier New"/>
          <w:sz w:val="24"/>
          <w:szCs w:val="24"/>
        </w:rPr>
        <w:t xml:space="preserve">7．系统运维需求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供应商应提供详尽的运维服务方案，该方案须涵盖运维服务体系、运维服务管理制度、运维服务内容及故障解决方案等方面。</w:t>
      </w:r>
      <w:r/>
    </w:p>
    <w:p>
      <w:pPr>
        <w:ind w:firstLine="480"/>
        <w:spacing w:before="120" w:after="120"/>
        <w:rPr>
          <w:rFonts w:ascii="宋体" w:hAnsi="宋体" w:cs="Courier New"/>
          <w:sz w:val="24"/>
          <w:szCs w:val="24"/>
        </w:rPr>
      </w:pPr>
      <w:r>
        <w:rPr>
          <w:rFonts w:hint="eastAsia" w:ascii="宋体" w:hAnsi="宋体" w:cs="Courier New"/>
          <w:sz w:val="24"/>
          <w:szCs w:val="24"/>
        </w:rPr>
        <w:t xml:space="preserve">投标人应根据上述系统运维需求编制详细方案，方案需包含：运维服务体系、运维服务管理制度、运维服务内容、数据备份策略、应急响应预案及运维文档交付清单。</w:t>
      </w:r>
      <w:r/>
    </w:p>
    <w:p>
      <w:pPr>
        <w:ind w:firstLine="480"/>
        <w:spacing w:before="120" w:after="120"/>
        <w:rPr>
          <w:rFonts w:ascii="宋体" w:hAnsi="宋体" w:cs="Courier New"/>
          <w:sz w:val="24"/>
          <w:szCs w:val="24"/>
        </w:rPr>
      </w:pPr>
      <w:r/>
      <w:bookmarkStart w:id="182" w:name="OLE_LINK3"/>
      <w:r>
        <w:rPr>
          <w:rFonts w:hint="eastAsia" w:ascii="宋体" w:hAnsi="宋体" w:cs="Courier New"/>
          <w:sz w:val="24"/>
          <w:szCs w:val="24"/>
        </w:rPr>
        <w:t xml:space="preserve">8．运维时间需求</w:t>
      </w:r>
      <w:bookmarkEnd w:id="182"/>
      <w:r/>
    </w:p>
    <w:p>
      <w:pPr>
        <w:ind w:firstLine="480"/>
        <w:spacing w:before="120" w:after="120"/>
        <w:rPr>
          <w:rFonts w:hint="eastAsia" w:ascii="宋体" w:hAnsi="宋体" w:cs="Courier New"/>
          <w:sz w:val="24"/>
          <w:szCs w:val="24"/>
        </w:rPr>
      </w:pPr>
      <w:r>
        <w:rPr>
          <w:rFonts w:hint="eastAsia" w:ascii="宋体" w:hAnsi="宋体" w:cs="Courier New"/>
          <w:sz w:val="24"/>
          <w:szCs w:val="24"/>
        </w:rPr>
        <w:t xml:space="preserve">系统运维期至少一年。供应商承诺运维一年得1分，运维二年得3分，运维三年得5分。供应商报价应涵盖承诺运维期费用。</w:t>
      </w:r>
      <w:r/>
    </w:p>
    <w:p>
      <w:pPr>
        <w:ind w:firstLine="480"/>
        <w:spacing w:before="120" w:after="120"/>
        <w:rPr>
          <w:rFonts w:ascii="宋体" w:hAnsi="宋体" w:cs="Courier New"/>
          <w:sz w:val="24"/>
          <w:szCs w:val="24"/>
        </w:rPr>
      </w:pPr>
      <w:r>
        <w:rPr>
          <w:rFonts w:hint="eastAsia" w:ascii="宋体" w:hAnsi="宋体" w:cs="Courier New"/>
          <w:sz w:val="24"/>
          <w:szCs w:val="24"/>
        </w:rPr>
        <w:t xml:space="preserve">9．技术支持响应需求</w:t>
      </w:r>
      <w:r/>
    </w:p>
    <w:p>
      <w:pPr>
        <w:ind w:firstLine="480"/>
        <w:spacing w:before="120" w:after="120"/>
        <w:rPr>
          <w:rFonts w:ascii="宋体" w:hAnsi="宋体" w:cs="Courier New"/>
          <w:sz w:val="24"/>
          <w:szCs w:val="24"/>
        </w:rPr>
      </w:pPr>
      <w:r>
        <w:rPr>
          <w:rFonts w:hint="eastAsia" w:ascii="宋体" w:hAnsi="宋体" w:cs="Courier New"/>
          <w:sz w:val="24"/>
          <w:szCs w:val="24"/>
        </w:rPr>
        <w:t xml:space="preserve">系统发生故障，供应商须12小时内响应。</w:t>
      </w:r>
      <w:r/>
    </w:p>
    <w:p>
      <w:pPr>
        <w:numPr>
          <w:ilvl w:val="0"/>
          <w:numId w:val="8"/>
        </w:numPr>
        <w:ind w:firstLine="480"/>
        <w:spacing w:before="120" w:after="120"/>
        <w:rPr>
          <w:rFonts w:ascii="宋体" w:hAnsi="宋体" w:cs="Courier New"/>
          <w:sz w:val="24"/>
          <w:szCs w:val="24"/>
        </w:rPr>
      </w:pPr>
      <w:r>
        <w:rPr>
          <w:rFonts w:hint="eastAsia" w:ascii="宋体" w:hAnsi="宋体" w:cs="Courier New"/>
          <w:sz w:val="24"/>
          <w:szCs w:val="24"/>
        </w:rPr>
        <w:t xml:space="preserve">项目团队要求</w:t>
      </w:r>
      <w:r/>
    </w:p>
    <w:p>
      <w:pPr>
        <w:ind w:firstLine="480"/>
        <w:spacing w:before="120" w:after="120"/>
        <w:rPr>
          <w:rFonts w:ascii="宋体" w:hAnsi="宋体" w:cs="Courier New"/>
          <w:sz w:val="24"/>
          <w:szCs w:val="24"/>
        </w:rPr>
      </w:pPr>
      <w:r>
        <w:rPr>
          <w:rFonts w:hint="eastAsia" w:ascii="宋体" w:hAnsi="宋体" w:cs="Courier New"/>
          <w:sz w:val="24"/>
          <w:szCs w:val="24"/>
        </w:rPr>
        <w:t xml:space="preserve">中标人须按以下要求组建本项目的实施团队：</w:t>
      </w:r>
      <w:r/>
    </w:p>
    <w:p>
      <w:pPr>
        <w:ind w:firstLine="480"/>
        <w:spacing w:before="120" w:after="120"/>
        <w:rPr>
          <w:rFonts w:ascii="宋体" w:hAnsi="宋体" w:cs="Courier New"/>
          <w:sz w:val="24"/>
          <w:szCs w:val="24"/>
        </w:rPr>
      </w:pPr>
      <w:r>
        <w:rPr>
          <w:rFonts w:hint="eastAsia" w:ascii="宋体" w:hAnsi="宋体" w:cs="Courier New"/>
          <w:sz w:val="24"/>
          <w:szCs w:val="24"/>
        </w:rPr>
        <w:t xml:space="preserve">技术能力：具有</w:t>
      </w:r>
      <w:r>
        <w:rPr>
          <w:rFonts w:hint="eastAsia" w:ascii="宋体" w:hAnsi="宋体" w:cs="宋体"/>
          <w:sz w:val="24"/>
          <w:szCs w:val="24"/>
        </w:rPr>
        <w:t xml:space="preserve">“数据集成登记”类、“项目申报”类、“大数据采集分析”</w:t>
      </w:r>
      <w:r>
        <w:rPr>
          <w:rFonts w:hint="eastAsia" w:ascii="宋体" w:hAnsi="宋体" w:cs="Courier New"/>
          <w:sz w:val="24"/>
          <w:szCs w:val="24"/>
        </w:rPr>
        <w:t xml:space="preserve">关键词的软件著作权。</w:t>
      </w:r>
      <w:r/>
    </w:p>
    <w:p>
      <w:pPr>
        <w:ind w:firstLine="480"/>
        <w:spacing w:before="120" w:after="120"/>
        <w:rPr>
          <w:rFonts w:ascii="宋体" w:hAnsi="宋体" w:cs="Courier New"/>
          <w:sz w:val="24"/>
          <w:szCs w:val="24"/>
        </w:rPr>
      </w:pPr>
      <w:r>
        <w:rPr>
          <w:rFonts w:hint="eastAsia" w:ascii="宋体" w:hAnsi="宋体" w:cs="Courier New"/>
          <w:sz w:val="24"/>
          <w:szCs w:val="24"/>
        </w:rPr>
        <w:t xml:space="preserve">团队配置：技术团队配置1名项目经理及</w:t>
      </w:r>
      <w:r>
        <w:rPr>
          <w:rFonts w:hint="eastAsia" w:ascii="宋体" w:hAnsi="宋体" w:cs="Courier New"/>
          <w:sz w:val="24"/>
          <w:szCs w:val="24"/>
          <w:lang w:val="en-US" w:eastAsia="zh-CN"/>
        </w:rPr>
        <w:t xml:space="preserve">4名</w:t>
      </w:r>
      <w:r>
        <w:rPr>
          <w:rFonts w:hint="eastAsia" w:ascii="宋体" w:hAnsi="宋体" w:cs="Courier New"/>
          <w:sz w:val="24"/>
          <w:szCs w:val="24"/>
        </w:rPr>
        <w:t xml:space="preserve">技术人员。</w:t>
      </w:r>
      <w:r/>
    </w:p>
    <w:p>
      <w:pPr>
        <w:ind w:firstLine="480"/>
        <w:spacing w:before="120" w:after="120"/>
        <w:rPr>
          <w:rFonts w:ascii="宋体" w:hAnsi="宋体" w:cs="Courier New"/>
          <w:sz w:val="24"/>
          <w:szCs w:val="24"/>
        </w:rPr>
      </w:pPr>
      <w:r>
        <w:rPr>
          <w:rFonts w:hint="eastAsia" w:ascii="宋体" w:hAnsi="宋体" w:cs="Courier New"/>
          <w:sz w:val="24"/>
          <w:szCs w:val="24"/>
        </w:rPr>
        <w:t xml:space="preserve">服务模式：根据实际需要提供驻场或远程支持，必须确保在工作日能做到实时响应，在节假日能对紧急问题进行有效处置。</w:t>
      </w:r>
      <w:r/>
    </w:p>
    <w:p>
      <w:pPr>
        <w:ind w:firstLine="480"/>
        <w:spacing w:before="120" w:after="120"/>
      </w:pPr>
      <w:r>
        <w:rPr>
          <w:rFonts w:hint="eastAsia" w:ascii="宋体" w:hAnsi="宋体" w:cs="Courier New"/>
          <w:sz w:val="24"/>
          <w:szCs w:val="24"/>
        </w:rPr>
        <w:t xml:space="preserve">专业要求：项目经理具有高级工程师证书、高级信息系统项目管理师证书。团队成员具有软件设计师、系统架构设计师、信息安全保障人员认证（CISAW）、</w:t>
      </w:r>
      <w:r>
        <w:rPr>
          <w:rFonts w:hint="eastAsia" w:ascii="宋体" w:hAnsi="宋体" w:cs="Courier New"/>
          <w:sz w:val="24"/>
          <w:szCs w:val="24"/>
          <w:lang w:eastAsia="zh-CN"/>
        </w:rPr>
        <w:t xml:space="preserve">系统分析师</w:t>
      </w:r>
      <w:r>
        <w:rPr>
          <w:rFonts w:hint="eastAsia" w:ascii="宋体" w:hAnsi="宋体" w:cs="Courier New"/>
          <w:sz w:val="24"/>
          <w:szCs w:val="24"/>
        </w:rPr>
        <w:t xml:space="preserve">认证证书。</w:t>
      </w:r>
      <w:r/>
    </w:p>
    <w:p>
      <w:pPr>
        <w:ind w:firstLine="480"/>
        <w:spacing w:before="120" w:after="120"/>
        <w:rPr>
          <w:rFonts w:ascii="宋体" w:hAnsi="宋体" w:cs="Courier New"/>
          <w:sz w:val="24"/>
          <w:szCs w:val="24"/>
        </w:rPr>
      </w:pPr>
      <w:r>
        <w:rPr>
          <w:rFonts w:hint="eastAsia" w:ascii="宋体" w:hAnsi="宋体" w:cs="Courier New"/>
          <w:sz w:val="24"/>
          <w:szCs w:val="24"/>
        </w:rPr>
        <w:t xml:space="preserve">11.项目属性:服务类项目。</w:t>
      </w:r>
      <w:r/>
    </w:p>
    <w:p>
      <w:pPr>
        <w:ind w:firstLine="480"/>
        <w:spacing w:before="120" w:after="120"/>
        <w:rPr>
          <w:rFonts w:ascii="宋体" w:hAnsi="宋体" w:cs="Courier New"/>
          <w:sz w:val="24"/>
          <w:szCs w:val="24"/>
        </w:rPr>
      </w:pPr>
      <w:r>
        <w:rPr>
          <w:rFonts w:hint="eastAsia" w:ascii="宋体" w:hAnsi="宋体" w:cs="Courier New"/>
          <w:sz w:val="24"/>
          <w:szCs w:val="24"/>
        </w:rPr>
        <w:t xml:space="preserve">12.进口</w:t>
      </w:r>
      <w:r>
        <w:rPr>
          <w:rFonts w:ascii="宋体" w:hAnsi="宋体" w:cs="Courier New"/>
          <w:sz w:val="24"/>
          <w:szCs w:val="24"/>
        </w:rPr>
        <w:t xml:space="preserve">产品</w:t>
      </w:r>
      <w:r>
        <w:rPr>
          <w:rFonts w:hint="eastAsia" w:ascii="宋体" w:hAnsi="宋体" w:cs="Courier New"/>
          <w:sz w:val="24"/>
          <w:szCs w:val="24"/>
        </w:rPr>
        <w:t xml:space="preserve">参与磋商</w:t>
      </w:r>
      <w:r/>
    </w:p>
    <w:tbl>
      <w:tblPr>
        <w:tblStyle w:val="681"/>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9"/>
        <w:gridCol w:w="4065"/>
      </w:tblGrid>
      <w:tr>
        <w:trPr/>
        <w:tc>
          <w:tcPr>
            <w:tcW w:w="1929" w:type="dxa"/>
            <w:vAlign w:val="top"/>
            <w:textDirection w:val="lrTb"/>
            <w:noWrap w:val="false"/>
          </w:tcPr>
          <w:p>
            <w:pPr>
              <w:spacing w:before="120" w:after="120"/>
              <w:rPr>
                <w:rFonts w:ascii="宋体" w:hAnsi="宋体" w:cs="Courier New"/>
                <w:sz w:val="24"/>
                <w:szCs w:val="24"/>
              </w:rPr>
            </w:pPr>
            <w:r>
              <w:rPr>
                <w:rFonts w:hint="eastAsia" w:ascii="宋体" w:hAnsi="宋体" w:cs="Courier New"/>
                <w:sz w:val="24"/>
                <w:szCs w:val="24"/>
              </w:rPr>
              <w:t xml:space="preserve">采购包号</w:t>
            </w:r>
            <w:r/>
          </w:p>
        </w:tc>
        <w:tc>
          <w:tcPr>
            <w:tcW w:w="4065" w:type="dxa"/>
            <w:vAlign w:val="top"/>
            <w:textDirection w:val="lrTb"/>
            <w:noWrap w:val="false"/>
          </w:tcPr>
          <w:p>
            <w:pPr>
              <w:spacing w:before="120" w:after="120"/>
              <w:rPr>
                <w:rFonts w:ascii="宋体" w:hAnsi="宋体" w:cs="Courier New"/>
                <w:sz w:val="24"/>
                <w:szCs w:val="24"/>
              </w:rPr>
            </w:pPr>
            <w:r>
              <w:rPr>
                <w:rFonts w:hint="eastAsia" w:ascii="宋体" w:hAnsi="宋体" w:cs="Courier New"/>
                <w:sz w:val="24"/>
                <w:szCs w:val="24"/>
              </w:rPr>
              <w:t xml:space="preserve">是否接受</w:t>
            </w:r>
            <w:r>
              <w:rPr>
                <w:rFonts w:ascii="宋体" w:hAnsi="宋体" w:cs="Courier New"/>
                <w:sz w:val="24"/>
                <w:szCs w:val="24"/>
              </w:rPr>
              <w:t xml:space="preserve">进口产品</w:t>
            </w:r>
            <w:r>
              <w:rPr>
                <w:rFonts w:hint="eastAsia" w:ascii="宋体" w:hAnsi="宋体" w:cs="Courier New"/>
                <w:sz w:val="24"/>
                <w:szCs w:val="24"/>
              </w:rPr>
              <w:t xml:space="preserve">参与磋商</w:t>
            </w:r>
            <w:r/>
          </w:p>
          <w:p>
            <w:pPr>
              <w:spacing w:before="120" w:after="120"/>
              <w:rPr>
                <w:rFonts w:ascii="宋体" w:hAnsi="宋体" w:cs="Courier New"/>
                <w:sz w:val="24"/>
                <w:szCs w:val="24"/>
              </w:rPr>
            </w:pPr>
            <w:r>
              <w:rPr>
                <w:rFonts w:hint="eastAsia" w:ascii="宋体" w:hAnsi="宋体" w:cs="Courier New"/>
                <w:sz w:val="24"/>
                <w:szCs w:val="24"/>
              </w:rPr>
              <w:t xml:space="preserve">（是/否）</w:t>
            </w:r>
            <w:r/>
          </w:p>
        </w:tc>
      </w:tr>
      <w:tr>
        <w:trPr/>
        <w:tc>
          <w:tcPr>
            <w:tcW w:w="1929" w:type="dxa"/>
            <w:vAlign w:val="top"/>
            <w:textDirection w:val="lrTb"/>
            <w:noWrap w:val="false"/>
          </w:tcPr>
          <w:p>
            <w:pPr>
              <w:jc w:val="center"/>
              <w:spacing w:before="120" w:after="120"/>
              <w:rPr>
                <w:rFonts w:ascii="宋体" w:hAnsi="宋体" w:cs="Courier New"/>
                <w:sz w:val="24"/>
                <w:szCs w:val="24"/>
              </w:rPr>
            </w:pPr>
            <w:r>
              <w:rPr>
                <w:rFonts w:hint="eastAsia" w:ascii="宋体" w:hAnsi="宋体" w:cs="Courier New"/>
                <w:sz w:val="24"/>
                <w:szCs w:val="24"/>
              </w:rPr>
              <w:t xml:space="preserve">1</w:t>
            </w:r>
            <w:r/>
          </w:p>
        </w:tc>
        <w:tc>
          <w:tcPr>
            <w:tcW w:w="4065" w:type="dxa"/>
            <w:vAlign w:val="top"/>
            <w:textDirection w:val="lrTb"/>
            <w:noWrap w:val="false"/>
          </w:tcPr>
          <w:p>
            <w:pPr>
              <w:jc w:val="center"/>
              <w:spacing w:before="120" w:after="120"/>
              <w:rPr>
                <w:rFonts w:ascii="宋体" w:hAnsi="宋体" w:cs="Courier New"/>
                <w:sz w:val="24"/>
                <w:szCs w:val="24"/>
              </w:rPr>
            </w:pPr>
            <w:r>
              <w:rPr>
                <w:rFonts w:hint="eastAsia" w:ascii="宋体" w:hAnsi="宋体" w:cs="Courier New"/>
                <w:sz w:val="24"/>
                <w:szCs w:val="24"/>
              </w:rPr>
              <w:t xml:space="preserve">否</w:t>
            </w:r>
            <w:r/>
          </w:p>
        </w:tc>
      </w:tr>
    </w:tbl>
    <w:p>
      <w:pPr>
        <w:ind w:firstLine="480"/>
        <w:spacing w:before="120" w:after="120"/>
        <w:rPr>
          <w:rFonts w:ascii="宋体" w:hAnsi="宋体" w:cs="Courier New"/>
          <w:sz w:val="24"/>
          <w:szCs w:val="24"/>
        </w:rPr>
      </w:pPr>
      <w:r>
        <w:rPr>
          <w:rFonts w:hint="eastAsia" w:ascii="宋体" w:hAnsi="宋体" w:cs="Courier New"/>
          <w:sz w:val="24"/>
          <w:szCs w:val="24"/>
        </w:rPr>
        <w:t xml:space="preserve">12.付款方式</w:t>
      </w:r>
      <w:r/>
    </w:p>
    <w:p>
      <w:pPr>
        <w:ind w:firstLine="480"/>
        <w:spacing w:before="120" w:after="120"/>
        <w:rPr>
          <w:rFonts w:ascii="宋体" w:hAnsi="宋体" w:cs="Courier New"/>
          <w:sz w:val="24"/>
          <w:szCs w:val="24"/>
        </w:rPr>
      </w:pPr>
      <w:r>
        <w:rPr>
          <w:rFonts w:hint="eastAsia" w:ascii="宋体" w:hAnsi="宋体" w:cs="Courier New"/>
          <w:sz w:val="24"/>
          <w:szCs w:val="24"/>
        </w:rPr>
        <w:t xml:space="preserve">合同签订生效且收到中标人提供的发票后15个工作日内，招标人支付本项目合同总金额的 80%。</w:t>
      </w:r>
      <w:r/>
    </w:p>
    <w:p>
      <w:pPr>
        <w:ind w:firstLine="480"/>
        <w:spacing w:before="120" w:after="120"/>
        <w:rPr>
          <w:rFonts w:ascii="宋体" w:hAnsi="宋体" w:cs="Courier New"/>
          <w:sz w:val="24"/>
          <w:szCs w:val="24"/>
        </w:rPr>
      </w:pPr>
      <w:r>
        <w:rPr>
          <w:rFonts w:hint="eastAsia" w:ascii="宋体" w:hAnsi="宋体" w:cs="Courier New"/>
          <w:sz w:val="24"/>
          <w:szCs w:val="24"/>
        </w:rPr>
        <w:t xml:space="preserve">项目按期完成合同约定维保任务并提交相关维保文档后且收到中标人提供的发票后15个工作日内，招标人支付本项目合同总金额的 20%。</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color w:val="ff0000"/>
          <w:sz w:val="24"/>
          <w:szCs w:val="24"/>
        </w:rPr>
      </w:pPr>
      <w:r>
        <w:rPr>
          <w:rFonts w:hint="eastAsia" w:ascii="宋体" w:hAnsi="宋体"/>
          <w:color w:val="ff0000"/>
          <w:sz w:val="24"/>
          <w:szCs w:val="24"/>
        </w:rPr>
      </w:r>
      <w:r/>
    </w:p>
    <w:p>
      <w:pPr>
        <w:spacing w:before="120" w:after="120" w:line="0" w:lineRule="atLeast"/>
        <w:rPr>
          <w:rFonts w:ascii="宋体" w:hAnsi="Courier New" w:cs="Courier New"/>
          <w:sz w:val="24"/>
          <w:szCs w:val="24"/>
        </w:rPr>
      </w:pPr>
      <w:r>
        <w:rPr>
          <w:rFonts w:ascii="宋体" w:hAnsi="Courier New" w:cs="Courier New"/>
          <w:sz w:val="24"/>
          <w:szCs w:val="24"/>
        </w:rPr>
      </w:r>
      <w:r/>
    </w:p>
    <w:p>
      <w:pPr>
        <w:tabs>
          <w:tab w:val="left" w:pos="6200" w:leader="none"/>
        </w:tabs>
        <w:rPr>
          <w:rFonts w:hint="eastAsia" w:ascii="Arial" w:hAnsi="Arial" w:cs="Arial"/>
          <w:b/>
          <w:sz w:val="32"/>
          <w:szCs w:val="21"/>
        </w:rPr>
      </w:pPr>
      <w:r>
        <w:rPr>
          <w:rFonts w:hint="eastAsia" w:ascii="Arial" w:hAnsi="Arial" w:cs="Arial"/>
          <w:b/>
          <w:sz w:val="32"/>
          <w:szCs w:val="21"/>
        </w:rPr>
      </w:r>
      <w:r/>
    </w:p>
    <w:p>
      <w:pPr>
        <w:jc w:val="center"/>
        <w:keepNext/>
        <w:rPr>
          <w:rFonts w:hint="eastAsia" w:ascii="黑体" w:hAnsi="Times New Roman" w:eastAsia="黑体"/>
          <w:b w:val="0"/>
          <w:bCs/>
          <w:sz w:val="44"/>
          <w:szCs w:val="28"/>
        </w:rPr>
        <w:outlineLvl w:val="0"/>
      </w:pPr>
      <w:r/>
      <w:bookmarkStart w:id="183" w:name="_Toc120614281"/>
      <w:r>
        <w:rPr>
          <w:rFonts w:hint="eastAsia" w:ascii="黑体" w:hAnsi="Times New Roman" w:eastAsia="黑体"/>
          <w:b w:val="0"/>
          <w:bCs/>
          <w:sz w:val="44"/>
          <w:szCs w:val="28"/>
        </w:rPr>
        <w:t xml:space="preserve">第五章  评审方法与评审标准</w:t>
      </w:r>
      <w:r/>
    </w:p>
    <w:p>
      <w:pPr>
        <w:rPr>
          <w:rFonts w:hint="eastAsia" w:ascii="Times New Roman" w:hAnsi="Times New Roman"/>
          <w:szCs w:val="21"/>
        </w:rPr>
      </w:pPr>
      <w:r>
        <w:rPr>
          <w:rFonts w:hint="eastAsia" w:ascii="Times New Roman" w:hAnsi="Times New Roman"/>
          <w:szCs w:val="21"/>
        </w:rPr>
      </w:r>
      <w:r/>
    </w:p>
    <w:p>
      <w:pPr>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p>
    <w:tbl>
      <w:tblPr>
        <w:tblStyle w:val="681"/>
        <w:tblW w:w="56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904"/>
        <w:gridCol w:w="7050"/>
        <w:gridCol w:w="845"/>
      </w:tblGrid>
      <w:tr>
        <w:trPr>
          <w:jc w:val="center"/>
        </w:trPr>
        <w:tc>
          <w:tcPr>
            <w:tcW w:w="821" w:type="dxa"/>
            <w:vAlign w:val="center"/>
            <w:textDirection w:val="lrTb"/>
            <w:noWrap w:val="false"/>
          </w:tcPr>
          <w:p>
            <w:pPr>
              <w:jc w:val="left"/>
              <w:spacing w:before="120" w:after="120" w:line="0" w:lineRule="atLeast"/>
              <w:rPr>
                <w:rFonts w:ascii="宋体" w:hAnsi="宋体"/>
                <w:b/>
                <w:bCs/>
                <w:sz w:val="24"/>
                <w:szCs w:val="24"/>
              </w:rPr>
            </w:pPr>
            <w:r>
              <w:rPr>
                <w:rFonts w:hint="eastAsia" w:ascii="宋体" w:hAnsi="宋体"/>
                <w:b/>
                <w:bCs/>
                <w:sz w:val="24"/>
                <w:szCs w:val="24"/>
              </w:rPr>
              <w:t xml:space="preserve">序号</w:t>
            </w:r>
            <w:r/>
          </w:p>
        </w:tc>
        <w:tc>
          <w:tcPr>
            <w:tcW w:w="904" w:type="dxa"/>
            <w:vAlign w:val="center"/>
            <w:textDirection w:val="lrTb"/>
            <w:noWrap w:val="false"/>
          </w:tcPr>
          <w:p>
            <w:pPr>
              <w:jc w:val="left"/>
              <w:spacing w:before="120" w:after="120" w:line="0" w:lineRule="atLeast"/>
              <w:rPr>
                <w:rFonts w:ascii="宋体" w:hAnsi="宋体"/>
                <w:b/>
                <w:bCs/>
                <w:sz w:val="24"/>
                <w:szCs w:val="24"/>
              </w:rPr>
            </w:pPr>
            <w:r>
              <w:rPr>
                <w:rFonts w:hint="eastAsia" w:ascii="宋体" w:hAnsi="宋体"/>
                <w:b/>
                <w:bCs/>
                <w:sz w:val="24"/>
                <w:szCs w:val="24"/>
              </w:rPr>
              <w:t xml:space="preserve">项目</w:t>
            </w:r>
            <w:r/>
          </w:p>
        </w:tc>
        <w:tc>
          <w:tcPr>
            <w:tcW w:w="7050" w:type="dxa"/>
            <w:vAlign w:val="center"/>
            <w:textDirection w:val="lrTb"/>
            <w:noWrap w:val="false"/>
          </w:tcPr>
          <w:p>
            <w:pPr>
              <w:jc w:val="center"/>
              <w:spacing w:before="120" w:after="120" w:line="0" w:lineRule="atLeast"/>
              <w:rPr>
                <w:rFonts w:ascii="宋体" w:hAnsi="宋体"/>
                <w:b/>
                <w:bCs/>
                <w:sz w:val="24"/>
                <w:szCs w:val="24"/>
              </w:rPr>
            </w:pPr>
            <w:r>
              <w:rPr>
                <w:rFonts w:hint="eastAsia" w:ascii="宋体" w:hAnsi="宋体"/>
                <w:b/>
                <w:bCs/>
                <w:sz w:val="24"/>
                <w:szCs w:val="24"/>
              </w:rPr>
              <w:t xml:space="preserve">评分标准</w:t>
            </w:r>
            <w:r/>
          </w:p>
        </w:tc>
        <w:tc>
          <w:tcPr>
            <w:tcW w:w="845" w:type="dxa"/>
            <w:vAlign w:val="center"/>
            <w:textDirection w:val="lrTb"/>
            <w:noWrap w:val="false"/>
          </w:tcPr>
          <w:p>
            <w:pPr>
              <w:jc w:val="left"/>
              <w:spacing w:before="120" w:after="120" w:line="0" w:lineRule="atLeast"/>
              <w:rPr>
                <w:rFonts w:ascii="宋体" w:hAnsi="宋体"/>
                <w:b/>
                <w:bCs/>
                <w:sz w:val="24"/>
                <w:szCs w:val="24"/>
              </w:rPr>
            </w:pPr>
            <w:r>
              <w:rPr>
                <w:rFonts w:hint="eastAsia" w:ascii="宋体" w:hAnsi="宋体"/>
                <w:b/>
                <w:bCs/>
                <w:sz w:val="24"/>
                <w:szCs w:val="24"/>
              </w:rPr>
              <w:t xml:space="preserve">满分</w:t>
            </w:r>
            <w:r/>
          </w:p>
        </w:tc>
      </w:tr>
      <w:tr>
        <w:trPr>
          <w:jc w:val="center"/>
        </w:trPr>
        <w:tc>
          <w:tcPr>
            <w:gridSpan w:val="4"/>
            <w:tcW w:w="9620" w:type="dxa"/>
            <w:vAlign w:val="center"/>
            <w:textDirection w:val="lrTb"/>
            <w:noWrap w:val="false"/>
          </w:tcPr>
          <w:p>
            <w:pPr>
              <w:jc w:val="center"/>
              <w:spacing w:before="120" w:after="120" w:line="0" w:lineRule="atLeast"/>
              <w:rPr>
                <w:rFonts w:ascii="宋体" w:hAnsi="宋体"/>
                <w:b/>
                <w:bCs/>
                <w:sz w:val="24"/>
                <w:szCs w:val="24"/>
              </w:rPr>
            </w:pPr>
            <w:r>
              <w:rPr>
                <w:rFonts w:hint="eastAsia" w:ascii="宋体" w:hAnsi="宋体"/>
                <w:b/>
                <w:bCs/>
                <w:sz w:val="24"/>
                <w:szCs w:val="24"/>
              </w:rPr>
              <w:t xml:space="preserve">一、价格部分（10分）</w:t>
            </w:r>
            <w:r/>
          </w:p>
        </w:tc>
      </w:tr>
      <w:tr>
        <w:trPr>
          <w:jc w:val="center"/>
          <w:trHeight w:val="90"/>
        </w:trPr>
        <w:tc>
          <w:tcPr>
            <w:tcW w:w="82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价格</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响应报价超过采购预算的，其响应作无效响应处理。满足竞争性磋商文件要求且响应价格最低的最终报价为评审基准价，其价格分为满分。供应商的价格分统一按照下列公式计算：</w:t>
            </w:r>
            <w:r/>
          </w:p>
          <w:p>
            <w:pPr>
              <w:ind w:firstLine="360"/>
              <w:jc w:val="left"/>
              <w:spacing w:before="120" w:after="120" w:line="0" w:lineRule="atLeast"/>
              <w:rPr>
                <w:rFonts w:ascii="宋体" w:hAnsi="宋体" w:cs="宋体"/>
                <w:sz w:val="24"/>
                <w:szCs w:val="24"/>
              </w:rPr>
            </w:pPr>
            <w:r>
              <w:rPr>
                <w:rFonts w:hint="eastAsia" w:ascii="宋体" w:hAnsi="宋体" w:cs="宋体"/>
                <w:sz w:val="24"/>
                <w:szCs w:val="24"/>
              </w:rPr>
              <w:t xml:space="preserve">磋商报价得分=（评审基准价/供应商最终报价）×10。</w:t>
            </w:r>
            <w:r/>
          </w:p>
        </w:tc>
        <w:tc>
          <w:tcPr>
            <w:tcW w:w="845"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10分</w:t>
            </w:r>
            <w:r/>
          </w:p>
        </w:tc>
      </w:tr>
      <w:tr>
        <w:trPr>
          <w:jc w:val="center"/>
          <w:trHeight w:val="90"/>
        </w:trPr>
        <w:tc>
          <w:tcPr>
            <w:gridSpan w:val="4"/>
            <w:tcW w:w="9620" w:type="dxa"/>
            <w:vAlign w:val="center"/>
            <w:textDirection w:val="lrTb"/>
            <w:noWrap w:val="false"/>
          </w:tcPr>
          <w:p>
            <w:pPr>
              <w:jc w:val="center"/>
              <w:spacing w:line="360" w:lineRule="exact"/>
              <w:rPr>
                <w:rFonts w:ascii="Times New Roman" w:hAnsi="Times New Roman" w:eastAsia="方正仿宋_GBK"/>
                <w:b/>
                <w:bCs/>
                <w:sz w:val="28"/>
                <w:szCs w:val="28"/>
              </w:rPr>
            </w:pPr>
            <w:r>
              <w:rPr>
                <w:rFonts w:hint="eastAsia" w:ascii="宋体" w:hAnsi="宋体"/>
                <w:b/>
                <w:bCs/>
                <w:sz w:val="24"/>
                <w:szCs w:val="24"/>
              </w:rPr>
              <w:t xml:space="preserve">二、技术部分（58分）</w:t>
            </w:r>
            <w:r/>
          </w:p>
        </w:tc>
      </w:tr>
      <w:tr>
        <w:trPr>
          <w:jc w:val="center"/>
          <w:trHeight w:val="262"/>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接口设计方案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接口设计方案需涵盖：接口功能设计、接口调用参数定义；</w:t>
            </w:r>
            <w:r>
              <w:rPr>
                <w:rFonts w:hint="eastAsia" w:ascii="宋体" w:hAnsi="宋体" w:cs="Courier New"/>
                <w:sz w:val="24"/>
                <w:szCs w:val="24"/>
              </w:rPr>
              <w:t xml:space="preserve">审查数据提交接口、审查结果拉取接口、审查意见历史拉取接口、补正提交接口、申请人主动撤回接口、异议状态提交接口、获取证书接口、提交盖章证书接口等国知局审查平台已明确可对接的接口。 </w:t>
            </w: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262"/>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流程改造方案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流程改造方案要求提供流程设计图，要针对流程改造内容进行设计。</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262"/>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功能优化方案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功能优化方案需涵盖：登记申请功能、主动撤回功能、公示和公告功能改造、补正功能改造的优化、旧数据清洗、数据库表结构改造和旧数据迁移方案设计。</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1678"/>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兼容性方案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兼容性方案要求明确集成对象，接口设计规范，数据一致性保障措施，兼容性验证策略。</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安全保障措施方案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供应商提供安全保障措施方案，至少包含应用系统安全、数据权限安全、网络环境安全等方面。</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实施服务方案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实施服务方案，要求功能描述、项目实施计划安排、时间进度安排、人员分工安排合理完备，可操作性强。方案完整清晰，阐述详实具体，科学可行。</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部署策略方案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部署策略方案，要求方案部署流程（环境准备、软件部署、版本控制、回滚机制等）设计合理完备，环境配置（硬件、网络、资源）与生产需求匹配，风险控制（如故障预案、数据备份）措施明确。</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9</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系统测试方案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供应商需制定全面的系统测试方案，要求测试策略完整，测试方案至少包含测试管理、测试计划、测试技术、测试内容等。</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10</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培训服务方案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培训服务方案至少包含培训内容、培训计划、培训教材等。</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11</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运维服务方案</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投标人提供详细的运维服务方案，运维服务方案须包含运维服务体系、运维服务管理制度、运维服务内容、故障解决方案等。</w:t>
            </w:r>
            <w:r/>
          </w:p>
          <w:p>
            <w:pPr>
              <w:jc w:val="left"/>
              <w:spacing w:before="120" w:after="120" w:line="0" w:lineRule="atLeast"/>
              <w:rPr>
                <w:rFonts w:ascii="宋体" w:hAnsi="宋体" w:cs="宋体"/>
                <w:sz w:val="24"/>
                <w:szCs w:val="24"/>
              </w:rPr>
            </w:pPr>
            <w:r>
              <w:rPr>
                <w:rFonts w:ascii="宋体" w:hAnsi="宋体" w:cs="宋体"/>
                <w:sz w:val="24"/>
                <w:szCs w:val="24"/>
              </w:rPr>
              <w:t xml:space="preserve">方案</w:t>
            </w:r>
            <w:r>
              <w:rPr>
                <w:rFonts w:hint="eastAsia" w:ascii="宋体" w:hAnsi="宋体" w:cs="宋体"/>
                <w:sz w:val="24"/>
                <w:szCs w:val="24"/>
                <w:lang w:eastAsia="zh-CN"/>
              </w:rPr>
              <w:t xml:space="preserve">优于需求</w:t>
            </w:r>
            <w:r>
              <w:rPr>
                <w:rFonts w:ascii="宋体" w:hAnsi="宋体" w:cs="宋体"/>
                <w:sz w:val="24"/>
                <w:szCs w:val="24"/>
              </w:rPr>
              <w:t xml:space="preserve">得5分；方案</w:t>
            </w:r>
            <w:r>
              <w:rPr>
                <w:rFonts w:hint="eastAsia" w:ascii="宋体" w:hAnsi="宋体" w:cs="宋体"/>
                <w:sz w:val="24"/>
                <w:szCs w:val="24"/>
                <w:lang w:eastAsia="zh-CN"/>
              </w:rPr>
              <w:t xml:space="preserve">符合需求</w:t>
            </w:r>
            <w:r>
              <w:rPr>
                <w:rFonts w:ascii="宋体" w:hAnsi="宋体" w:cs="宋体"/>
                <w:sz w:val="24"/>
                <w:szCs w:val="24"/>
              </w:rPr>
              <w:t xml:space="preserve">得3分；方案</w:t>
            </w:r>
            <w:r>
              <w:rPr>
                <w:rFonts w:hint="eastAsia" w:ascii="宋体" w:hAnsi="宋体" w:cs="宋体"/>
                <w:sz w:val="24"/>
                <w:szCs w:val="24"/>
                <w:lang w:eastAsia="zh-CN"/>
              </w:rPr>
              <w:t xml:space="preserve">未提供或不符合需求</w:t>
            </w:r>
            <w:r>
              <w:rPr>
                <w:rFonts w:ascii="宋体" w:hAnsi="宋体" w:cs="宋体"/>
                <w:sz w:val="24"/>
                <w:szCs w:val="24"/>
              </w:rPr>
              <w:t xml:space="preserve">，不得分。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12</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运维时间</w:t>
            </w:r>
            <w:r/>
          </w:p>
        </w:tc>
        <w:tc>
          <w:tcPr>
            <w:tcW w:w="7050" w:type="dxa"/>
            <w:vAlign w:val="center"/>
            <w:textDirection w:val="lrTb"/>
            <w:noWrap w:val="false"/>
          </w:tcPr>
          <w:p>
            <w:pPr>
              <w:jc w:val="left"/>
              <w:spacing w:before="120" w:after="120" w:line="0" w:lineRule="atLeast"/>
              <w:rPr>
                <w:rFonts w:ascii="宋体" w:hAnsi="宋体" w:cs="宋体"/>
                <w:sz w:val="24"/>
                <w:szCs w:val="24"/>
              </w:rPr>
            </w:pPr>
            <w:r/>
            <w:bookmarkStart w:id="184" w:name="OLE_LINK5"/>
            <w:r>
              <w:rPr>
                <w:rFonts w:hint="eastAsia" w:ascii="宋体" w:hAnsi="宋体" w:cs="宋体"/>
                <w:sz w:val="24"/>
                <w:szCs w:val="24"/>
              </w:rPr>
              <w:t xml:space="preserve">供应商承诺运维一年得1分，运维二年得3分，运维三年得5分。</w:t>
            </w:r>
            <w:bookmarkEnd w:id="184"/>
            <w:r>
              <w:rPr>
                <w:rFonts w:hint="eastAsia" w:ascii="宋体" w:hAnsi="宋体" w:cs="宋体"/>
                <w:sz w:val="24"/>
                <w:szCs w:val="24"/>
              </w:rPr>
              <w:t xml:space="preserve">其余情况不得分。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（须提供运维时间承诺函，不提供不得分）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9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13</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技术支持响应承诺</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供应商承诺技术支持响应时间。半小时内响应得3分，4小时内响应1分，超过4小时响应不得分。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（须提供技术支持响应时间承诺函，不提供不得分）</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3分</w:t>
            </w:r>
            <w:r/>
          </w:p>
        </w:tc>
      </w:tr>
      <w:tr>
        <w:trPr>
          <w:jc w:val="center"/>
          <w:trHeight w:val="90"/>
        </w:trPr>
        <w:tc>
          <w:tcPr>
            <w:gridSpan w:val="4"/>
            <w:tcW w:w="962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宋体" w:hAnsi="宋体"/>
                <w:b/>
                <w:bCs/>
                <w:sz w:val="24"/>
                <w:szCs w:val="24"/>
              </w:rPr>
              <w:t xml:space="preserve">三、商务部分（32分）</w:t>
            </w:r>
            <w:r/>
          </w:p>
        </w:tc>
      </w:tr>
      <w:tr>
        <w:trPr>
          <w:jc w:val="center"/>
          <w:trHeight w:val="432"/>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14</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履约能力</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lang w:val="en-US" w:eastAsia="zh-CN"/>
              </w:rPr>
              <w:t xml:space="preserve">14.1</w:t>
            </w:r>
            <w:r>
              <w:rPr>
                <w:rFonts w:hint="eastAsia" w:ascii="宋体" w:hAnsi="宋体" w:cs="宋体"/>
                <w:sz w:val="24"/>
                <w:szCs w:val="24"/>
              </w:rPr>
              <w:t xml:space="preserve">具备有效的ISO27001信息安全管理体系认证证书，得3分。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（须提供有效期内的证书复印件，否则本项不得分）</w:t>
            </w:r>
            <w:r/>
          </w:p>
          <w:p>
            <w:pPr>
              <w:jc w:val="left"/>
              <w:spacing w:before="120" w:after="120" w:line="0" w:lineRule="atLeast"/>
              <w:rPr>
                <w:rFonts w:ascii="宋体" w:hAnsi="宋体" w:cs="宋体"/>
                <w:sz w:val="24"/>
                <w:szCs w:val="24"/>
              </w:rPr>
            </w:pPr>
            <w:r>
              <w:rPr>
                <w:rFonts w:hint="eastAsia" w:ascii="宋体" w:hAnsi="宋体" w:cs="宋体"/>
                <w:sz w:val="24"/>
                <w:szCs w:val="24"/>
                <w:lang w:val="en-US" w:eastAsia="zh-CN"/>
              </w:rPr>
              <w:t xml:space="preserve">14.2</w:t>
            </w:r>
            <w:r>
              <w:rPr>
                <w:rFonts w:hint="eastAsia" w:ascii="宋体" w:hAnsi="宋体" w:cs="宋体"/>
                <w:sz w:val="24"/>
                <w:szCs w:val="24"/>
              </w:rPr>
              <w:t xml:space="preserve">提供“数据集成登记”类、“项目申报”类、“大数据采集分析”类等软件著作权证书的，每提供一个得1分，同类软著最多得1分，最高得3分。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（须提供有效期内的证书复印件</w:t>
            </w:r>
            <w:r>
              <w:rPr>
                <w:rFonts w:hint="eastAsia" w:ascii="宋体" w:hAnsi="宋体" w:cs="宋体"/>
                <w:sz w:val="24"/>
                <w:szCs w:val="24"/>
                <w:lang w:eastAsia="zh-CN"/>
              </w:rPr>
              <w:t xml:space="preserve">或扫描件</w:t>
            </w:r>
            <w:r>
              <w:rPr>
                <w:rFonts w:hint="eastAsia" w:ascii="宋体" w:hAnsi="宋体" w:cs="宋体"/>
                <w:sz w:val="24"/>
                <w:szCs w:val="24"/>
              </w:rPr>
              <w:t xml:space="preserve">，否则本项不得分）</w:t>
            </w:r>
            <w:r>
              <w:rPr>
                <w:rFonts w:hint="eastAsia" w:ascii="宋体" w:hAnsi="宋体" w:cs="宋体"/>
                <w:sz w:val="24"/>
                <w:szCs w:val="24"/>
              </w:rPr>
              <w:br w:type="textWrapping" w:clear="all"/>
            </w:r>
            <w:r>
              <w:rPr>
                <w:rFonts w:hint="eastAsia" w:ascii="宋体" w:hAnsi="宋体" w:cs="宋体"/>
                <w:b/>
                <w:bCs/>
                <w:sz w:val="24"/>
                <w:szCs w:val="24"/>
              </w:rPr>
              <w:t xml:space="preserve">如响应文件中提供的著作权名称表述与评审标准描述的关键字段不一致，能够在响应文件中证明供应商拥有的著作权具有相同或相似功能和效果的，视同符合要求。</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6分</w:t>
            </w:r>
            <w:r/>
          </w:p>
        </w:tc>
      </w:tr>
      <w:tr>
        <w:trPr>
          <w:jc w:val="center"/>
          <w:trHeight w:val="150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15</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业绩经验</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自2022年1月1日（含）以来（以合同签订时间为准或无签订时间的以开始服务时间为准，两个时间都没有的业绩无效），供应商具有</w:t>
            </w:r>
            <w:r>
              <w:rPr>
                <w:rFonts w:hint="eastAsia" w:ascii="宋体" w:hAnsi="宋体" w:cs="宋体"/>
                <w:sz w:val="24"/>
                <w:szCs w:val="24"/>
                <w:lang w:eastAsia="zh-CN"/>
              </w:rPr>
              <w:t xml:space="preserve">信息化软件系统开发类似</w:t>
            </w:r>
            <w:r>
              <w:rPr>
                <w:rFonts w:hint="eastAsia" w:ascii="宋体" w:hAnsi="宋体" w:cs="宋体"/>
                <w:sz w:val="24"/>
                <w:szCs w:val="24"/>
              </w:rPr>
              <w:t xml:space="preserve">案例的，每提供一个案例得2.5分，最高得10分。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（提供有效合同复印件</w:t>
            </w:r>
            <w:r>
              <w:rPr>
                <w:rFonts w:hint="eastAsia" w:ascii="宋体" w:hAnsi="宋体" w:cs="宋体"/>
                <w:sz w:val="24"/>
                <w:szCs w:val="24"/>
                <w:lang w:eastAsia="zh-CN"/>
              </w:rPr>
              <w:t xml:space="preserve">或扫描件</w:t>
            </w:r>
            <w:r>
              <w:rPr>
                <w:rFonts w:hint="eastAsia" w:ascii="宋体" w:hAnsi="宋体" w:cs="宋体"/>
                <w:sz w:val="24"/>
                <w:szCs w:val="24"/>
              </w:rPr>
              <w:t xml:space="preserve">，合同相关内容清晰可见）</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10分</w:t>
            </w:r>
            <w:r/>
          </w:p>
        </w:tc>
      </w:tr>
      <w:tr>
        <w:trPr>
          <w:jc w:val="center"/>
          <w:trHeight w:val="1500"/>
        </w:trPr>
        <w:tc>
          <w:tcPr>
            <w:tcW w:w="821"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16</w:t>
            </w:r>
            <w:r/>
          </w:p>
        </w:tc>
        <w:tc>
          <w:tcPr>
            <w:tcW w:w="904"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rPr>
              <w:t xml:space="preserve">人员资质</w:t>
            </w:r>
            <w:r/>
          </w:p>
        </w:tc>
        <w:tc>
          <w:tcPr>
            <w:tcW w:w="7050" w:type="dxa"/>
            <w:vAlign w:val="center"/>
            <w:textDirection w:val="lrTb"/>
            <w:noWrap w:val="false"/>
          </w:tcPr>
          <w:p>
            <w:pPr>
              <w:jc w:val="left"/>
              <w:spacing w:before="120" w:after="120" w:line="0" w:lineRule="atLeast"/>
              <w:rPr>
                <w:rFonts w:ascii="宋体" w:hAnsi="宋体" w:cs="宋体"/>
                <w:sz w:val="24"/>
                <w:szCs w:val="24"/>
              </w:rPr>
            </w:pPr>
            <w:r>
              <w:rPr>
                <w:rFonts w:hint="eastAsia" w:ascii="宋体" w:hAnsi="宋体" w:cs="宋体"/>
                <w:sz w:val="24"/>
                <w:szCs w:val="24"/>
                <w:lang w:val="en-US" w:eastAsia="zh-CN"/>
              </w:rPr>
              <w:t xml:space="preserve">16.1</w:t>
            </w:r>
            <w:r>
              <w:rPr>
                <w:rFonts w:hint="eastAsia" w:ascii="宋体" w:hAnsi="宋体" w:cs="宋体"/>
                <w:sz w:val="24"/>
                <w:szCs w:val="24"/>
              </w:rPr>
              <w:t xml:space="preserve">项目经理，具有高级工程师证书得3分、具有高级信息系统项目管理师证书得3分，最高得6分，否则不得分。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（须提供相应的人员证书复印件</w:t>
            </w:r>
            <w:r>
              <w:rPr>
                <w:rFonts w:hint="eastAsia" w:ascii="宋体" w:hAnsi="宋体" w:cs="宋体"/>
                <w:sz w:val="24"/>
                <w:szCs w:val="24"/>
                <w:lang w:eastAsia="zh-CN"/>
              </w:rPr>
              <w:t xml:space="preserve">或扫描件</w:t>
            </w:r>
            <w:r>
              <w:rPr>
                <w:rFonts w:hint="eastAsia" w:ascii="宋体" w:hAnsi="宋体" w:cs="宋体"/>
                <w:sz w:val="24"/>
                <w:szCs w:val="24"/>
              </w:rPr>
              <w:t xml:space="preserve">，否则本项不得分；提供项目经理近三月任一月供应商为其缴纳的社保证明）</w:t>
            </w:r>
            <w:r/>
          </w:p>
          <w:p>
            <w:pPr>
              <w:jc w:val="left"/>
              <w:spacing w:before="120" w:after="120" w:line="0" w:lineRule="atLeast"/>
              <w:rPr>
                <w:rFonts w:ascii="宋体" w:hAnsi="宋体" w:cs="宋体"/>
                <w:sz w:val="24"/>
                <w:szCs w:val="24"/>
              </w:rPr>
            </w:pPr>
            <w:r>
              <w:rPr>
                <w:rFonts w:hint="eastAsia" w:ascii="宋体" w:hAnsi="宋体" w:cs="宋体"/>
                <w:sz w:val="24"/>
                <w:szCs w:val="24"/>
                <w:lang w:val="en-US" w:eastAsia="zh-CN"/>
              </w:rPr>
              <w:t xml:space="preserve">16.2</w:t>
            </w:r>
            <w:r>
              <w:rPr>
                <w:rFonts w:hint="eastAsia" w:ascii="宋体" w:hAnsi="宋体" w:cs="宋体"/>
                <w:sz w:val="24"/>
                <w:szCs w:val="24"/>
              </w:rPr>
              <w:t xml:space="preserve">团队人员：团队成员具有软件设计师、系统架构设计师、信息安全保障人员认证（CISAW）、</w:t>
            </w:r>
            <w:r>
              <w:rPr>
                <w:rFonts w:hint="eastAsia" w:ascii="宋体" w:hAnsi="宋体" w:cs="宋体"/>
                <w:sz w:val="24"/>
                <w:szCs w:val="24"/>
                <w:lang w:eastAsia="zh-CN"/>
              </w:rPr>
              <w:t xml:space="preserve">系统分析师</w:t>
            </w:r>
            <w:r>
              <w:rPr>
                <w:rFonts w:hint="eastAsia" w:ascii="宋体" w:hAnsi="宋体" w:cs="宋体"/>
                <w:sz w:val="24"/>
                <w:szCs w:val="24"/>
              </w:rPr>
              <w:t xml:space="preserve">证书的，每提供一个证书得2.5分，最多得10分。同一人具有多个证书只能得2.5分。</w:t>
            </w:r>
            <w:r/>
          </w:p>
          <w:p>
            <w:pPr>
              <w:jc w:val="left"/>
              <w:spacing w:before="120" w:after="120" w:line="0" w:lineRule="atLeast"/>
              <w:rPr>
                <w:rFonts w:ascii="宋体" w:hAnsi="宋体" w:cs="宋体"/>
                <w:sz w:val="24"/>
                <w:szCs w:val="24"/>
              </w:rPr>
            </w:pPr>
            <w:r>
              <w:rPr>
                <w:rFonts w:hint="eastAsia" w:ascii="宋体" w:hAnsi="宋体" w:cs="宋体"/>
                <w:sz w:val="24"/>
                <w:szCs w:val="24"/>
              </w:rPr>
              <w:t xml:space="preserve">（须提供相应的人员证书复印件</w:t>
            </w:r>
            <w:r>
              <w:rPr>
                <w:rFonts w:hint="eastAsia" w:ascii="宋体" w:hAnsi="宋体" w:cs="宋体"/>
                <w:sz w:val="24"/>
                <w:szCs w:val="24"/>
                <w:lang w:eastAsia="zh-CN"/>
              </w:rPr>
              <w:t xml:space="preserve">或扫描件</w:t>
            </w:r>
            <w:r>
              <w:rPr>
                <w:rFonts w:hint="eastAsia" w:ascii="宋体" w:hAnsi="宋体" w:cs="宋体"/>
                <w:sz w:val="24"/>
                <w:szCs w:val="24"/>
              </w:rPr>
              <w:t xml:space="preserve">，否则本项不得分；提供近三月任一月供</w:t>
            </w:r>
            <w:bookmarkStart w:id="194" w:name="_GoBack"/>
            <w:r/>
            <w:bookmarkEnd w:id="194"/>
            <w:r>
              <w:rPr>
                <w:rFonts w:hint="eastAsia" w:ascii="宋体" w:hAnsi="宋体" w:cs="宋体"/>
                <w:sz w:val="24"/>
                <w:szCs w:val="24"/>
              </w:rPr>
              <w:t xml:space="preserve">应商为其缴纳的社保证明）</w:t>
            </w:r>
            <w:r/>
          </w:p>
        </w:tc>
        <w:tc>
          <w:tcPr>
            <w:tcW w:w="845" w:type="dxa"/>
            <w:vAlign w:val="center"/>
            <w:textDirection w:val="lrTb"/>
            <w:noWrap w:val="false"/>
          </w:tcPr>
          <w:p>
            <w:pPr>
              <w:jc w:val="left"/>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16分</w:t>
            </w:r>
            <w:r/>
          </w:p>
        </w:tc>
      </w:tr>
    </w:tbl>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br w:type="page" w:clear="all"/>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8"/>
      <w:r/>
      <w:bookmarkEnd w:id="179"/>
      <w:r/>
      <w:bookmarkEnd w:id="183"/>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85" w:name="_Hlt26671244"/>
      <w:r/>
      <w:bookmarkEnd w:id="185"/>
      <w:r/>
      <w:bookmarkStart w:id="186" w:name="_Hlt26955039"/>
      <w:r/>
      <w:bookmarkEnd w:id="186"/>
      <w:r/>
      <w:bookmarkStart w:id="187" w:name="_Toc49090576"/>
      <w:r/>
      <w:bookmarkStart w:id="188" w:name="_Toc26554094"/>
      <w:r/>
      <w:bookmarkStart w:id="189"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lang w:eastAsia="zh-CN"/>
        </w:rPr>
        <w:t xml:space="preserve">采</w:t>
      </w:r>
      <w:r>
        <w:rPr>
          <w:rFonts w:hint="eastAsia" w:ascii="宋体" w:hAnsi="宋体"/>
          <w:b/>
          <w:sz w:val="36"/>
          <w:szCs w:val="21"/>
          <w:lang w:val="en-US" w:eastAsia="zh-CN"/>
        </w:rPr>
        <w:t xml:space="preserve"> </w:t>
      </w:r>
      <w:r>
        <w:rPr>
          <w:rFonts w:hint="eastAsia" w:ascii="宋体" w:hAnsi="宋体"/>
          <w:b/>
          <w:sz w:val="36"/>
          <w:szCs w:val="21"/>
          <w:lang w:eastAsia="zh-CN"/>
        </w:rPr>
        <w:t xml:space="preserve">购</w:t>
      </w:r>
      <w:r>
        <w:rPr>
          <w:rFonts w:hint="eastAsia" w:ascii="宋体" w:hAnsi="宋体"/>
          <w:b/>
          <w:sz w:val="36"/>
          <w:szCs w:val="21"/>
        </w:rPr>
        <w:t xml:space="preserve">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w:t>
      </w:r>
      <w:r>
        <w:rPr>
          <w:rFonts w:hint="eastAsia" w:ascii="宋体" w:hAnsi="宋体"/>
          <w:sz w:val="24"/>
          <w:szCs w:val="21"/>
        </w:rPr>
        <w:t xml:space="preserve">年度的财务状况报告（供应商成立不满一年无需提供）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p>
    <w:p>
      <w:pPr>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p>
    <w:p>
      <w:pPr>
        <w:spacing w:line="400" w:lineRule="exact"/>
        <w:rPr>
          <w:rFonts w:ascii="宋体" w:hAnsi="宋体"/>
          <w:sz w:val="24"/>
          <w:szCs w:val="24"/>
        </w:rPr>
      </w:pPr>
      <w:r>
        <w:rPr>
          <w:rFonts w:hint="eastAsia" w:ascii="宋体" w:hAnsi="宋体"/>
          <w:sz w:val="24"/>
          <w:szCs w:val="24"/>
        </w:rPr>
        <w:t xml:space="preserve">中提供相关材料，否则作无效响应处理；6、10、11、12条如磋商文件要求必须提供相关材料而未提供的，作无效响应处理。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hint="eastAsia" w:ascii="宋体" w:hAnsi="宋体"/>
          <w:b/>
          <w:sz w:val="24"/>
          <w:szCs w:val="21"/>
        </w:rPr>
        <w:t xml:space="preserve">附件1 分项报价</w:t>
      </w:r>
      <w:r>
        <w:rPr>
          <w:rFonts w:hint="eastAsia" w:ascii="宋体" w:hAnsi="宋体"/>
          <w:b/>
          <w:color w:val="000000"/>
          <w:sz w:val="24"/>
          <w:szCs w:val="21"/>
        </w:rPr>
        <w:t xml:space="preserve">表</w:t>
      </w:r>
      <w:r>
        <w:rPr>
          <w:rFonts w:hint="eastAsia" w:ascii="宋体" w:hAnsi="宋体"/>
          <w:b/>
          <w:color w:val="000000"/>
          <w:sz w:val="24"/>
          <w:szCs w:val="21"/>
          <w:lang w:eastAsia="zh-CN"/>
        </w:rPr>
        <w:t xml:space="preserve">（服务类项目）</w:t>
      </w:r>
      <w:r>
        <w:rPr>
          <w:rFonts w:hint="eastAsia" w:ascii="宋体" w:hAnsi="宋体"/>
          <w:b/>
          <w:color w:val="000000"/>
          <w:sz w:val="24"/>
          <w:szCs w:val="24"/>
        </w:rPr>
        <w:t xml:space="preserve">（采购包号：**）</w:t>
      </w:r>
      <w:r/>
    </w:p>
    <w:tbl>
      <w:tblPr>
        <w:tblStyle w:val="68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ascii="宋体" w:hAnsi="宋体"/>
                <w:sz w:val="18"/>
                <w:szCs w:val="18"/>
              </w:rPr>
            </w:pPr>
            <w:r>
              <w:rPr>
                <w:rFonts w:hint="eastAsia" w:ascii="宋体" w:hAnsi="宋体"/>
                <w:sz w:val="18"/>
                <w:szCs w:val="18"/>
              </w:rPr>
              <w:t xml:space="preserve">合同签</w:t>
            </w:r>
            <w:r/>
          </w:p>
          <w:p>
            <w:pPr>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9053" w:type="dxa"/>
            <w:vAlign w:val="center"/>
            <w:textDirection w:val="lrTb"/>
            <w:noWrap w:val="false"/>
          </w:tcPr>
          <w:p>
            <w:pPr>
              <w:spacing w:line="0" w:lineRule="atLeast"/>
              <w:rPr>
                <w:rFonts w:ascii="宋体" w:hAnsi="宋体" w:eastAsia="宋体"/>
                <w:sz w:val="24"/>
                <w:szCs w:val="24"/>
                <w:u w:val="single"/>
                <w:lang w:val="en-US" w:eastAsia="zh-CN"/>
              </w:rPr>
            </w:pPr>
            <w:r>
              <w:rPr>
                <w:rFonts w:hint="eastAsia" w:ascii="宋体" w:hAnsi="宋体"/>
                <w:sz w:val="24"/>
                <w:szCs w:val="24"/>
                <w:lang w:eastAsia="zh-CN"/>
              </w:rPr>
              <w:t xml:space="preserve">磋商</w:t>
            </w:r>
            <w:r>
              <w:rPr>
                <w:rFonts w:hint="eastAsia" w:ascii="宋体" w:hAnsi="宋体"/>
                <w:sz w:val="24"/>
                <w:szCs w:val="24"/>
              </w:rPr>
              <w:t xml:space="preserve">总报价（人民币：元）</w:t>
            </w:r>
            <w:r>
              <w:rPr>
                <w:rFonts w:hint="eastAsia" w:ascii="宋体" w:hAnsi="宋体"/>
                <w:sz w:val="24"/>
                <w:szCs w:val="24"/>
                <w:u w:val="single"/>
                <w:lang w:val="en-US" w:eastAsia="zh-CN"/>
              </w:rPr>
              <w:t xml:space="preserve">                </w:t>
            </w:r>
            <w:r/>
          </w:p>
        </w:tc>
      </w:tr>
    </w:tbl>
    <w:p>
      <w:pPr>
        <w:rPr>
          <w:rFonts w:ascii="宋体" w:hAnsi="宋体"/>
          <w:sz w:val="24"/>
          <w:szCs w:val="24"/>
        </w:rPr>
      </w:pPr>
      <w:r>
        <w:rPr>
          <w:rFonts w:hint="eastAsia" w:ascii="宋体" w:hAnsi="宋体"/>
          <w:sz w:val="24"/>
          <w:szCs w:val="24"/>
        </w:rPr>
        <w:t xml:space="preserve">备注： </w:t>
      </w:r>
      <w:r/>
    </w:p>
    <w:p>
      <w:pPr>
        <w:spacing w:line="0" w:lineRule="atLeast"/>
        <w:rPr>
          <w:rFonts w:hint="eastAsia" w:ascii="宋体" w:hAnsi="宋体" w:eastAsia="宋体"/>
          <w:sz w:val="24"/>
          <w:szCs w:val="24"/>
          <w:lang w:eastAsia="zh-CN"/>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Times New Roman"/>
          <w:sz w:val="24"/>
          <w:szCs w:val="24"/>
          <w:lang w:eastAsia="zh-CN"/>
        </w:rPr>
        <w:t xml:space="preserve">“磋商总报价”数额为各“分项总价”之和。</w:t>
      </w:r>
      <w:r/>
    </w:p>
    <w:p>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1.供应商需对磋商文件技术要求中的非实质性要求（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left="480"/>
        <w:rPr>
          <w:rFonts w:ascii="宋体" w:hAnsi="宋体"/>
          <w:b/>
          <w:i/>
          <w:color w:val="ff0000"/>
          <w:sz w:val="24"/>
          <w:szCs w:val="21"/>
          <w:u w:val="single"/>
        </w:rPr>
      </w:pPr>
      <w:r>
        <w:rPr>
          <w:rFonts w:ascii="宋体" w:hAnsi="宋体"/>
          <w:b/>
          <w:i/>
          <w:color w:val="ff0000"/>
          <w:sz w:val="24"/>
          <w:szCs w:val="21"/>
          <w:u w:val="single"/>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1.供应商需对磋商文件商务要求中的非实质性要求（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bookmarkEnd w:id="187"/>
      <w:bookmarkEnd w:id="188"/>
      <w:bookmarkEnd w:id="189"/>
      <w:r/>
    </w:p>
    <w:p>
      <w:pPr>
        <w:rPr>
          <w:rFonts w:hint="eastAsia" w:ascii="宋体" w:hAnsi="宋体"/>
          <w:b/>
          <w:color w:val="000000"/>
          <w:sz w:val="24"/>
          <w:szCs w:val="21"/>
        </w:rPr>
      </w:pPr>
      <w:r/>
      <w:bookmarkStart w:id="190" w:name="_Toc120614284"/>
      <w:r/>
      <w:r/>
    </w:p>
    <w:p>
      <w:pPr>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91" w:name="_Hlt26671380"/>
      <w:r/>
      <w:bookmarkEnd w:id="191"/>
      <w:r/>
      <w:bookmarkStart w:id="192" w:name="_格式3__银行出具的资信证明"/>
      <w:r/>
      <w:bookmarkEnd w:id="192"/>
      <w:r/>
      <w:bookmarkStart w:id="193" w:name="_Hlt26955070"/>
      <w:r/>
      <w:bookmarkEnd w:id="193"/>
      <w:r>
        <w:rPr>
          <w:rFonts w:hint="eastAsia" w:ascii="Times New Roman" w:hAnsi="Times New Roman"/>
          <w:sz w:val="24"/>
          <w:szCs w:val="24"/>
          <w:u w:val="single"/>
        </w:rPr>
        <w:t xml:space="preserve">                                         </w:t>
      </w:r>
      <w:r/>
    </w:p>
    <w:p>
      <w:pPr>
        <w:ind w:firstLine="360"/>
        <w:spacing w:line="0" w:lineRule="atLeast"/>
        <w:rPr>
          <w:rFonts w:ascii="宋体" w:hAnsi="宋体"/>
          <w:sz w:val="24"/>
          <w:szCs w:val="24"/>
          <w:highlight w:val="yellow"/>
        </w:rPr>
      </w:pPr>
      <w:r>
        <w:rPr>
          <w:rFonts w:ascii="宋体" w:hAnsi="宋体"/>
          <w:sz w:val="24"/>
          <w:szCs w:val="24"/>
          <w:highlight w:val="yellow"/>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1"/>
        </w:rPr>
        <w:t xml:space="preserve">的</w:t>
      </w:r>
      <w:r>
        <w:rPr>
          <w:rFonts w:hint="eastAsia" w:ascii="宋体" w:hAnsi="宋体"/>
          <w:sz w:val="24"/>
          <w:szCs w:val="21"/>
          <w:lang w:eastAsia="zh-CN"/>
        </w:rPr>
        <w:t xml:space="preserve">磋商</w:t>
      </w:r>
      <w:r>
        <w:rPr>
          <w:rFonts w:hint="eastAsia" w:ascii="宋体" w:hAnsi="宋体"/>
          <w:sz w:val="24"/>
          <w:szCs w:val="21"/>
        </w:rPr>
        <w:t xml:space="preserve">文件，正式授权下述签字人______(姓名)代表我方______________（供应商的名称），全权处理本次项目</w:t>
      </w:r>
      <w:r>
        <w:rPr>
          <w:rFonts w:hint="eastAsia" w:ascii="宋体" w:hAnsi="宋体"/>
          <w:sz w:val="24"/>
          <w:szCs w:val="21"/>
          <w:lang w:eastAsia="zh-CN"/>
        </w:rPr>
        <w:t xml:space="preserve">磋商</w:t>
      </w:r>
      <w:r>
        <w:rPr>
          <w:rFonts w:hint="eastAsia" w:ascii="宋体" w:hAnsi="宋体"/>
          <w:sz w:val="24"/>
          <w:szCs w:val="21"/>
        </w:rPr>
        <w:t xml:space="preserve">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期：____年____月____日</w:t>
      </w:r>
      <w:r/>
    </w:p>
    <w:p>
      <w:pPr>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spacing w:line="460" w:lineRule="exact"/>
        <w:rPr>
          <w:rFonts w:hint="eastAsia" w:ascii="宋体" w:hAnsi="宋体"/>
          <w:sz w:val="24"/>
          <w:szCs w:val="24"/>
        </w:rPr>
      </w:pPr>
      <w:r>
        <w:rPr>
          <w:rFonts w:hint="eastAsia" w:ascii="宋体" w:hAnsi="宋体"/>
          <w:sz w:val="24"/>
          <w:szCs w:val="24"/>
        </w:rPr>
        <w:t xml:space="preserve"> </w:t>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pStyle w:val="857"/>
        <w:numPr>
          <w:ilvl w:val="0"/>
          <w:numId w:val="0"/>
        </w:numPr>
        <w:rPr>
          <w:rFonts w:hint="eastAsia"/>
          <w:highlight w:val="cyan"/>
        </w:rPr>
      </w:pPr>
      <w:r>
        <w:rPr>
          <w:rFonts w:hint="eastAsia"/>
          <w:highlight w:val="cyan"/>
        </w:rPr>
      </w:r>
      <w:r/>
    </w:p>
    <w:p>
      <w:pPr>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p>
    <w:p>
      <w:pPr>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hint="eastAsia" w:ascii="宋体" w:hAnsi="宋体"/>
          <w:sz w:val="24"/>
          <w:szCs w:val="21"/>
        </w:rPr>
      </w:pPr>
      <w:r>
        <w:rPr>
          <w:rFonts w:hint="eastAsia"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hint="eastAsia" w:ascii="宋体" w:hAnsi="宋体"/>
          <w:sz w:val="24"/>
          <w:szCs w:val="21"/>
          <w:lang w:val="en-US" w:eastAsia="zh-CN"/>
        </w:rPr>
      </w:pPr>
      <w:r>
        <w:rPr>
          <w:rFonts w:ascii="宋体" w:hAnsi="宋体"/>
          <w:sz w:val="24"/>
          <w:szCs w:val="21"/>
        </w:rPr>
        <w:t xml:space="preserve">                        </w:t>
      </w:r>
      <w:r>
        <w:rPr>
          <w:rFonts w:hint="eastAsia" w:ascii="宋体" w:hAnsi="宋体"/>
          <w:sz w:val="24"/>
          <w:szCs w:val="21"/>
        </w:rPr>
        <w:t xml:space="preserve">供应商全称（加盖CA电子公章）：</w:t>
      </w:r>
      <w:r>
        <w:rPr>
          <w:rFonts w:hint="eastAsia" w:ascii="宋体" w:hAnsi="宋体"/>
          <w:sz w:val="24"/>
          <w:szCs w:val="21"/>
          <w:lang w:val="en-US" w:eastAsia="zh-CN"/>
        </w:rPr>
        <w:t xml:space="preserve">  </w:t>
      </w:r>
      <w:r/>
    </w:p>
    <w:p>
      <w:pPr>
        <w:ind w:right="1559" w:firstLine="480"/>
        <w:jc w:val="center"/>
        <w:spacing w:line="0" w:lineRule="atLeast"/>
        <w:tabs>
          <w:tab w:val="left" w:pos="4860" w:leader="none"/>
        </w:tabs>
        <w:rPr>
          <w:rFonts w:hint="eastAsia" w:ascii="宋体" w:hAnsi="宋体"/>
          <w:sz w:val="24"/>
          <w:szCs w:val="24"/>
        </w:rPr>
      </w:pP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both"/>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p>
    <w:p>
      <w:pPr>
        <w:spacing w:line="0" w:lineRule="atLeas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center"/>
        <w:spacing w:line="0" w:lineRule="atLeast"/>
        <w:rPr>
          <w:rFonts w:ascii="宋体" w:hAnsi="宋体"/>
          <w:sz w:val="24"/>
          <w:szCs w:val="21"/>
        </w:rPr>
      </w:pPr>
      <w:r>
        <w:rPr>
          <w:rFonts w:hint="eastAsia" w:ascii="宋体" w:hAnsi="宋体"/>
          <w:sz w:val="24"/>
          <w:szCs w:val="21"/>
          <w:lang w:val="en-US" w:eastAsia="zh-CN"/>
        </w:rPr>
        <w:t xml:space="preserve">                                </w:t>
      </w:r>
      <w:r>
        <w:rPr>
          <w:rFonts w:hint="eastAsia" w:ascii="宋体" w:hAnsi="宋体"/>
          <w:sz w:val="24"/>
          <w:szCs w:val="21"/>
        </w:rPr>
        <w:t xml:space="preserve">联合体中各供应商全称（公章）：</w:t>
      </w:r>
      <w:r>
        <w:rPr>
          <w:rFonts w:ascii="宋体" w:hAnsi="宋体"/>
          <w:sz w:val="24"/>
          <w:szCs w:val="21"/>
        </w:rPr>
        <w:t xml:space="preserve">     </w:t>
      </w:r>
      <w:r/>
    </w:p>
    <w:p>
      <w:pPr>
        <w:ind w:right="480"/>
        <w:spacing w:line="40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p>
    <w:p>
      <w:pPr>
        <w:ind w:firstLine="645"/>
        <w:spacing w:line="0" w:lineRule="atLeast"/>
        <w:rPr>
          <w:rFonts w:ascii="宋体" w:hAnsi="宋体"/>
          <w:sz w:val="24"/>
          <w:szCs w:val="21"/>
        </w:rPr>
      </w:pPr>
      <w:r>
        <w:rPr>
          <w:rFonts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r>
      <w:r/>
    </w:p>
    <w:p>
      <w:pPr>
        <w:spacing w:line="560" w:lineRule="exact"/>
        <w:rPr>
          <w:rFonts w:hint="eastAsia" w:ascii="宋体" w:hAnsi="宋体"/>
          <w:sz w:val="24"/>
          <w:szCs w:val="21"/>
        </w:rPr>
      </w:pPr>
      <w:r>
        <w:rPr>
          <w:rFonts w:hint="eastAsia" w:ascii="宋体" w:hAnsi="宋体"/>
          <w:sz w:val="24"/>
          <w:szCs w:val="21"/>
        </w:rPr>
      </w:r>
      <w:r/>
    </w:p>
    <w:p>
      <w:pPr>
        <w:spacing w:line="560" w:lineRule="exact"/>
        <w:rPr>
          <w:rFonts w:hint="eastAsia" w:ascii="宋体" w:hAnsi="宋体"/>
          <w:sz w:val="24"/>
          <w:szCs w:val="21"/>
        </w:rPr>
      </w:pPr>
      <w:r>
        <w:rPr>
          <w:rFonts w:hint="eastAsia" w:ascii="宋体" w:hAnsi="宋体"/>
          <w:sz w:val="24"/>
          <w:szCs w:val="21"/>
        </w:rPr>
      </w:r>
      <w:r/>
    </w:p>
    <w:p>
      <w:pPr>
        <w:spacing w:line="560" w:lineRule="exact"/>
        <w:rPr>
          <w:rFonts w:hint="eastAsia" w:ascii="宋体" w:hAnsi="宋体"/>
          <w:sz w:val="24"/>
          <w:szCs w:val="21"/>
        </w:rPr>
      </w:pPr>
      <w:r>
        <w:rPr>
          <w:rFonts w:hint="eastAsia" w:ascii="宋体" w:hAnsi="宋体"/>
          <w:sz w:val="24"/>
          <w:szCs w:val="21"/>
        </w:rPr>
      </w:r>
      <w:r/>
    </w:p>
    <w:p>
      <w:pPr>
        <w:spacing w:line="560" w:lineRule="exact"/>
        <w:rPr>
          <w:rFonts w:hint="eastAsia" w:ascii="宋体" w:hAnsi="宋体"/>
          <w:sz w:val="24"/>
          <w:szCs w:val="21"/>
        </w:rPr>
      </w:pPr>
      <w:r>
        <w:rPr>
          <w:rFonts w:hint="eastAsia" w:ascii="宋体" w:hAnsi="宋体"/>
          <w:sz w:val="24"/>
          <w:szCs w:val="21"/>
        </w:rPr>
      </w:r>
      <w:r/>
    </w:p>
    <w:p>
      <w:pPr>
        <w:spacing w:line="560" w:lineRule="exact"/>
        <w:rPr>
          <w:rFonts w:hint="eastAsia" w:ascii="宋体" w:hAnsi="宋体"/>
          <w:sz w:val="24"/>
          <w:szCs w:val="21"/>
        </w:rPr>
      </w:pPr>
      <w:r>
        <w:rPr>
          <w:rFonts w:hint="eastAsia" w:ascii="宋体" w:hAnsi="宋体"/>
          <w:sz w:val="24"/>
          <w:szCs w:val="21"/>
        </w:rPr>
      </w:r>
      <w:r/>
    </w:p>
    <w:p>
      <w:pPr>
        <w:spacing w:line="560" w:lineRule="exact"/>
        <w:rPr>
          <w:rFonts w:hint="eastAsia" w:ascii="宋体" w:hAnsi="宋体"/>
          <w:sz w:val="24"/>
          <w:szCs w:val="21"/>
        </w:rPr>
      </w:pPr>
      <w:r>
        <w:rPr>
          <w:rFonts w:hint="eastAsia" w:ascii="宋体" w:hAnsi="宋体"/>
          <w:sz w:val="24"/>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w:t>
      </w:r>
      <w:r>
        <w:rPr>
          <w:rFonts w:ascii="宋体" w:hAnsi="宋体"/>
          <w:sz w:val="24"/>
          <w:szCs w:val="24"/>
        </w:rPr>
        <w:t xml:space="preserve">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p>
    <w:p>
      <w:pPr>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p>
    <w:p>
      <w:pPr>
        <w:spacing w:line="460" w:lineRule="exact"/>
        <w:rPr>
          <w:rFonts w:hint="eastAsia" w:ascii="宋体" w:hAnsi="宋体"/>
          <w:bCs/>
          <w:sz w:val="24"/>
          <w:szCs w:val="21"/>
        </w:rPr>
      </w:pPr>
      <w:r>
        <w:rPr>
          <w:rFonts w:hint="eastAsia" w:ascii="宋体" w:hAnsi="宋体"/>
          <w:bCs/>
          <w:sz w:val="24"/>
          <w:szCs w:val="21"/>
        </w:rPr>
      </w:r>
      <w:bookmarkEnd w:id="176"/>
      <w:bookmarkEnd w:id="177"/>
      <w:bookmarkEnd w:id="190"/>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p>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2"/>
        <w:rFonts w:ascii="宋体" w:hAnsi="宋体"/>
      </w:rPr>
      <w:framePr w:wrap="around" w:vAnchor="text" w:hAnchor="page" w:x="5924" w:y="1"/>
    </w:pPr>
    <w:r>
      <w:rPr>
        <w:rFonts w:ascii="宋体" w:hAnsi="宋体"/>
      </w:rPr>
      <w:fldChar w:fldCharType="begin"/>
    </w:r>
    <w:r>
      <w:rPr>
        <w:rStyle w:val="922"/>
        <w:rFonts w:ascii="宋体" w:hAnsi="宋体"/>
      </w:rPr>
      <w:instrText xml:space="preserve">PAGE  </w:instrText>
    </w:r>
    <w:r>
      <w:rPr>
        <w:rFonts w:ascii="宋体" w:hAnsi="宋体"/>
      </w:rPr>
      <w:fldChar w:fldCharType="separate"/>
    </w:r>
    <w:r>
      <w:rPr>
        <w:rStyle w:val="922"/>
        <w:rFonts w:ascii="宋体" w:hAnsi="宋体"/>
      </w:rPr>
      <w:t xml:space="preserve">23</w:t>
    </w:r>
    <w:r>
      <w:rPr>
        <w:rFonts w:ascii="宋体" w:hAnsi="宋体"/>
      </w:rPr>
      <w:fldChar w:fldCharType="end"/>
    </w:r>
    <w:r/>
  </w:p>
  <w:p>
    <w:pPr>
      <w:pStyle w:val="897"/>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26"/>
    <w:uiPriority w:val="0"/>
    <w:qFormat/>
    <w:pPr>
      <w:jc w:val="both"/>
      <w:widowControl w:val="off"/>
    </w:pPr>
    <w:rPr>
      <w:rFonts w:hint="default" w:ascii="Calibri" w:hAnsi="Calibri" w:eastAsia="宋体" w:cs="Times New Roman"/>
      <w:sz w:val="21"/>
      <w:szCs w:val="22"/>
      <w:lang w:val="en-US" w:eastAsia="zh-CN" w:bidi="ar-SA"/>
    </w:rPr>
  </w:style>
  <w:style w:type="paragraph" w:styleId="671">
    <w:name w:val="Heading 1"/>
    <w:basedOn w:val="670"/>
    <w:next w:val="670"/>
    <w:link w:val="70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0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toc 5"/>
    <w:basedOn w:val="670"/>
    <w:next w:val="670"/>
    <w:uiPriority w:val="39"/>
    <w:unhideWhenUsed/>
    <w:qFormat/>
    <w:pPr>
      <w:ind w:left="1134" w:right="0" w:firstLine="0"/>
      <w:spacing w:after="57"/>
    </w:pPr>
  </w:style>
  <w:style w:type="paragraph" w:styleId="685">
    <w:name w:val="toc 3"/>
    <w:basedOn w:val="670"/>
    <w:next w:val="670"/>
    <w:uiPriority w:val="39"/>
    <w:unhideWhenUsed/>
    <w:qFormat/>
    <w:pPr>
      <w:ind w:left="567" w:right="0" w:firstLine="0"/>
      <w:spacing w:after="57"/>
    </w:pPr>
  </w:style>
  <w:style w:type="paragraph" w:styleId="686">
    <w:name w:val="toc 8"/>
    <w:basedOn w:val="670"/>
    <w:next w:val="670"/>
    <w:uiPriority w:val="39"/>
    <w:unhideWhenUsed/>
    <w:qFormat/>
    <w:pPr>
      <w:ind w:left="1984" w:right="0" w:firstLine="0"/>
      <w:spacing w:after="57"/>
    </w:pPr>
  </w:style>
  <w:style w:type="paragraph" w:styleId="687">
    <w:name w:val="endnote text"/>
    <w:basedOn w:val="670"/>
    <w:link w:val="849"/>
    <w:uiPriority w:val="99"/>
    <w:semiHidden/>
    <w:unhideWhenUsed/>
    <w:qFormat/>
    <w:pPr>
      <w:spacing w:after="0" w:line="240" w:lineRule="auto"/>
    </w:pPr>
    <w:rPr>
      <w:sz w:val="20"/>
    </w:rPr>
  </w:style>
  <w:style w:type="paragraph" w:styleId="688">
    <w:name w:val="Footer"/>
    <w:basedOn w:val="670"/>
    <w:link w:val="722"/>
    <w:uiPriority w:val="99"/>
    <w:unhideWhenUsed/>
    <w:qFormat/>
    <w:pPr>
      <w:spacing w:after="0" w:line="240" w:lineRule="auto"/>
      <w:tabs>
        <w:tab w:val="center" w:pos="7143" w:leader="none"/>
        <w:tab w:val="right" w:pos="14287" w:leader="none"/>
      </w:tabs>
    </w:pPr>
  </w:style>
  <w:style w:type="paragraph" w:styleId="689">
    <w:name w:val="Header"/>
    <w:basedOn w:val="670"/>
    <w:link w:val="720"/>
    <w:uiPriority w:val="99"/>
    <w:unhideWhenUsed/>
    <w:qFormat/>
    <w:pPr>
      <w:spacing w:after="0" w:line="240" w:lineRule="auto"/>
      <w:tabs>
        <w:tab w:val="center" w:pos="7143" w:leader="none"/>
        <w:tab w:val="right" w:pos="14287" w:leader="none"/>
      </w:tabs>
    </w:pPr>
  </w:style>
  <w:style w:type="paragraph" w:styleId="690">
    <w:name w:val="toc 1"/>
    <w:basedOn w:val="670"/>
    <w:next w:val="670"/>
    <w:uiPriority w:val="39"/>
    <w:unhideWhenUsed/>
    <w:qFormat/>
    <w:pPr>
      <w:ind w:left="0" w:right="0" w:firstLine="0"/>
      <w:spacing w:after="57"/>
    </w:pPr>
  </w:style>
  <w:style w:type="paragraph" w:styleId="691">
    <w:name w:val="toc 4"/>
    <w:basedOn w:val="670"/>
    <w:next w:val="670"/>
    <w:uiPriority w:val="39"/>
    <w:unhideWhenUsed/>
    <w:qFormat/>
    <w:pPr>
      <w:ind w:left="850" w:right="0" w:firstLine="0"/>
      <w:spacing w:after="57"/>
    </w:pPr>
  </w:style>
  <w:style w:type="paragraph" w:styleId="692">
    <w:name w:val="Subtitle"/>
    <w:basedOn w:val="670"/>
    <w:next w:val="670"/>
    <w:link w:val="715"/>
    <w:uiPriority w:val="11"/>
    <w:qFormat/>
    <w:pPr>
      <w:spacing w:before="200" w:after="200"/>
    </w:pPr>
    <w:rPr>
      <w:sz w:val="24"/>
      <w:szCs w:val="24"/>
    </w:rPr>
  </w:style>
  <w:style w:type="paragraph" w:styleId="693">
    <w:name w:val="footnote text"/>
    <w:basedOn w:val="670"/>
    <w:link w:val="848"/>
    <w:uiPriority w:val="99"/>
    <w:semiHidden/>
    <w:unhideWhenUsed/>
    <w:qFormat/>
    <w:pPr>
      <w:spacing w:after="40" w:line="240" w:lineRule="auto"/>
    </w:pPr>
    <w:rPr>
      <w:sz w:val="18"/>
    </w:rPr>
  </w:style>
  <w:style w:type="paragraph" w:styleId="694">
    <w:name w:val="toc 6"/>
    <w:basedOn w:val="670"/>
    <w:next w:val="670"/>
    <w:uiPriority w:val="39"/>
    <w:unhideWhenUsed/>
    <w:qFormat/>
    <w:pPr>
      <w:ind w:left="1417" w:right="0" w:firstLine="0"/>
      <w:spacing w:after="57"/>
    </w:pPr>
  </w:style>
  <w:style w:type="paragraph" w:styleId="695">
    <w:name w:val="table of figures"/>
    <w:basedOn w:val="670"/>
    <w:next w:val="670"/>
    <w:uiPriority w:val="99"/>
    <w:unhideWhenUsed/>
    <w:qFormat/>
    <w:pPr>
      <w:spacing w:after="0" w:afterAutospacing="0"/>
    </w:pPr>
  </w:style>
  <w:style w:type="paragraph" w:styleId="696">
    <w:name w:val="toc 2"/>
    <w:basedOn w:val="670"/>
    <w:next w:val="670"/>
    <w:uiPriority w:val="39"/>
    <w:unhideWhenUsed/>
    <w:qFormat/>
    <w:pPr>
      <w:ind w:left="283" w:right="0" w:firstLine="0"/>
      <w:spacing w:after="57"/>
    </w:pPr>
  </w:style>
  <w:style w:type="paragraph" w:styleId="697">
    <w:name w:val="toc 9"/>
    <w:basedOn w:val="670"/>
    <w:next w:val="670"/>
    <w:uiPriority w:val="39"/>
    <w:unhideWhenUsed/>
    <w:qFormat/>
    <w:pPr>
      <w:ind w:left="2268" w:right="0" w:firstLine="0"/>
      <w:spacing w:after="57"/>
    </w:pPr>
  </w:style>
  <w:style w:type="paragraph" w:styleId="698">
    <w:name w:val="Title"/>
    <w:basedOn w:val="670"/>
    <w:next w:val="670"/>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71"/>
    <w:uiPriority w:val="9"/>
    <w:qFormat/>
    <w:rPr>
      <w:rFonts w:ascii="Arial" w:hAnsi="Arial" w:eastAsia="Arial" w:cs="Arial"/>
      <w:sz w:val="40"/>
      <w:szCs w:val="40"/>
    </w:rPr>
  </w:style>
  <w:style w:type="character" w:styleId="704" w:customStyle="1">
    <w:name w:val="Heading 2 Char"/>
    <w:link w:val="672"/>
    <w:uiPriority w:val="9"/>
    <w:qFormat/>
    <w:rPr>
      <w:rFonts w:ascii="Arial" w:hAnsi="Arial" w:eastAsia="Arial" w:cs="Arial"/>
      <w:sz w:val="34"/>
    </w:rPr>
  </w:style>
  <w:style w:type="character" w:styleId="705" w:customStyle="1">
    <w:name w:val="Heading 3 Char"/>
    <w:link w:val="673"/>
    <w:uiPriority w:val="9"/>
    <w:qFormat/>
    <w:rPr>
      <w:rFonts w:ascii="Arial" w:hAnsi="Arial" w:eastAsia="Arial" w:cs="Arial"/>
      <w:sz w:val="30"/>
      <w:szCs w:val="30"/>
    </w:rPr>
  </w:style>
  <w:style w:type="character" w:styleId="706" w:customStyle="1">
    <w:name w:val="Heading 4 Char"/>
    <w:link w:val="674"/>
    <w:uiPriority w:val="9"/>
    <w:qFormat/>
    <w:rPr>
      <w:rFonts w:ascii="Arial" w:hAnsi="Arial" w:eastAsia="Arial" w:cs="Arial"/>
      <w:b/>
      <w:bCs/>
      <w:sz w:val="26"/>
      <w:szCs w:val="26"/>
    </w:rPr>
  </w:style>
  <w:style w:type="character" w:styleId="707" w:customStyle="1">
    <w:name w:val="Heading 5 Char"/>
    <w:link w:val="675"/>
    <w:uiPriority w:val="9"/>
    <w:qFormat/>
    <w:rPr>
      <w:rFonts w:ascii="Arial" w:hAnsi="Arial" w:eastAsia="Arial" w:cs="Arial"/>
      <w:b/>
      <w:bCs/>
      <w:sz w:val="24"/>
      <w:szCs w:val="24"/>
    </w:rPr>
  </w:style>
  <w:style w:type="character" w:styleId="708" w:customStyle="1">
    <w:name w:val="Heading 6 Char"/>
    <w:link w:val="676"/>
    <w:uiPriority w:val="9"/>
    <w:qFormat/>
    <w:rPr>
      <w:rFonts w:ascii="Arial" w:hAnsi="Arial" w:eastAsia="Arial" w:cs="Arial"/>
      <w:b/>
      <w:bCs/>
      <w:sz w:val="22"/>
      <w:szCs w:val="22"/>
    </w:rPr>
  </w:style>
  <w:style w:type="character" w:styleId="709" w:customStyle="1">
    <w:name w:val="Heading 7 Char"/>
    <w:link w:val="677"/>
    <w:uiPriority w:val="9"/>
    <w:qFormat/>
    <w:rPr>
      <w:rFonts w:ascii="Arial" w:hAnsi="Arial" w:eastAsia="Arial" w:cs="Arial"/>
      <w:b/>
      <w:bCs/>
      <w:i/>
      <w:iCs/>
      <w:sz w:val="22"/>
      <w:szCs w:val="22"/>
    </w:rPr>
  </w:style>
  <w:style w:type="character" w:styleId="710" w:customStyle="1">
    <w:name w:val="Heading 8 Char"/>
    <w:link w:val="678"/>
    <w:uiPriority w:val="9"/>
    <w:qFormat/>
    <w:rPr>
      <w:rFonts w:ascii="Arial" w:hAnsi="Arial" w:eastAsia="Arial" w:cs="Arial"/>
      <w:i/>
      <w:iCs/>
      <w:sz w:val="22"/>
      <w:szCs w:val="22"/>
    </w:rPr>
  </w:style>
  <w:style w:type="character" w:styleId="711" w:customStyle="1">
    <w:name w:val="Heading 9 Char"/>
    <w:link w:val="679"/>
    <w:uiPriority w:val="9"/>
    <w:qFormat/>
    <w:rPr>
      <w:rFonts w:ascii="Arial" w:hAnsi="Arial" w:eastAsia="Arial" w:cs="Arial"/>
      <w:i/>
      <w:iCs/>
      <w:sz w:val="21"/>
      <w:szCs w:val="21"/>
    </w:rPr>
  </w:style>
  <w:style w:type="paragraph" w:styleId="712">
    <w:name w:val="List Paragraph"/>
    <w:basedOn w:val="670"/>
    <w:uiPriority w:val="34"/>
    <w:qFormat/>
    <w:pPr>
      <w:contextualSpacing/>
      <w:ind w:left="720"/>
    </w:pPr>
  </w:style>
  <w:style w:type="paragraph" w:styleId="713">
    <w:name w:val="No Spacing"/>
    <w:uiPriority w:val="1"/>
    <w:qFormat/>
    <w:pPr>
      <w:spacing w:before="0" w:after="0" w:line="240" w:lineRule="auto"/>
    </w:pPr>
    <w:rPr>
      <w:rFonts w:hint="default" w:ascii="Calibri" w:hAnsi="Calibri"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70"/>
    <w:next w:val="670"/>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70"/>
    <w:next w:val="6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Calibri" w:hAnsi="Calibri" w:eastAsia="宋体" w:cs="Times New Roman"/>
    </w:rPr>
  </w:style>
  <w:style w:type="paragraph" w:styleId="851" w:customStyle="1">
    <w:name w:val="标题 11"/>
    <w:basedOn w:val="670"/>
    <w:next w:val="670"/>
    <w:link w:val="863"/>
    <w:uiPriority w:val="0"/>
    <w:qFormat/>
    <w:pPr>
      <w:jc w:val="center"/>
      <w:keepNext/>
      <w:outlineLvl w:val="0"/>
    </w:pPr>
    <w:rPr>
      <w:rFonts w:ascii="楷体_GB2312" w:hAnsi="Times New Roman" w:eastAsia="楷体_GB2312" w:cs="Times New Roman"/>
      <w:sz w:val="28"/>
      <w:szCs w:val="28"/>
    </w:rPr>
  </w:style>
  <w:style w:type="paragraph" w:styleId="852" w:customStyle="1">
    <w:name w:val="标题 211"/>
    <w:basedOn w:val="670"/>
    <w:next w:val="853"/>
    <w:link w:val="8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3" w:customStyle="1">
    <w:name w:val="正文缩进1"/>
    <w:basedOn w:val="670"/>
    <w:link w:val="865"/>
    <w:uiPriority w:val="0"/>
    <w:qFormat/>
    <w:pPr>
      <w:ind w:firstLine="420"/>
    </w:pPr>
    <w:rPr>
      <w:szCs w:val="21"/>
    </w:rPr>
  </w:style>
  <w:style w:type="paragraph" w:styleId="854" w:customStyle="1">
    <w:name w:val="标题 31"/>
    <w:basedOn w:val="670"/>
    <w:next w:val="853"/>
    <w:link w:val="86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5" w:customStyle="1">
    <w:name w:val="标题 41"/>
    <w:basedOn w:val="670"/>
    <w:next w:val="853"/>
    <w:link w:val="867"/>
    <w:uiPriority w:val="0"/>
    <w:qFormat/>
    <w:pPr>
      <w:keepLines/>
      <w:keepNext/>
      <w:spacing w:before="280" w:after="290" w:line="376" w:lineRule="auto"/>
      <w:outlineLvl w:val="3"/>
    </w:pPr>
    <w:rPr>
      <w:rFonts w:ascii="Arial" w:hAnsi="Arial" w:eastAsia="黑体" w:cs="Arial"/>
      <w:b/>
      <w:bCs/>
      <w:sz w:val="28"/>
      <w:szCs w:val="28"/>
    </w:rPr>
  </w:style>
  <w:style w:type="paragraph" w:styleId="856" w:customStyle="1">
    <w:name w:val="标题 51"/>
    <w:basedOn w:val="670"/>
    <w:next w:val="853"/>
    <w:link w:val="868"/>
    <w:uiPriority w:val="0"/>
    <w:qFormat/>
    <w:pPr>
      <w:keepNext/>
      <w:outlineLvl w:val="4"/>
    </w:pPr>
    <w:rPr>
      <w:rFonts w:ascii="宋体" w:hAnsi="Times New Roman" w:eastAsia="宋体" w:cs="Times New Roman"/>
      <w:color w:val="000000"/>
      <w:sz w:val="28"/>
      <w:szCs w:val="28"/>
    </w:rPr>
  </w:style>
  <w:style w:type="paragraph" w:styleId="857" w:customStyle="1">
    <w:name w:val="标题 61"/>
    <w:basedOn w:val="670"/>
    <w:next w:val="670"/>
    <w:link w:val="86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8" w:customStyle="1">
    <w:name w:val="标题 71"/>
    <w:basedOn w:val="670"/>
    <w:next w:val="670"/>
    <w:link w:val="87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9" w:customStyle="1">
    <w:name w:val="标题 81"/>
    <w:basedOn w:val="670"/>
    <w:next w:val="670"/>
    <w:link w:val="87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0" w:customStyle="1">
    <w:name w:val="标题 91"/>
    <w:basedOn w:val="670"/>
    <w:next w:val="670"/>
    <w:link w:val="87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1" w:customStyle="1">
    <w:name w:val="默认段落字体1"/>
    <w:link w:val="670"/>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70"/>
    <w:uiPriority w:val="0"/>
    <w:qFormat/>
    <w:pPr>
      <w:ind w:left="100" w:hanging="200"/>
    </w:pPr>
    <w:rPr>
      <w:rFonts w:ascii="Times New Roman" w:hAnsi="Times New Roman" w:eastAsia="宋体" w:cs="Times New Roman"/>
      <w:szCs w:val="21"/>
    </w:rPr>
  </w:style>
  <w:style w:type="paragraph" w:styleId="874" w:customStyle="1">
    <w:name w:val="目录 71"/>
    <w:basedOn w:val="670"/>
    <w:next w:val="670"/>
    <w:uiPriority w:val="0"/>
    <w:semiHidden/>
    <w:qFormat/>
    <w:pPr>
      <w:ind w:left="1260"/>
      <w:jc w:val="left"/>
    </w:pPr>
    <w:rPr>
      <w:rFonts w:ascii="Times New Roman" w:hAnsi="Times New Roman" w:eastAsia="宋体" w:cs="Times New Roman"/>
      <w:szCs w:val="21"/>
    </w:rPr>
  </w:style>
  <w:style w:type="paragraph" w:styleId="875" w:customStyle="1">
    <w:name w:val="文档结构图1"/>
    <w:basedOn w:val="670"/>
    <w:link w:val="876"/>
    <w:uiPriority w:val="0"/>
    <w:semiHidden/>
    <w:qFormat/>
    <w:pPr>
      <w:shd w:val="clear" w:color="auto" w:fill="000080"/>
    </w:pPr>
    <w:rPr>
      <w:rFonts w:ascii="Times New Roman" w:hAnsi="Times New Roman" w:eastAsia="宋体" w:cs="Times New Roman"/>
      <w:szCs w:val="21"/>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70"/>
    <w:link w:val="878"/>
    <w:uiPriority w:val="0"/>
    <w:unhideWhenUsed/>
    <w:qFormat/>
    <w:pPr>
      <w:jc w:val="left"/>
    </w:pPr>
  </w:style>
  <w:style w:type="character" w:styleId="878" w:customStyle="1">
    <w:name w:val="批注文字 Char"/>
    <w:link w:val="877"/>
    <w:uiPriority w:val="99"/>
    <w:semiHidden/>
    <w:qFormat/>
  </w:style>
  <w:style w:type="paragraph" w:styleId="879" w:customStyle="1">
    <w:name w:val="正文文本 31"/>
    <w:basedOn w:val="670"/>
    <w:link w:val="880"/>
    <w:uiPriority w:val="0"/>
    <w:qFormat/>
    <w:rPr>
      <w:rFonts w:ascii="仿宋_GB2312" w:hAnsi="Arial" w:eastAsia="仿宋_GB2312" w:cs="Times New Roman"/>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70"/>
    <w:link w:val="882"/>
    <w:uiPriority w:val="0"/>
    <w:qFormat/>
    <w:rPr>
      <w:rFonts w:ascii="楷体_GB2312" w:hAnsi="Arial" w:eastAsia="楷体_GB2312" w:cs="Times New Roman"/>
      <w:sz w:val="28"/>
      <w:szCs w:val="28"/>
    </w:rPr>
  </w:style>
  <w:style w:type="character" w:styleId="882" w:customStyle="1">
    <w:name w:val="正文文本 Char"/>
    <w:link w:val="881"/>
    <w:uiPriority w:val="0"/>
    <w:qFormat/>
    <w:rPr>
      <w:rFonts w:ascii="楷体_GB2312" w:hAnsi="Arial" w:eastAsia="楷体_GB2312" w:cs="Times New Roman"/>
      <w:sz w:val="28"/>
      <w:szCs w:val="28"/>
    </w:rPr>
  </w:style>
  <w:style w:type="paragraph" w:styleId="883" w:customStyle="1">
    <w:name w:val="正文文本缩进1"/>
    <w:basedOn w:val="670"/>
    <w:link w:val="884"/>
    <w:uiPriority w:val="0"/>
    <w:unhideWhenUsed/>
    <w:qFormat/>
    <w:pPr>
      <w:ind w:left="420"/>
      <w:spacing w:after="120"/>
    </w:pPr>
  </w:style>
  <w:style w:type="character" w:styleId="884" w:customStyle="1">
    <w:name w:val="正文文本缩进 Char"/>
    <w:link w:val="883"/>
    <w:uiPriority w:val="99"/>
    <w:semiHidden/>
    <w:qFormat/>
  </w:style>
  <w:style w:type="paragraph" w:styleId="885" w:customStyle="1">
    <w:name w:val="列表 21"/>
    <w:basedOn w:val="670"/>
    <w:uiPriority w:val="0"/>
    <w:qFormat/>
    <w:pPr>
      <w:ind w:left="100" w:hanging="200"/>
    </w:pPr>
    <w:rPr>
      <w:rFonts w:ascii="Times New Roman" w:hAnsi="Times New Roman" w:eastAsia="宋体" w:cs="Times New Roman"/>
      <w:szCs w:val="21"/>
    </w:rPr>
  </w:style>
  <w:style w:type="paragraph" w:styleId="886" w:customStyle="1">
    <w:name w:val="目录 51"/>
    <w:basedOn w:val="670"/>
    <w:next w:val="670"/>
    <w:uiPriority w:val="0"/>
    <w:semiHidden/>
    <w:qFormat/>
    <w:pPr>
      <w:ind w:left="840"/>
      <w:jc w:val="left"/>
    </w:pPr>
    <w:rPr>
      <w:rFonts w:ascii="Times New Roman" w:hAnsi="Times New Roman" w:eastAsia="宋体" w:cs="Times New Roman"/>
      <w:szCs w:val="21"/>
    </w:rPr>
  </w:style>
  <w:style w:type="paragraph" w:styleId="887" w:customStyle="1">
    <w:name w:val="目录 31"/>
    <w:basedOn w:val="670"/>
    <w:next w:val="670"/>
    <w:uiPriority w:val="0"/>
    <w:semiHidden/>
    <w:qFormat/>
    <w:pPr>
      <w:ind w:left="420"/>
      <w:jc w:val="left"/>
    </w:pPr>
    <w:rPr>
      <w:rFonts w:ascii="Times New Roman" w:hAnsi="Times New Roman" w:eastAsia="宋体" w:cs="Times New Roman"/>
      <w:i/>
      <w:iCs/>
      <w:szCs w:val="24"/>
    </w:rPr>
  </w:style>
  <w:style w:type="paragraph" w:styleId="888" w:customStyle="1">
    <w:name w:val="纯文本1"/>
    <w:basedOn w:val="670"/>
    <w:link w:val="889"/>
    <w:uiPriority w:val="0"/>
    <w:qFormat/>
    <w:rPr>
      <w:rFonts w:ascii="宋体" w:hAnsi="Courier New" w:eastAsia="宋体" w:cs="Courier New"/>
      <w:szCs w:val="21"/>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70"/>
    <w:next w:val="670"/>
    <w:uiPriority w:val="0"/>
    <w:semiHidden/>
    <w:qFormat/>
    <w:pPr>
      <w:ind w:left="1470"/>
      <w:jc w:val="left"/>
    </w:pPr>
    <w:rPr>
      <w:rFonts w:ascii="Times New Roman" w:hAnsi="Times New Roman" w:eastAsia="宋体" w:cs="Times New Roman"/>
      <w:szCs w:val="21"/>
    </w:rPr>
  </w:style>
  <w:style w:type="paragraph" w:styleId="891" w:customStyle="1">
    <w:name w:val="日期1"/>
    <w:basedOn w:val="670"/>
    <w:next w:val="670"/>
    <w:link w:val="892"/>
    <w:uiPriority w:val="0"/>
    <w:qFormat/>
    <w:rPr>
      <w:rFonts w:ascii="Times New Roman" w:hAnsi="Times New Roman" w:eastAsia="宋体" w:cs="Times New Roman"/>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70"/>
    <w:link w:val="894"/>
    <w:uiPriority w:val="0"/>
    <w:qFormat/>
    <w:pPr>
      <w:ind w:left="630" w:firstLine="645"/>
    </w:pPr>
    <w:rPr>
      <w:rFonts w:ascii="Arial" w:hAnsi="Arial" w:eastAsia="仿宋_GB2312" w:cs="Arial"/>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70"/>
    <w:link w:val="896"/>
    <w:uiPriority w:val="0"/>
    <w:semiHidden/>
    <w:qFormat/>
    <w:rPr>
      <w:rFonts w:ascii="Times New Roman" w:hAnsi="Times New Roman" w:eastAsia="宋体" w:cs="Times New Roman"/>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70"/>
    <w:link w:val="89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98" w:customStyle="1">
    <w:name w:val="页脚 Char"/>
    <w:link w:val="897"/>
    <w:uiPriority w:val="99"/>
    <w:qFormat/>
    <w:rPr>
      <w:rFonts w:ascii="Times New Roman" w:hAnsi="Times New Roman" w:eastAsia="宋体" w:cs="Times New Roman"/>
      <w:sz w:val="18"/>
      <w:szCs w:val="18"/>
    </w:rPr>
  </w:style>
  <w:style w:type="paragraph" w:styleId="899" w:customStyle="1">
    <w:name w:val="页眉1"/>
    <w:basedOn w:val="670"/>
    <w:link w:val="90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0" w:customStyle="1">
    <w:name w:val="页眉 Char"/>
    <w:link w:val="899"/>
    <w:uiPriority w:val="0"/>
    <w:qFormat/>
    <w:rPr>
      <w:rFonts w:ascii="Times New Roman" w:hAnsi="Times New Roman" w:eastAsia="宋体" w:cs="Times New Roman"/>
      <w:sz w:val="18"/>
      <w:szCs w:val="18"/>
    </w:rPr>
  </w:style>
  <w:style w:type="paragraph" w:styleId="901" w:customStyle="1">
    <w:name w:val="目录 11"/>
    <w:basedOn w:val="670"/>
    <w:next w:val="67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2" w:customStyle="1">
    <w:name w:val="目录 41"/>
    <w:basedOn w:val="670"/>
    <w:next w:val="670"/>
    <w:uiPriority w:val="0"/>
    <w:semiHidden/>
    <w:qFormat/>
    <w:pPr>
      <w:ind w:left="630"/>
      <w:jc w:val="left"/>
    </w:pPr>
    <w:rPr>
      <w:rFonts w:ascii="Times New Roman" w:hAnsi="Times New Roman" w:eastAsia="宋体" w:cs="Times New Roman"/>
      <w:szCs w:val="21"/>
    </w:rPr>
  </w:style>
  <w:style w:type="paragraph" w:styleId="903" w:customStyle="1">
    <w:name w:val="列表1"/>
    <w:basedOn w:val="670"/>
    <w:uiPriority w:val="0"/>
    <w:qFormat/>
    <w:pPr>
      <w:ind w:left="200" w:hanging="200"/>
    </w:pPr>
    <w:rPr>
      <w:rFonts w:ascii="Times New Roman" w:hAnsi="Times New Roman" w:eastAsia="宋体" w:cs="Times New Roman"/>
      <w:szCs w:val="21"/>
    </w:rPr>
  </w:style>
  <w:style w:type="paragraph" w:styleId="904" w:customStyle="1">
    <w:name w:val="目录 61"/>
    <w:basedOn w:val="670"/>
    <w:next w:val="670"/>
    <w:uiPriority w:val="0"/>
    <w:semiHidden/>
    <w:qFormat/>
    <w:pPr>
      <w:ind w:left="1050"/>
      <w:jc w:val="left"/>
    </w:pPr>
    <w:rPr>
      <w:rFonts w:ascii="Times New Roman" w:hAnsi="Times New Roman" w:eastAsia="宋体" w:cs="Times New Roman"/>
      <w:szCs w:val="21"/>
    </w:rPr>
  </w:style>
  <w:style w:type="paragraph" w:styleId="905" w:customStyle="1">
    <w:name w:val="正文文本缩进 31"/>
    <w:basedOn w:val="670"/>
    <w:link w:val="906"/>
    <w:uiPriority w:val="0"/>
    <w:qFormat/>
    <w:pPr>
      <w:ind w:left="645" w:firstLine="645"/>
    </w:pPr>
    <w:rPr>
      <w:rFonts w:ascii="Arial" w:hAnsi="Arial" w:eastAsia="仿宋_GB2312" w:cs="Arial"/>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70"/>
    <w:next w:val="670"/>
    <w:uiPriority w:val="0"/>
    <w:semiHidden/>
    <w:qFormat/>
    <w:pPr>
      <w:ind w:left="840" w:hanging="420"/>
    </w:pPr>
    <w:rPr>
      <w:rFonts w:ascii="Times New Roman" w:hAnsi="Times New Roman" w:eastAsia="宋体" w:cs="Times New Roman"/>
      <w:szCs w:val="21"/>
    </w:rPr>
  </w:style>
  <w:style w:type="paragraph" w:styleId="908" w:customStyle="1">
    <w:name w:val="目录 21"/>
    <w:basedOn w:val="670"/>
    <w:next w:val="670"/>
    <w:uiPriority w:val="0"/>
    <w:semiHidden/>
    <w:qFormat/>
    <w:pPr>
      <w:ind w:left="210"/>
      <w:jc w:val="left"/>
    </w:pPr>
    <w:rPr>
      <w:rFonts w:ascii="Times New Roman" w:hAnsi="Times New Roman" w:eastAsia="宋体" w:cs="Times New Roman"/>
      <w:smallCaps/>
      <w:szCs w:val="24"/>
    </w:rPr>
  </w:style>
  <w:style w:type="paragraph" w:styleId="909" w:customStyle="1">
    <w:name w:val="目录 91"/>
    <w:basedOn w:val="670"/>
    <w:next w:val="670"/>
    <w:uiPriority w:val="0"/>
    <w:semiHidden/>
    <w:qFormat/>
    <w:pPr>
      <w:ind w:left="1680"/>
      <w:jc w:val="left"/>
    </w:pPr>
    <w:rPr>
      <w:rFonts w:ascii="Times New Roman" w:hAnsi="Times New Roman" w:eastAsia="宋体" w:cs="Times New Roman"/>
      <w:szCs w:val="21"/>
    </w:rPr>
  </w:style>
  <w:style w:type="paragraph" w:styleId="910" w:customStyle="1">
    <w:name w:val="正文文本 21"/>
    <w:basedOn w:val="670"/>
    <w:link w:val="911"/>
    <w:uiPriority w:val="0"/>
    <w:qFormat/>
    <w:pPr>
      <w:jc w:val="center"/>
      <w:widowControl/>
    </w:pPr>
    <w:rPr>
      <w:rFonts w:ascii="楷体_GB2312" w:hAnsi="Times New Roman" w:eastAsia="楷体_GB2312" w:cs="Times New Roman"/>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普通(网站)1"/>
    <w:basedOn w:val="670"/>
    <w:uiPriority w:val="99"/>
    <w:qFormat/>
    <w:pPr>
      <w:jc w:val="left"/>
      <w:spacing w:before="100" w:beforeAutospacing="1" w:after="100" w:afterAutospacing="1"/>
      <w:widowControl/>
    </w:pPr>
    <w:rPr>
      <w:rFonts w:ascii="宋体" w:hAnsi="宋体" w:eastAsia="宋体" w:cs="宋体"/>
      <w:sz w:val="24"/>
      <w:szCs w:val="24"/>
    </w:rPr>
  </w:style>
  <w:style w:type="paragraph" w:styleId="913" w:customStyle="1">
    <w:name w:val="索引 11"/>
    <w:basedOn w:val="670"/>
    <w:next w:val="670"/>
    <w:uiPriority w:val="0"/>
    <w:semiHidden/>
    <w:qFormat/>
    <w:pPr>
      <w:spacing w:line="240" w:lineRule="atLeast"/>
    </w:pPr>
    <w:rPr>
      <w:rFonts w:ascii="Times New Roman" w:hAnsi="Times New Roman" w:eastAsia="宋体" w:cs="Times New Roman"/>
      <w:b/>
      <w:bCs/>
      <w:szCs w:val="21"/>
    </w:rPr>
  </w:style>
  <w:style w:type="paragraph" w:styleId="914" w:customStyle="1">
    <w:name w:val="批注主题1"/>
    <w:basedOn w:val="877"/>
    <w:next w:val="877"/>
    <w:link w:val="915"/>
    <w:uiPriority w:val="0"/>
    <w:semiHidden/>
    <w:qFormat/>
    <w:rPr>
      <w:rFonts w:ascii="Times New Roman" w:hAnsi="Times New Roman" w:eastAsia="宋体" w:cs="Times New Roman"/>
      <w:b/>
      <w:bCs/>
      <w:szCs w:val="21"/>
    </w:rPr>
  </w:style>
  <w:style w:type="character" w:styleId="915" w:customStyle="1">
    <w:name w:val="批注主题 Char"/>
    <w:link w:val="914"/>
    <w:uiPriority w:val="0"/>
    <w:semiHidden/>
    <w:qFormat/>
    <w:rPr>
      <w:rFonts w:ascii="Times New Roman" w:hAnsi="Times New Roman" w:eastAsia="宋体" w:cs="Times New Roman"/>
      <w:b/>
      <w:bCs/>
      <w:szCs w:val="21"/>
    </w:rPr>
  </w:style>
  <w:style w:type="paragraph" w:styleId="916" w:customStyle="1">
    <w:name w:val="正文首行缩进1"/>
    <w:basedOn w:val="670"/>
    <w:link w:val="917"/>
    <w:uiPriority w:val="0"/>
    <w:qFormat/>
    <w:pPr>
      <w:ind w:firstLine="200"/>
      <w:spacing w:line="360" w:lineRule="auto"/>
    </w:pPr>
    <w:rPr>
      <w:rFonts w:ascii="仿宋_GB2312" w:hAnsi="Times New Roman" w:eastAsia="仿宋_GB2312" w:cs="Times New Roman"/>
      <w:sz w:val="30"/>
      <w:szCs w:val="30"/>
    </w:rPr>
  </w:style>
  <w:style w:type="character" w:styleId="917" w:customStyle="1">
    <w:name w:val="正文首行缩进 Char"/>
    <w:link w:val="916"/>
    <w:uiPriority w:val="0"/>
    <w:qFormat/>
    <w:rPr>
      <w:rFonts w:ascii="仿宋_GB2312" w:hAnsi="Times New Roman" w:eastAsia="仿宋_GB2312" w:cs="Times New Roman"/>
      <w:sz w:val="30"/>
      <w:szCs w:val="30"/>
    </w:rPr>
  </w:style>
  <w:style w:type="paragraph" w:styleId="918" w:customStyle="1">
    <w:name w:val="正文首行缩进 21"/>
    <w:basedOn w:val="883"/>
    <w:link w:val="919"/>
    <w:uiPriority w:val="0"/>
    <w:qFormat/>
    <w:pPr>
      <w:ind w:left="0" w:firstLine="420"/>
      <w:spacing w:after="0" w:line="360" w:lineRule="auto"/>
    </w:pPr>
    <w:rPr>
      <w:rFonts w:ascii="宋体" w:hAnsi="宋体" w:eastAsia="宋体" w:cs="Times New Roman"/>
      <w:szCs w:val="20"/>
    </w:rPr>
  </w:style>
  <w:style w:type="character" w:styleId="919" w:customStyle="1">
    <w:name w:val="正文首行缩进 2 Char"/>
    <w:link w:val="918"/>
    <w:uiPriority w:val="0"/>
    <w:qFormat/>
    <w:rPr>
      <w:rFonts w:ascii="宋体" w:hAnsi="宋体" w:eastAsia="宋体" w:cs="Times New Roman"/>
      <w:szCs w:val="20"/>
    </w:rPr>
  </w:style>
  <w:style w:type="table" w:styleId="920"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1" w:customStyle="1">
    <w:name w:val="要点1"/>
    <w:link w:val="670"/>
    <w:uiPriority w:val="0"/>
    <w:qFormat/>
    <w:rPr>
      <w:b/>
      <w:bCs/>
    </w:rPr>
  </w:style>
  <w:style w:type="character" w:styleId="922" w:customStyle="1">
    <w:name w:val="页码1"/>
    <w:link w:val="670"/>
    <w:uiPriority w:val="0"/>
    <w:qFormat/>
  </w:style>
  <w:style w:type="character" w:styleId="923" w:customStyle="1">
    <w:name w:val="已访问的超链接1"/>
    <w:link w:val="670"/>
    <w:uiPriority w:val="0"/>
    <w:qFormat/>
    <w:rPr>
      <w:color w:val="800080"/>
      <w:u w:val="single"/>
    </w:rPr>
  </w:style>
  <w:style w:type="character" w:styleId="924" w:customStyle="1">
    <w:name w:val="超链接1"/>
    <w:link w:val="670"/>
    <w:uiPriority w:val="0"/>
    <w:qFormat/>
    <w:rPr>
      <w:color w:val="0000ff"/>
      <w:u w:val="single"/>
    </w:rPr>
  </w:style>
  <w:style w:type="character" w:styleId="925" w:customStyle="1">
    <w:name w:val="批注引用1"/>
    <w:link w:val="670"/>
    <w:uiPriority w:val="0"/>
    <w:semiHidden/>
    <w:qFormat/>
    <w:rPr>
      <w:sz w:val="21"/>
      <w:szCs w:val="21"/>
    </w:rPr>
  </w:style>
  <w:style w:type="character" w:styleId="926" w:customStyle="1">
    <w:name w:val="font5 Char"/>
    <w:link w:val="670"/>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70"/>
    <w:link w:val="92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70"/>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670"/>
    <w:next w:val="881"/>
    <w:uiPriority w:val="0"/>
    <w:qFormat/>
    <w:pPr>
      <w:spacing w:after="120"/>
    </w:pPr>
    <w:rPr>
      <w:rFonts w:ascii="宋体" w:hAnsi="Arial" w:eastAsia="宋体" w:cs="Times New Roman"/>
      <w:bCs/>
      <w:iCs/>
      <w:szCs w:val="24"/>
    </w:rPr>
  </w:style>
  <w:style w:type="paragraph" w:styleId="932"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Char"/>
    <w:basedOn w:val="670"/>
    <w:uiPriority w:val="0"/>
    <w:qFormat/>
    <w:pPr>
      <w:ind w:firstLine="200"/>
      <w:tabs>
        <w:tab w:val="left" w:pos="360" w:leader="none"/>
      </w:tabs>
    </w:pPr>
    <w:rPr>
      <w:rFonts w:ascii="Times New Roman" w:hAnsi="Times New Roman" w:eastAsia="宋体" w:cs="Times New Roman"/>
      <w:sz w:val="28"/>
      <w:szCs w:val="30"/>
    </w:rPr>
  </w:style>
  <w:style w:type="paragraph" w:styleId="935" w:customStyle="1">
    <w:name w:val=" Char"/>
    <w:basedOn w:val="875"/>
    <w:uiPriority w:val="0"/>
    <w:qFormat/>
    <w:rPr>
      <w:rFonts w:ascii="Tahoma" w:hAnsi="Tahoma"/>
      <w:sz w:val="24"/>
      <w:szCs w:val="24"/>
    </w:rPr>
  </w:style>
  <w:style w:type="paragraph" w:styleId="936" w:customStyle="1">
    <w:name w:val="普通正文"/>
    <w:basedOn w:val="670"/>
    <w:uiPriority w:val="0"/>
    <w:qFormat/>
    <w:pPr>
      <w:ind w:firstLine="480"/>
      <w:jc w:val="left"/>
      <w:spacing w:before="120" w:after="120" w:line="360" w:lineRule="auto"/>
    </w:pPr>
    <w:rPr>
      <w:rFonts w:ascii="Arial" w:hAnsi="Arial" w:eastAsia="宋体" w:cs="Times New Roman"/>
      <w:sz w:val="24"/>
      <w:szCs w:val="24"/>
    </w:rPr>
  </w:style>
  <w:style w:type="paragraph" w:styleId="937" w:customStyle="1">
    <w:name w:val="table_lines"/>
    <w:basedOn w:val="670"/>
    <w:uiPriority w:val="0"/>
    <w:qFormat/>
    <w:pPr>
      <w:jc w:val="left"/>
      <w:widowControl/>
    </w:pPr>
    <w:rPr>
      <w:rFonts w:ascii="Times New Roman" w:hAnsi="Times New Roman" w:eastAsia="宋体" w:cs="Times New Roman"/>
      <w:sz w:val="20"/>
      <w:szCs w:val="20"/>
      <w:lang w:val="de-DE" w:eastAsia="de-DE"/>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font7"/>
    <w:basedOn w:val="67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0" w:customStyle="1">
    <w:name w:val=" Char Char Char Char"/>
    <w:basedOn w:val="875"/>
    <w:uiPriority w:val="0"/>
    <w:qFormat/>
    <w:pPr>
      <w:spacing w:line="360" w:lineRule="auto"/>
    </w:pPr>
    <w:rPr>
      <w:rFonts w:ascii="Tahoma" w:hAnsi="Tahoma"/>
      <w:sz w:val="24"/>
      <w:szCs w:val="24"/>
    </w:rPr>
  </w:style>
  <w:style w:type="paragraph" w:styleId="941" w:customStyle="1">
    <w:name w:val="列出段落"/>
    <w:basedOn w:val="670"/>
    <w:uiPriority w:val="0"/>
    <w:qFormat/>
    <w:pPr>
      <w:contextualSpacing/>
      <w:ind w:left="720"/>
      <w:jc w:val="left"/>
      <w:widowControl/>
    </w:pPr>
    <w:rPr>
      <w:rFonts w:ascii="Calibri" w:hAnsi="Calibri" w:eastAsia="宋体" w:cs="Times New Roman"/>
      <w:sz w:val="24"/>
      <w:szCs w:val="24"/>
      <w:lang w:eastAsia="en-US" w:bidi="en-US"/>
    </w:rPr>
  </w:style>
  <w:style w:type="paragraph" w:styleId="942" w:customStyle="1">
    <w:name w:val="4"/>
    <w:basedOn w:val="670"/>
    <w:next w:val="905"/>
    <w:uiPriority w:val="0"/>
    <w:qFormat/>
    <w:pPr>
      <w:ind w:firstLine="420"/>
      <w:spacing w:line="360" w:lineRule="auto"/>
    </w:pPr>
    <w:rPr>
      <w:rFonts w:ascii="Times New Roman" w:hAnsi="Times New Roman" w:eastAsia="宋体" w:cs="Times New Roman"/>
      <w:color w:val="ff0000"/>
      <w:sz w:val="24"/>
      <w:szCs w:val="24"/>
    </w:rPr>
  </w:style>
  <w:style w:type="paragraph" w:styleId="943" w:customStyle="1">
    <w:name w:val="普通 (Web)"/>
    <w:basedOn w:val="670"/>
    <w:uiPriority w:val="0"/>
    <w:qFormat/>
    <w:pPr>
      <w:jc w:val="left"/>
      <w:spacing w:before="100" w:beforeAutospacing="1" w:after="100" w:afterAutospacing="1"/>
      <w:widowControl/>
    </w:pPr>
    <w:rPr>
      <w:rFonts w:ascii="宋体" w:hAnsi="宋体" w:eastAsia="宋体" w:cs="Times New Roman"/>
      <w:sz w:val="24"/>
      <w:szCs w:val="24"/>
    </w:rPr>
  </w:style>
  <w:style w:type="paragraph" w:styleId="944" w:customStyle="1">
    <w:name w:val=" Char Char Char Char Char Char Char Char Char Char"/>
    <w:basedOn w:val="670"/>
    <w:uiPriority w:val="0"/>
    <w:qFormat/>
    <w:pPr>
      <w:spacing w:line="360" w:lineRule="auto"/>
    </w:pPr>
    <w:rPr>
      <w:rFonts w:ascii="Times New Roman" w:hAnsi="Times New Roman" w:eastAsia="宋体" w:cs="Times New Roman"/>
      <w:sz w:val="24"/>
      <w:szCs w:val="20"/>
    </w:rPr>
  </w:style>
  <w:style w:type="paragraph" w:styleId="945" w:customStyle="1">
    <w:name w:val="样式1"/>
    <w:basedOn w:val="670"/>
    <w:uiPriority w:val="0"/>
    <w:qFormat/>
    <w:pPr>
      <w:numPr>
        <w:ilvl w:val="0"/>
        <w:numId w:val="3"/>
      </w:numPr>
    </w:pPr>
    <w:rPr>
      <w:rFonts w:ascii="宋体" w:hAnsi="宋体" w:eastAsia="宋体" w:cs="Times New Roman"/>
      <w:szCs w:val="21"/>
    </w:rPr>
  </w:style>
  <w:style w:type="paragraph" w:styleId="946" w:customStyle="1">
    <w:name w:val="font6"/>
    <w:basedOn w:val="67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7"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9" w:customStyle="1">
    <w:name w:val="标题3"/>
    <w:basedOn w:val="670"/>
    <w:next w:val="670"/>
    <w:uiPriority w:val="0"/>
    <w:qFormat/>
    <w:pPr>
      <w:ind w:firstLine="624"/>
      <w:spacing w:line="590" w:lineRule="atLeast"/>
    </w:pPr>
    <w:rPr>
      <w:rFonts w:ascii="方正黑体_GBK" w:hAnsi="Times New Roman" w:eastAsia="方正黑体_GBK" w:cs="Times New Roman"/>
      <w:sz w:val="32"/>
      <w:szCs w:val="32"/>
    </w:rPr>
  </w:style>
  <w:style w:type="paragraph" w:styleId="950"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2" w:customStyle="1">
    <w:name w:val="Char Char Char Char Char Char Char Char"/>
    <w:basedOn w:val="670"/>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4" w:customStyle="1">
    <w:name w:val=" Char Char Char Char Char Char Char Char"/>
    <w:basedOn w:val="670"/>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30"/>
    <w:basedOn w:val="67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6" w:customStyle="1">
    <w:name w:val="Char Char Char Char"/>
    <w:basedOn w:val="875"/>
    <w:uiPriority w:val="0"/>
    <w:qFormat/>
    <w:pPr>
      <w:spacing w:line="360" w:lineRule="auto"/>
    </w:pPr>
    <w:rPr>
      <w:rFonts w:ascii="Tahoma" w:hAnsi="Tahoma"/>
      <w:sz w:val="24"/>
      <w:szCs w:val="24"/>
    </w:rPr>
  </w:style>
  <w:style w:type="paragraph" w:styleId="957" w:customStyle="1">
    <w:name w:val="table_1stline"/>
    <w:basedOn w:val="670"/>
    <w:uiPriority w:val="0"/>
    <w:qFormat/>
    <w:pPr>
      <w:jc w:val="left"/>
      <w:spacing w:before="120"/>
      <w:widowControl/>
    </w:pPr>
    <w:rPr>
      <w:rFonts w:ascii="Times New Roman" w:hAnsi="Times New Roman" w:eastAsia="宋体" w:cs="Times New Roman"/>
      <w:bCs/>
      <w:sz w:val="20"/>
      <w:szCs w:val="20"/>
      <w:lang w:val="de-DE" w:eastAsia="de-DE"/>
    </w:rPr>
  </w:style>
  <w:style w:type="paragraph" w:styleId="958" w:customStyle="1">
    <w:name w:val="font5"/>
    <w:basedOn w:val="67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9" w:customStyle="1">
    <w:name w:val="标题1"/>
    <w:basedOn w:val="670"/>
    <w:next w:val="67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3" w:customStyle="1">
    <w:name w:val="标题 21"/>
    <w:basedOn w:val="670"/>
    <w:next w:val="670"/>
    <w:uiPriority w:val="0"/>
    <w:qFormat/>
    <w:pPr>
      <w:jc w:val="center"/>
      <w:keepLines/>
      <w:keepNext/>
      <w:spacing w:before="260" w:after="260" w:line="416" w:lineRule="auto"/>
      <w:outlineLvl w:val="1"/>
    </w:pPr>
    <w:rPr>
      <w:rFonts w:ascii="Arial" w:hAnsi="Arial" w:eastAsia="幼圆" w:cs="Arial"/>
      <w:b/>
      <w:bCs/>
      <w:sz w:val="44"/>
      <w:szCs w:val="44"/>
    </w:rPr>
  </w:style>
  <w:style w:type="numbering" w:styleId="77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6</cp:revision>
  <dcterms:created xsi:type="dcterms:W3CDTF">2023-03-27T07:28:00Z</dcterms:created>
  <dcterms:modified xsi:type="dcterms:W3CDTF">2026-03-10T01:20:44Z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357DDCDCE6FF4DC18B026F4FFCDB3214_12</vt:lpwstr>
  </property>
</Properties>
</file>