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9CF5A">
      <w:pPr>
        <w:pStyle w:val="207"/>
        <w:ind w:firstLine="0"/>
        <w:rPr>
          <w:rFonts w:hint="eastAsia" w:ascii="仿宋" w:hAnsi="仿宋" w:eastAsia="仿宋" w:cs="仿宋"/>
          <w:b/>
          <w:bCs/>
          <w:sz w:val="84"/>
        </w:rPr>
      </w:pPr>
    </w:p>
    <w:p w14:paraId="7FF48B1B">
      <w:pPr>
        <w:pStyle w:val="207"/>
        <w:ind w:firstLine="0"/>
        <w:jc w:val="center"/>
        <w:rPr>
          <w:rFonts w:hint="eastAsia" w:ascii="仿宋" w:hAnsi="仿宋" w:eastAsia="仿宋" w:cs="仿宋"/>
          <w:b/>
          <w:bCs/>
          <w:sz w:val="84"/>
        </w:rPr>
      </w:pPr>
      <w:r>
        <w:rPr>
          <w:rFonts w:hint="eastAsia" w:ascii="仿宋" w:hAnsi="仿宋" w:eastAsia="仿宋" w:cs="仿宋"/>
          <w:b/>
          <w:bCs/>
          <w:sz w:val="84"/>
        </w:rPr>
        <w:t>招　标　文　件</w:t>
      </w:r>
    </w:p>
    <w:p w14:paraId="63897BB9">
      <w:pPr>
        <w:spacing w:before="120" w:after="120" w:line="360" w:lineRule="auto"/>
        <w:jc w:val="center"/>
        <w:rPr>
          <w:rFonts w:hint="eastAsia" w:ascii="仿宋" w:hAnsi="仿宋" w:eastAsia="仿宋" w:cs="仿宋"/>
          <w:b/>
          <w:bCs/>
          <w:sz w:val="32"/>
          <w:szCs w:val="24"/>
        </w:rPr>
      </w:pPr>
      <w:r>
        <w:rPr>
          <w:rFonts w:hint="eastAsia" w:ascii="仿宋" w:hAnsi="仿宋" w:eastAsia="仿宋" w:cs="仿宋"/>
          <w:b/>
          <w:bCs/>
          <w:sz w:val="32"/>
          <w:szCs w:val="24"/>
        </w:rPr>
        <w:t>项目名称：</w:t>
      </w:r>
      <w:r>
        <w:rPr>
          <w:rFonts w:hint="eastAsia" w:ascii="仿宋" w:hAnsi="仿宋" w:eastAsia="仿宋" w:cs="仿宋"/>
          <w:b/>
          <w:bCs/>
          <w:sz w:val="32"/>
          <w:szCs w:val="24"/>
          <w:u w:val="single"/>
        </w:rPr>
        <w:t>如东县大豫镇环境卫生长效管护服务项目</w:t>
      </w:r>
    </w:p>
    <w:p w14:paraId="2C5C5E38">
      <w:pPr>
        <w:spacing w:before="120" w:after="120" w:line="360" w:lineRule="auto"/>
        <w:ind w:firstLine="964" w:firstLineChars="300"/>
        <w:rPr>
          <w:rFonts w:hint="eastAsia" w:ascii="仿宋" w:hAnsi="仿宋" w:eastAsia="仿宋" w:cs="仿宋"/>
          <w:b/>
          <w:bCs/>
          <w:sz w:val="32"/>
          <w:szCs w:val="24"/>
        </w:rPr>
      </w:pPr>
      <w:r>
        <w:rPr>
          <w:rFonts w:ascii="仿宋" w:hAnsi="仿宋" w:eastAsia="仿宋" w:cs="仿宋"/>
          <w:b/>
          <w:bCs/>
          <w:sz w:val="32"/>
          <w:szCs w:val="24"/>
        </w:rPr>
        <w:t>项目编号：</w:t>
      </w:r>
      <w:r>
        <w:rPr>
          <w:rFonts w:hint="eastAsia" w:ascii="仿宋" w:hAnsi="仿宋" w:eastAsia="仿宋" w:cs="仿宋"/>
          <w:b/>
          <w:bCs/>
          <w:sz w:val="32"/>
          <w:szCs w:val="24"/>
        </w:rPr>
        <w:t xml:space="preserve">JSZC-320623-NTCJ-G2026-0005 </w:t>
      </w:r>
    </w:p>
    <w:p w14:paraId="6E976767">
      <w:pPr>
        <w:spacing w:before="120" w:after="120" w:line="360" w:lineRule="auto"/>
        <w:ind w:left="2887" w:hanging="2249"/>
        <w:jc w:val="left"/>
        <w:rPr>
          <w:rFonts w:hint="eastAsia" w:ascii="仿宋" w:hAnsi="仿宋" w:eastAsia="仿宋" w:cs="仿宋"/>
          <w:b/>
          <w:bCs/>
          <w:sz w:val="32"/>
          <w:szCs w:val="24"/>
        </w:rPr>
      </w:pPr>
    </w:p>
    <w:p w14:paraId="4166CB2F">
      <w:pPr>
        <w:spacing w:before="120" w:after="120" w:line="360" w:lineRule="auto"/>
        <w:ind w:left="2887" w:hanging="2249"/>
        <w:jc w:val="left"/>
        <w:rPr>
          <w:rFonts w:hint="eastAsia" w:ascii="仿宋" w:hAnsi="仿宋" w:eastAsia="仿宋" w:cs="仿宋"/>
          <w:b/>
          <w:bCs/>
          <w:sz w:val="32"/>
          <w:szCs w:val="24"/>
        </w:rPr>
      </w:pPr>
    </w:p>
    <w:p w14:paraId="1F8DB227">
      <w:pPr>
        <w:spacing w:before="120" w:after="120" w:line="360" w:lineRule="auto"/>
        <w:ind w:left="2887" w:hanging="2249"/>
        <w:jc w:val="left"/>
        <w:rPr>
          <w:rFonts w:hint="eastAsia" w:ascii="仿宋" w:hAnsi="仿宋" w:eastAsia="仿宋" w:cs="仿宋"/>
          <w:b/>
          <w:bCs/>
          <w:sz w:val="32"/>
          <w:szCs w:val="24"/>
        </w:rPr>
      </w:pPr>
    </w:p>
    <w:p w14:paraId="19F8411C">
      <w:pPr>
        <w:spacing w:before="120" w:after="120" w:line="360" w:lineRule="auto"/>
        <w:ind w:left="2887" w:hanging="2249"/>
        <w:jc w:val="left"/>
        <w:rPr>
          <w:rFonts w:hint="eastAsia" w:ascii="仿宋" w:hAnsi="仿宋" w:eastAsia="仿宋" w:cs="仿宋"/>
          <w:b/>
          <w:bCs/>
          <w:sz w:val="32"/>
          <w:szCs w:val="24"/>
        </w:rPr>
      </w:pPr>
    </w:p>
    <w:p w14:paraId="63E698D3">
      <w:pPr>
        <w:pStyle w:val="2"/>
      </w:pPr>
    </w:p>
    <w:p w14:paraId="2081C5B3">
      <w:pPr>
        <w:pStyle w:val="78"/>
        <w:rPr>
          <w:rFonts w:hint="eastAsia" w:ascii="仿宋" w:hAnsi="仿宋" w:eastAsia="仿宋" w:cs="仿宋"/>
          <w:b/>
          <w:bCs/>
          <w:sz w:val="32"/>
          <w:szCs w:val="24"/>
        </w:rPr>
      </w:pPr>
    </w:p>
    <w:p w14:paraId="2D8A1ED9">
      <w:pPr>
        <w:pStyle w:val="78"/>
        <w:rPr>
          <w:rFonts w:hint="eastAsia" w:ascii="仿宋" w:hAnsi="仿宋" w:eastAsia="仿宋" w:cs="仿宋"/>
          <w:b/>
          <w:bCs/>
          <w:sz w:val="32"/>
          <w:szCs w:val="32"/>
        </w:rPr>
      </w:pPr>
    </w:p>
    <w:p w14:paraId="26CE34DD">
      <w:pPr>
        <w:pStyle w:val="78"/>
        <w:rPr>
          <w:rFonts w:hint="eastAsia" w:ascii="仿宋" w:hAnsi="仿宋" w:eastAsia="仿宋" w:cs="仿宋"/>
          <w:b/>
          <w:bCs/>
          <w:sz w:val="32"/>
          <w:szCs w:val="32"/>
        </w:rPr>
      </w:pPr>
    </w:p>
    <w:p w14:paraId="4FCEC771">
      <w:pPr>
        <w:pStyle w:val="78"/>
        <w:rPr>
          <w:rFonts w:hint="eastAsia" w:ascii="仿宋" w:hAnsi="仿宋" w:eastAsia="仿宋" w:cs="仿宋"/>
          <w:b/>
          <w:bCs/>
          <w:sz w:val="32"/>
          <w:szCs w:val="32"/>
        </w:rPr>
      </w:pPr>
    </w:p>
    <w:p w14:paraId="4AC62CFE">
      <w:pPr>
        <w:spacing w:before="120" w:after="12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  如东县大豫镇人民政府</w:t>
      </w:r>
    </w:p>
    <w:p w14:paraId="2FB8D82D">
      <w:pPr>
        <w:spacing w:before="120" w:after="120" w:line="360" w:lineRule="auto"/>
        <w:ind w:firstLine="3534"/>
        <w:jc w:val="left"/>
        <w:rPr>
          <w:rFonts w:hint="eastAsia" w:ascii="仿宋" w:hAnsi="仿宋" w:eastAsia="仿宋" w:cs="仿宋"/>
          <w:sz w:val="32"/>
          <w:szCs w:val="32"/>
        </w:rPr>
        <w:sectPr>
          <w:footerReference r:id="rId3" w:type="default"/>
          <w:pgSz w:w="11906" w:h="16838"/>
          <w:pgMar w:top="1191" w:right="1587" w:bottom="1191" w:left="1366" w:header="850" w:footer="907" w:gutter="0"/>
          <w:pgNumType w:start="0"/>
          <w:cols w:space="0" w:num="1"/>
          <w:docGrid w:linePitch="360" w:charSpace="0"/>
        </w:sectPr>
      </w:pPr>
      <w:r>
        <w:rPr>
          <w:rFonts w:hint="eastAsia" w:ascii="仿宋" w:hAnsi="仿宋" w:eastAsia="仿宋" w:cs="仿宋"/>
          <w:b/>
          <w:bCs/>
          <w:sz w:val="32"/>
          <w:szCs w:val="32"/>
        </w:rPr>
        <w:t xml:space="preserve">二O二六年三月  </w:t>
      </w:r>
    </w:p>
    <w:p w14:paraId="614A1043">
      <w:pPr>
        <w:pStyle w:val="207"/>
        <w:ind w:firstLine="0"/>
        <w:jc w:val="both"/>
        <w:rPr>
          <w:rFonts w:hint="eastAsia" w:ascii="仿宋" w:hAnsi="仿宋" w:eastAsia="仿宋" w:cs="仿宋"/>
        </w:rPr>
      </w:pPr>
    </w:p>
    <w:p w14:paraId="715EB2FA">
      <w:pPr>
        <w:spacing w:line="480" w:lineRule="auto"/>
        <w:ind w:firstLine="3570"/>
        <w:rPr>
          <w:rFonts w:hint="eastAsia" w:ascii="仿宋" w:hAnsi="仿宋" w:eastAsia="仿宋" w:cs="仿宋"/>
          <w:b/>
          <w:sz w:val="44"/>
        </w:rPr>
      </w:pPr>
      <w:bookmarkStart w:id="0" w:name="_Toc120614210"/>
      <w:bookmarkStart w:id="1" w:name="_Toc479757206"/>
      <w:bookmarkStart w:id="2" w:name="_Toc513029200"/>
      <w:bookmarkStart w:id="3" w:name="_Toc20823272"/>
      <w:bookmarkStart w:id="4" w:name="_Toc16938516"/>
      <w:bookmarkStart w:id="5" w:name="_Toc523127445"/>
      <w:r>
        <w:rPr>
          <w:rFonts w:hint="eastAsia" w:ascii="仿宋" w:hAnsi="仿宋" w:eastAsia="仿宋" w:cs="仿宋"/>
          <w:b/>
          <w:sz w:val="44"/>
        </w:rPr>
        <w:t>总  目  录</w:t>
      </w:r>
    </w:p>
    <w:p w14:paraId="59051C73">
      <w:pPr>
        <w:rPr>
          <w:rFonts w:hint="eastAsia" w:ascii="仿宋" w:hAnsi="仿宋" w:eastAsia="仿宋" w:cs="仿宋"/>
        </w:rPr>
      </w:pPr>
    </w:p>
    <w:p w14:paraId="34215CE4">
      <w:pPr>
        <w:rPr>
          <w:rFonts w:hint="eastAsia" w:ascii="仿宋" w:hAnsi="仿宋" w:eastAsia="仿宋" w:cs="仿宋"/>
        </w:rPr>
      </w:pPr>
    </w:p>
    <w:p w14:paraId="7EF56CFE">
      <w:pPr>
        <w:pStyle w:val="24"/>
        <w:rPr>
          <w:rFonts w:asciiTheme="minorHAnsi" w:hAnsiTheme="minorHAnsi" w:eastAsiaTheme="minorEastAsia" w:cstheme="minorBidi"/>
          <w:caps w:val="0"/>
          <w:sz w:val="21"/>
          <w:szCs w:val="22"/>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fldChar w:fldCharType="begin"/>
      </w:r>
      <w:r>
        <w:instrText xml:space="preserve"> HYPERLINK \l "_Toc186493267" </w:instrText>
      </w:r>
      <w:r>
        <w:fldChar w:fldCharType="separate"/>
      </w:r>
      <w:r>
        <w:rPr>
          <w:rStyle w:val="42"/>
          <w:rFonts w:hint="eastAsia" w:ascii="仿宋" w:hAnsi="仿宋" w:eastAsia="仿宋" w:cs="仿宋"/>
          <w:b/>
          <w:bCs/>
          <w:color w:val="auto"/>
        </w:rPr>
        <w:t>第一章</w:t>
      </w:r>
      <w:r>
        <w:rPr>
          <w:rStyle w:val="42"/>
          <w:rFonts w:ascii="仿宋" w:hAnsi="仿宋" w:eastAsia="仿宋" w:cs="仿宋"/>
          <w:b/>
          <w:bCs/>
          <w:color w:val="auto"/>
        </w:rPr>
        <w:t xml:space="preserve">  </w:t>
      </w:r>
      <w:r>
        <w:rPr>
          <w:rStyle w:val="42"/>
          <w:rFonts w:hint="eastAsia" w:ascii="仿宋" w:hAnsi="仿宋" w:eastAsia="仿宋" w:cs="仿宋"/>
          <w:b/>
          <w:bCs/>
          <w:color w:val="auto"/>
        </w:rPr>
        <w:t>投标邀请</w:t>
      </w:r>
      <w:r>
        <w:tab/>
      </w:r>
      <w:r>
        <w:fldChar w:fldCharType="begin"/>
      </w:r>
      <w:r>
        <w:instrText xml:space="preserve"> PAGEREF _Toc186493267 \h </w:instrText>
      </w:r>
      <w:r>
        <w:fldChar w:fldCharType="separate"/>
      </w:r>
      <w:r>
        <w:t>1</w:t>
      </w:r>
      <w:r>
        <w:fldChar w:fldCharType="end"/>
      </w:r>
      <w:r>
        <w:fldChar w:fldCharType="end"/>
      </w:r>
    </w:p>
    <w:p w14:paraId="28634822">
      <w:pPr>
        <w:pStyle w:val="24"/>
        <w:rPr>
          <w:rFonts w:asciiTheme="minorHAnsi" w:hAnsiTheme="minorHAnsi" w:eastAsiaTheme="minorEastAsia" w:cstheme="minorBidi"/>
          <w:caps w:val="0"/>
          <w:sz w:val="21"/>
          <w:szCs w:val="22"/>
        </w:rPr>
      </w:pPr>
      <w:r>
        <w:fldChar w:fldCharType="begin"/>
      </w:r>
      <w:r>
        <w:instrText xml:space="preserve"> HYPERLINK \l "_Toc186493268" </w:instrText>
      </w:r>
      <w:r>
        <w:fldChar w:fldCharType="separate"/>
      </w:r>
      <w:r>
        <w:rPr>
          <w:rStyle w:val="42"/>
          <w:rFonts w:hint="eastAsia" w:ascii="仿宋" w:hAnsi="仿宋" w:eastAsia="仿宋" w:cs="仿宋"/>
          <w:b/>
          <w:bCs/>
          <w:color w:val="auto"/>
        </w:rPr>
        <w:t>第二章</w:t>
      </w:r>
      <w:r>
        <w:rPr>
          <w:rStyle w:val="42"/>
          <w:rFonts w:ascii="仿宋" w:hAnsi="仿宋" w:eastAsia="仿宋" w:cs="仿宋"/>
          <w:b/>
          <w:bCs/>
          <w:color w:val="auto"/>
        </w:rPr>
        <w:t xml:space="preserve">  </w:t>
      </w:r>
      <w:r>
        <w:rPr>
          <w:rStyle w:val="42"/>
          <w:rFonts w:hint="eastAsia" w:ascii="仿宋" w:hAnsi="仿宋" w:eastAsia="仿宋" w:cs="仿宋"/>
          <w:b/>
          <w:bCs/>
          <w:color w:val="auto"/>
        </w:rPr>
        <w:t>投标人须知</w:t>
      </w:r>
      <w:r>
        <w:tab/>
      </w:r>
      <w:r>
        <w:rPr>
          <w:rFonts w:hint="eastAsia"/>
        </w:rPr>
        <w:t>6</w:t>
      </w:r>
      <w:r>
        <w:rPr>
          <w:rFonts w:hint="eastAsia"/>
        </w:rPr>
        <w:fldChar w:fldCharType="end"/>
      </w:r>
    </w:p>
    <w:p w14:paraId="03D2FD92">
      <w:pPr>
        <w:pStyle w:val="24"/>
        <w:rPr>
          <w:rFonts w:asciiTheme="minorHAnsi" w:hAnsiTheme="minorHAnsi" w:eastAsiaTheme="minorEastAsia" w:cstheme="minorBidi"/>
          <w:caps w:val="0"/>
          <w:sz w:val="21"/>
          <w:szCs w:val="22"/>
        </w:rPr>
      </w:pPr>
      <w:r>
        <w:fldChar w:fldCharType="begin"/>
      </w:r>
      <w:r>
        <w:instrText xml:space="preserve"> HYPERLINK \l "_Toc186493269" </w:instrText>
      </w:r>
      <w:r>
        <w:fldChar w:fldCharType="separate"/>
      </w:r>
      <w:r>
        <w:rPr>
          <w:rStyle w:val="42"/>
          <w:rFonts w:hint="eastAsia" w:ascii="仿宋" w:hAnsi="仿宋" w:eastAsia="仿宋" w:cs="仿宋"/>
          <w:b/>
          <w:color w:val="auto"/>
        </w:rPr>
        <w:t>第三章</w:t>
      </w:r>
      <w:r>
        <w:rPr>
          <w:rStyle w:val="42"/>
          <w:rFonts w:ascii="仿宋" w:hAnsi="仿宋" w:eastAsia="仿宋" w:cs="仿宋"/>
          <w:b/>
          <w:color w:val="auto"/>
        </w:rPr>
        <w:t xml:space="preserve"> </w:t>
      </w:r>
      <w:r>
        <w:rPr>
          <w:rStyle w:val="42"/>
          <w:rFonts w:hint="eastAsia" w:ascii="仿宋" w:hAnsi="仿宋" w:eastAsia="仿宋" w:cs="仿宋"/>
          <w:b/>
          <w:color w:val="auto"/>
        </w:rPr>
        <w:t xml:space="preserve"> </w:t>
      </w:r>
      <w:r>
        <w:rPr>
          <w:rStyle w:val="42"/>
          <w:rFonts w:hint="eastAsia" w:ascii="仿宋" w:hAnsi="仿宋" w:eastAsia="仿宋" w:cs="仿宋"/>
          <w:b/>
          <w:bCs/>
          <w:color w:val="auto"/>
        </w:rPr>
        <w:t>合同文本</w:t>
      </w:r>
      <w:r>
        <w:tab/>
      </w:r>
      <w:r>
        <w:fldChar w:fldCharType="begin"/>
      </w:r>
      <w:r>
        <w:instrText xml:space="preserve"> PAGEREF _Toc186493269 \h </w:instrText>
      </w:r>
      <w:r>
        <w:fldChar w:fldCharType="separate"/>
      </w:r>
      <w:r>
        <w:t>1</w:t>
      </w:r>
      <w:r>
        <w:rPr>
          <w:rFonts w:hint="eastAsia"/>
        </w:rPr>
        <w:t>7</w:t>
      </w:r>
      <w:r>
        <w:fldChar w:fldCharType="end"/>
      </w:r>
      <w:r>
        <w:fldChar w:fldCharType="end"/>
      </w:r>
    </w:p>
    <w:p w14:paraId="50568CE0">
      <w:pPr>
        <w:pStyle w:val="24"/>
        <w:rPr>
          <w:rFonts w:asciiTheme="minorHAnsi" w:hAnsiTheme="minorHAnsi" w:cstheme="minorBidi"/>
          <w:caps w:val="0"/>
          <w:sz w:val="21"/>
          <w:szCs w:val="22"/>
        </w:rPr>
      </w:pPr>
      <w:r>
        <w:fldChar w:fldCharType="begin"/>
      </w:r>
      <w:r>
        <w:instrText xml:space="preserve"> HYPERLINK \l "_Toc186493270" </w:instrText>
      </w:r>
      <w:r>
        <w:fldChar w:fldCharType="separate"/>
      </w:r>
      <w:r>
        <w:rPr>
          <w:rStyle w:val="42"/>
          <w:rFonts w:hint="eastAsia" w:ascii="仿宋" w:hAnsi="仿宋" w:eastAsia="仿宋" w:cs="仿宋"/>
          <w:b/>
          <w:color w:val="auto"/>
        </w:rPr>
        <w:t>第四章</w:t>
      </w:r>
      <w:r>
        <w:rPr>
          <w:rStyle w:val="42"/>
          <w:rFonts w:ascii="仿宋" w:hAnsi="仿宋" w:eastAsia="仿宋" w:cs="仿宋"/>
          <w:b/>
          <w:color w:val="auto"/>
        </w:rPr>
        <w:t xml:space="preserve">  </w:t>
      </w:r>
      <w:r>
        <w:rPr>
          <w:rStyle w:val="42"/>
          <w:rFonts w:hint="eastAsia" w:ascii="仿宋" w:hAnsi="仿宋" w:eastAsia="仿宋" w:cs="仿宋"/>
          <w:b/>
          <w:color w:val="auto"/>
        </w:rPr>
        <w:t>采购需求</w:t>
      </w:r>
      <w:r>
        <w:tab/>
      </w:r>
      <w:r>
        <w:rPr>
          <w:rFonts w:hint="eastAsia"/>
        </w:rPr>
        <w:t>2</w:t>
      </w:r>
      <w:r>
        <w:rPr>
          <w:rFonts w:hint="eastAsia"/>
        </w:rPr>
        <w:fldChar w:fldCharType="end"/>
      </w:r>
      <w:r>
        <w:rPr>
          <w:rFonts w:hint="eastAsia"/>
        </w:rPr>
        <w:t>5</w:t>
      </w:r>
    </w:p>
    <w:p w14:paraId="2367481D">
      <w:pPr>
        <w:pStyle w:val="24"/>
        <w:rPr>
          <w:rFonts w:hint="eastAsia"/>
        </w:rPr>
      </w:pPr>
      <w:r>
        <w:rPr>
          <w:rStyle w:val="42"/>
          <w:rFonts w:hint="eastAsia" w:ascii="仿宋" w:hAnsi="仿宋" w:eastAsia="仿宋" w:cs="仿宋"/>
          <w:b/>
          <w:bCs/>
          <w:color w:val="auto"/>
        </w:rPr>
        <w:t xml:space="preserve">第五章  </w:t>
      </w:r>
      <w:r>
        <w:rPr>
          <w:rStyle w:val="42"/>
          <w:rFonts w:hint="eastAsia" w:ascii="仿宋" w:hAnsi="仿宋" w:eastAsia="仿宋" w:cs="仿宋"/>
          <w:b/>
          <w:color w:val="auto"/>
        </w:rPr>
        <w:t>评标方</w:t>
      </w:r>
      <w:r>
        <w:rPr>
          <w:rStyle w:val="42"/>
          <w:rFonts w:hint="eastAsia" w:ascii="仿宋" w:hAnsi="仿宋" w:eastAsia="仿宋" w:cs="仿宋"/>
          <w:b/>
          <w:bCs/>
          <w:color w:val="auto"/>
        </w:rPr>
        <w:t>法与评标标准格式</w:t>
      </w:r>
      <w:r>
        <w:tab/>
      </w:r>
      <w:r>
        <w:rPr>
          <w:rFonts w:hint="eastAsia"/>
        </w:rPr>
        <w:t>43</w:t>
      </w:r>
    </w:p>
    <w:p w14:paraId="4C46591A">
      <w:pPr>
        <w:pStyle w:val="24"/>
        <w:rPr>
          <w:rFonts w:asciiTheme="minorHAnsi" w:hAnsiTheme="minorHAnsi" w:cstheme="minorBidi"/>
          <w:caps w:val="0"/>
          <w:sz w:val="21"/>
          <w:szCs w:val="22"/>
        </w:rPr>
      </w:pPr>
      <w:r>
        <w:fldChar w:fldCharType="begin"/>
      </w:r>
      <w:r>
        <w:instrText xml:space="preserve"> HYPERLINK \l "_Toc186493271" </w:instrText>
      </w:r>
      <w:r>
        <w:fldChar w:fldCharType="separate"/>
      </w:r>
      <w:r>
        <w:rPr>
          <w:rStyle w:val="42"/>
          <w:rFonts w:hint="eastAsia" w:ascii="仿宋" w:hAnsi="仿宋" w:eastAsia="仿宋" w:cs="仿宋"/>
          <w:b/>
          <w:color w:val="auto"/>
        </w:rPr>
        <w:t>第六章</w:t>
      </w:r>
      <w:r>
        <w:rPr>
          <w:rStyle w:val="42"/>
          <w:rFonts w:ascii="仿宋" w:hAnsi="仿宋" w:eastAsia="仿宋" w:cs="仿宋"/>
          <w:b/>
          <w:color w:val="auto"/>
        </w:rPr>
        <w:t xml:space="preserve">  </w:t>
      </w:r>
      <w:r>
        <w:rPr>
          <w:rStyle w:val="42"/>
          <w:rFonts w:hint="eastAsia" w:ascii="仿宋" w:hAnsi="仿宋" w:eastAsia="仿宋" w:cs="仿宋"/>
          <w:b/>
          <w:color w:val="auto"/>
        </w:rPr>
        <w:t>投标文件格式</w:t>
      </w:r>
      <w:r>
        <w:tab/>
      </w:r>
      <w:r>
        <w:rPr>
          <w:rFonts w:hint="eastAsia"/>
        </w:rPr>
        <w:t>4</w:t>
      </w:r>
      <w:r>
        <w:rPr>
          <w:rFonts w:hint="eastAsia"/>
        </w:rPr>
        <w:fldChar w:fldCharType="end"/>
      </w:r>
      <w:r>
        <w:rPr>
          <w:rFonts w:hint="eastAsia"/>
        </w:rPr>
        <w:t>8</w:t>
      </w:r>
    </w:p>
    <w:p w14:paraId="41D508BF">
      <w:pPr>
        <w:rPr>
          <w:rFonts w:hint="eastAsia" w:ascii="仿宋" w:hAnsi="仿宋" w:eastAsia="仿宋" w:cs="仿宋"/>
          <w:sz w:val="24"/>
          <w:szCs w:val="24"/>
        </w:rPr>
      </w:pPr>
      <w:r>
        <w:rPr>
          <w:rFonts w:hint="eastAsia" w:ascii="仿宋" w:hAnsi="仿宋" w:eastAsia="仿宋" w:cs="仿宋"/>
          <w:sz w:val="24"/>
          <w:szCs w:val="24"/>
        </w:rPr>
        <w:fldChar w:fldCharType="end"/>
      </w:r>
    </w:p>
    <w:p w14:paraId="24BD5A1C">
      <w:pPr>
        <w:rPr>
          <w:rFonts w:hint="eastAsia" w:ascii="仿宋" w:hAnsi="仿宋" w:eastAsia="仿宋" w:cs="仿宋"/>
          <w:sz w:val="36"/>
          <w:szCs w:val="36"/>
        </w:rPr>
      </w:pPr>
    </w:p>
    <w:p w14:paraId="0F36AC08">
      <w:pPr>
        <w:rPr>
          <w:rFonts w:hint="eastAsia" w:ascii="仿宋" w:hAnsi="仿宋" w:eastAsia="仿宋" w:cs="仿宋"/>
          <w:sz w:val="36"/>
          <w:szCs w:val="36"/>
        </w:rPr>
      </w:pPr>
    </w:p>
    <w:p w14:paraId="3F7269CD">
      <w:pPr>
        <w:rPr>
          <w:rFonts w:hint="eastAsia" w:ascii="仿宋" w:hAnsi="仿宋" w:eastAsia="仿宋" w:cs="仿宋"/>
          <w:sz w:val="36"/>
          <w:szCs w:val="36"/>
        </w:rPr>
      </w:pPr>
    </w:p>
    <w:p w14:paraId="2351AE79">
      <w:pPr>
        <w:rPr>
          <w:rFonts w:hint="eastAsia" w:ascii="仿宋" w:hAnsi="仿宋" w:eastAsia="仿宋" w:cs="仿宋"/>
          <w:sz w:val="36"/>
          <w:szCs w:val="36"/>
        </w:rPr>
      </w:pPr>
    </w:p>
    <w:p w14:paraId="0F9F1900">
      <w:pPr>
        <w:rPr>
          <w:rFonts w:hint="eastAsia" w:ascii="仿宋" w:hAnsi="仿宋" w:eastAsia="仿宋" w:cs="仿宋"/>
          <w:sz w:val="36"/>
          <w:szCs w:val="36"/>
        </w:rPr>
      </w:pPr>
    </w:p>
    <w:p w14:paraId="658EBB96">
      <w:pPr>
        <w:rPr>
          <w:rFonts w:hint="eastAsia" w:ascii="仿宋" w:hAnsi="仿宋" w:eastAsia="仿宋" w:cs="仿宋"/>
        </w:rPr>
      </w:pPr>
    </w:p>
    <w:p w14:paraId="2FBF583D">
      <w:pPr>
        <w:rPr>
          <w:rFonts w:hint="eastAsia" w:ascii="仿宋" w:hAnsi="仿宋" w:eastAsia="仿宋" w:cs="仿宋"/>
        </w:rPr>
      </w:pPr>
    </w:p>
    <w:p w14:paraId="5AA8E178">
      <w:pPr>
        <w:rPr>
          <w:rFonts w:hint="eastAsia" w:ascii="仿宋" w:hAnsi="仿宋" w:eastAsia="仿宋" w:cs="仿宋"/>
        </w:rPr>
      </w:pPr>
    </w:p>
    <w:p w14:paraId="1BDE931C">
      <w:pPr>
        <w:rPr>
          <w:rFonts w:hint="eastAsia" w:ascii="仿宋" w:hAnsi="仿宋" w:eastAsia="仿宋" w:cs="仿宋"/>
        </w:rPr>
      </w:pPr>
    </w:p>
    <w:p w14:paraId="44BE5CD5">
      <w:pPr>
        <w:rPr>
          <w:rFonts w:hint="eastAsia" w:ascii="仿宋" w:hAnsi="仿宋" w:eastAsia="仿宋" w:cs="仿宋"/>
        </w:rPr>
      </w:pPr>
    </w:p>
    <w:p w14:paraId="55FC320B">
      <w:pPr>
        <w:rPr>
          <w:rFonts w:hint="eastAsia" w:ascii="仿宋" w:hAnsi="仿宋" w:eastAsia="仿宋" w:cs="仿宋"/>
        </w:rPr>
      </w:pPr>
    </w:p>
    <w:p w14:paraId="4718A198">
      <w:pPr>
        <w:rPr>
          <w:rFonts w:hint="eastAsia" w:ascii="仿宋" w:hAnsi="仿宋" w:eastAsia="仿宋" w:cs="仿宋"/>
        </w:rPr>
      </w:pPr>
    </w:p>
    <w:p w14:paraId="16FC16A5">
      <w:pPr>
        <w:rPr>
          <w:rFonts w:hint="eastAsia" w:ascii="仿宋" w:hAnsi="仿宋" w:eastAsia="仿宋" w:cs="仿宋"/>
        </w:rPr>
      </w:pPr>
    </w:p>
    <w:p w14:paraId="5FFD63EC">
      <w:pPr>
        <w:rPr>
          <w:rFonts w:hint="eastAsia" w:ascii="仿宋" w:hAnsi="仿宋" w:eastAsia="仿宋" w:cs="仿宋"/>
        </w:rPr>
      </w:pPr>
    </w:p>
    <w:p w14:paraId="16EF467A">
      <w:pPr>
        <w:rPr>
          <w:rFonts w:hint="eastAsia" w:ascii="仿宋" w:hAnsi="仿宋" w:eastAsia="仿宋" w:cs="仿宋"/>
        </w:rPr>
      </w:pPr>
    </w:p>
    <w:p w14:paraId="746F85D1">
      <w:pPr>
        <w:rPr>
          <w:rFonts w:hint="eastAsia" w:ascii="仿宋" w:hAnsi="仿宋" w:eastAsia="仿宋" w:cs="仿宋"/>
        </w:rPr>
      </w:pPr>
    </w:p>
    <w:p w14:paraId="756D9869">
      <w:pPr>
        <w:rPr>
          <w:rFonts w:hint="eastAsia" w:ascii="仿宋" w:hAnsi="仿宋" w:eastAsia="仿宋" w:cs="仿宋"/>
        </w:rPr>
      </w:pPr>
    </w:p>
    <w:p w14:paraId="087CED28">
      <w:pPr>
        <w:rPr>
          <w:rFonts w:hint="eastAsia" w:ascii="仿宋" w:hAnsi="仿宋" w:eastAsia="仿宋" w:cs="仿宋"/>
        </w:rPr>
      </w:pPr>
    </w:p>
    <w:p w14:paraId="3BA2D87F">
      <w:pPr>
        <w:pStyle w:val="3"/>
        <w:rPr>
          <w:rFonts w:hint="eastAsia" w:ascii="仿宋" w:hAnsi="仿宋" w:eastAsia="仿宋" w:cs="仿宋"/>
          <w:b/>
          <w:bCs/>
          <w:sz w:val="44"/>
          <w:szCs w:val="44"/>
        </w:rPr>
        <w:sectPr>
          <w:footerReference r:id="rId4" w:type="default"/>
          <w:pgSz w:w="11906" w:h="16838"/>
          <w:pgMar w:top="1191" w:right="1587" w:bottom="1191" w:left="1366" w:header="850" w:footer="907" w:gutter="0"/>
          <w:pgNumType w:start="1"/>
          <w:cols w:space="0" w:num="1"/>
          <w:docGrid w:linePitch="360" w:charSpace="0"/>
        </w:sectPr>
      </w:pPr>
    </w:p>
    <w:p w14:paraId="7158461E">
      <w:pPr>
        <w:pStyle w:val="3"/>
        <w:rPr>
          <w:rFonts w:hint="eastAsia" w:ascii="仿宋" w:hAnsi="仿宋" w:eastAsia="仿宋" w:cs="仿宋"/>
          <w:b/>
          <w:bCs/>
          <w:sz w:val="44"/>
          <w:szCs w:val="44"/>
        </w:rPr>
      </w:pPr>
      <w:bookmarkStart w:id="6" w:name="_Toc186493267"/>
      <w:r>
        <w:rPr>
          <w:rFonts w:hint="eastAsia" w:ascii="仿宋" w:hAnsi="仿宋" w:eastAsia="仿宋" w:cs="仿宋"/>
          <w:b/>
          <w:bCs/>
          <w:sz w:val="44"/>
          <w:szCs w:val="44"/>
        </w:rPr>
        <w:t xml:space="preserve">第一章  </w:t>
      </w:r>
      <w:bookmarkEnd w:id="0"/>
      <w:r>
        <w:rPr>
          <w:rFonts w:hint="eastAsia" w:ascii="仿宋" w:hAnsi="仿宋" w:eastAsia="仿宋" w:cs="仿宋"/>
          <w:b/>
          <w:bCs/>
          <w:sz w:val="44"/>
          <w:szCs w:val="44"/>
        </w:rPr>
        <w:t>投标邀请</w:t>
      </w:r>
      <w:bookmarkEnd w:id="6"/>
    </w:p>
    <w:p w14:paraId="6286DFC3">
      <w:pPr>
        <w:ind w:firstLine="480"/>
        <w:rPr>
          <w:rFonts w:hint="eastAsia" w:ascii="仿宋" w:hAnsi="仿宋" w:eastAsia="仿宋" w:cs="仿宋"/>
          <w:sz w:val="24"/>
          <w:szCs w:val="24"/>
        </w:rPr>
      </w:pPr>
      <w:r>
        <w:rPr>
          <w:rFonts w:hint="eastAsia" w:ascii="仿宋" w:hAnsi="仿宋" w:eastAsia="仿宋" w:cs="仿宋"/>
          <w:sz w:val="24"/>
          <w:szCs w:val="24"/>
        </w:rPr>
        <w:t>受如东县大豫镇人民政府的委托， 就如东县大豫镇环境卫生长效管护服务项目【项目编号：JSZC-320623-NTCJ-G2026-0005 】进行公开招标采购，欢迎符合条件的供应商投标。</w:t>
      </w:r>
    </w:p>
    <w:p w14:paraId="6B432736">
      <w:pPr>
        <w:pBdr>
          <w:top w:val="single" w:color="auto" w:sz="4" w:space="1"/>
          <w:left w:val="single" w:color="auto" w:sz="4" w:space="4"/>
          <w:bottom w:val="single" w:color="auto" w:sz="4" w:space="1"/>
          <w:right w:val="single" w:color="auto" w:sz="4" w:space="4"/>
        </w:pBdr>
        <w:rPr>
          <w:rFonts w:hint="eastAsia" w:ascii="仿宋" w:hAnsi="仿宋" w:eastAsia="仿宋" w:cs="仿宋"/>
          <w:sz w:val="24"/>
          <w:szCs w:val="24"/>
        </w:rPr>
      </w:pPr>
      <w:r>
        <w:rPr>
          <w:rFonts w:hint="eastAsia" w:ascii="仿宋" w:hAnsi="仿宋" w:eastAsia="仿宋" w:cs="仿宋"/>
          <w:sz w:val="24"/>
          <w:szCs w:val="24"/>
        </w:rPr>
        <w:t>项目概况</w:t>
      </w:r>
    </w:p>
    <w:p w14:paraId="0A4427A0">
      <w:pPr>
        <w:pBdr>
          <w:top w:val="single" w:color="auto" w:sz="4" w:space="1"/>
          <w:left w:val="single" w:color="auto" w:sz="4" w:space="4"/>
          <w:bottom w:val="single" w:color="auto" w:sz="4" w:space="1"/>
          <w:right w:val="single" w:color="auto" w:sz="4" w:space="4"/>
        </w:pBdr>
        <w:ind w:firstLine="480"/>
        <w:rPr>
          <w:rFonts w:hint="eastAsia" w:ascii="仿宋" w:hAnsi="仿宋" w:eastAsia="仿宋" w:cs="仿宋"/>
          <w:sz w:val="24"/>
          <w:szCs w:val="24"/>
        </w:rPr>
      </w:pPr>
      <w:r>
        <w:rPr>
          <w:rFonts w:hint="eastAsia" w:ascii="仿宋" w:hAnsi="仿宋" w:eastAsia="仿宋" w:cs="仿宋"/>
          <w:sz w:val="24"/>
          <w:szCs w:val="24"/>
        </w:rPr>
        <w:t>如东县大豫镇环境卫生长效管护服务项目招标的潜在投标人可在</w:t>
      </w:r>
      <w:r>
        <w:rPr>
          <w:rFonts w:hint="eastAsia" w:ascii="仿宋" w:hAnsi="仿宋" w:eastAsia="仿宋" w:cs="仿宋"/>
          <w:sz w:val="24"/>
          <w:szCs w:val="24"/>
          <w:u w:val="single"/>
        </w:rPr>
        <w:t>“江苏政府采购网”自行免费下载</w:t>
      </w:r>
      <w:r>
        <w:rPr>
          <w:rFonts w:hint="eastAsia" w:ascii="仿宋" w:hAnsi="仿宋" w:eastAsia="仿宋" w:cs="仿宋"/>
          <w:sz w:val="24"/>
          <w:szCs w:val="24"/>
        </w:rPr>
        <w:t>招标文件，并于</w:t>
      </w:r>
      <w:r>
        <w:rPr>
          <w:rFonts w:hint="eastAsia" w:ascii="仿宋" w:hAnsi="仿宋" w:eastAsia="仿宋" w:cs="仿宋"/>
          <w:sz w:val="24"/>
          <w:szCs w:val="24"/>
          <w:u w:val="single"/>
        </w:rPr>
        <w:t>2026</w:t>
      </w:r>
      <w:r>
        <w:rPr>
          <w:rFonts w:hint="eastAsia" w:ascii="仿宋" w:hAnsi="仿宋" w:eastAsia="仿宋" w:cs="仿宋"/>
          <w:bCs/>
          <w:sz w:val="24"/>
          <w:szCs w:val="24"/>
          <w:u w:val="single"/>
        </w:rPr>
        <w:t>年3月30日上午9点00分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73B0D2E7">
      <w:pPr>
        <w:spacing w:line="480" w:lineRule="exact"/>
        <w:rPr>
          <w:rFonts w:hint="eastAsia" w:ascii="仿宋" w:hAnsi="仿宋" w:eastAsia="仿宋" w:cs="仿宋"/>
          <w:b/>
          <w:bCs/>
          <w:sz w:val="32"/>
          <w:szCs w:val="32"/>
        </w:rPr>
      </w:pPr>
      <w:bookmarkStart w:id="7" w:name="_Toc28359079"/>
      <w:bookmarkStart w:id="8" w:name="_Toc35393790"/>
      <w:bookmarkStart w:id="9" w:name="_Toc38985263"/>
      <w:bookmarkStart w:id="10" w:name="_Toc28359002"/>
      <w:bookmarkStart w:id="11" w:name="_Toc35393621"/>
      <w:bookmarkStart w:id="12" w:name="_Hlk24379207"/>
      <w:r>
        <w:rPr>
          <w:rFonts w:hint="eastAsia" w:ascii="仿宋" w:hAnsi="仿宋" w:eastAsia="仿宋" w:cs="仿宋"/>
          <w:b/>
          <w:bCs/>
          <w:sz w:val="32"/>
          <w:szCs w:val="32"/>
        </w:rPr>
        <w:t>一、项目基本情况</w:t>
      </w:r>
      <w:bookmarkEnd w:id="7"/>
      <w:bookmarkEnd w:id="8"/>
      <w:bookmarkEnd w:id="9"/>
      <w:bookmarkEnd w:id="10"/>
      <w:bookmarkEnd w:id="11"/>
    </w:p>
    <w:p w14:paraId="6197E77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 xml:space="preserve">1.项目编号：JSZC-320623-NTCJ-G2026-0005  </w:t>
      </w:r>
      <w:r>
        <w:rPr>
          <w:rFonts w:hint="eastAsia" w:ascii="Arial" w:hAnsi="Arial" w:cs="Arial"/>
          <w:sz w:val="22"/>
        </w:rPr>
        <w:t xml:space="preserve"> </w:t>
      </w:r>
    </w:p>
    <w:p w14:paraId="1B96E04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2.项目名称：</w:t>
      </w:r>
      <w:bookmarkEnd w:id="12"/>
      <w:r>
        <w:rPr>
          <w:rFonts w:hint="eastAsia" w:ascii="仿宋" w:hAnsi="仿宋" w:eastAsia="仿宋" w:cs="仿宋"/>
          <w:sz w:val="24"/>
          <w:szCs w:val="24"/>
        </w:rPr>
        <w:t>如东县大豫镇环境卫生长效管护服务项目</w:t>
      </w:r>
    </w:p>
    <w:p w14:paraId="0625B6F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3.采购方式：公开招标</w:t>
      </w:r>
    </w:p>
    <w:p w14:paraId="6FE7FE2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4.项目类型：服务</w:t>
      </w:r>
    </w:p>
    <w:p w14:paraId="320E571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5.所属行业：其他未列明行业</w:t>
      </w:r>
    </w:p>
    <w:p w14:paraId="6B2FF24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6.预算金额：</w:t>
      </w:r>
    </w:p>
    <w:tbl>
      <w:tblPr>
        <w:tblStyle w:val="36"/>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3460"/>
        <w:gridCol w:w="3460"/>
      </w:tblGrid>
      <w:tr w14:paraId="493E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296EA7B3">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分包号</w:t>
            </w:r>
          </w:p>
        </w:tc>
        <w:tc>
          <w:tcPr>
            <w:tcW w:w="3460" w:type="dxa"/>
          </w:tcPr>
          <w:p w14:paraId="1524351A">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预算金额（人民币：万元/年）</w:t>
            </w:r>
          </w:p>
        </w:tc>
        <w:tc>
          <w:tcPr>
            <w:tcW w:w="3460" w:type="dxa"/>
          </w:tcPr>
          <w:p w14:paraId="2915ED54">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三年预算金额（万元）</w:t>
            </w:r>
          </w:p>
        </w:tc>
      </w:tr>
      <w:tr w14:paraId="3C80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7E3104D9">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460" w:type="dxa"/>
          </w:tcPr>
          <w:p w14:paraId="399401BA">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1253.85</w:t>
            </w:r>
          </w:p>
        </w:tc>
        <w:tc>
          <w:tcPr>
            <w:tcW w:w="3460" w:type="dxa"/>
          </w:tcPr>
          <w:p w14:paraId="7E131103">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3761.55</w:t>
            </w:r>
          </w:p>
        </w:tc>
      </w:tr>
    </w:tbl>
    <w:p w14:paraId="2BE5E257">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最高限价：</w:t>
      </w:r>
    </w:p>
    <w:tbl>
      <w:tblPr>
        <w:tblStyle w:val="36"/>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021"/>
        <w:gridCol w:w="2078"/>
        <w:gridCol w:w="2811"/>
      </w:tblGrid>
      <w:tr w14:paraId="0F4F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14:paraId="2D28E4CB">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分包号</w:t>
            </w:r>
          </w:p>
        </w:tc>
        <w:tc>
          <w:tcPr>
            <w:tcW w:w="2021" w:type="dxa"/>
            <w:vAlign w:val="center"/>
          </w:tcPr>
          <w:p w14:paraId="14DE1AA3">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是否设定最高限价（是/否）</w:t>
            </w:r>
          </w:p>
        </w:tc>
        <w:tc>
          <w:tcPr>
            <w:tcW w:w="2078" w:type="dxa"/>
            <w:vAlign w:val="center"/>
          </w:tcPr>
          <w:p w14:paraId="27B09F5B">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最高限价（人民币：万元/年）</w:t>
            </w:r>
          </w:p>
        </w:tc>
        <w:tc>
          <w:tcPr>
            <w:tcW w:w="2811" w:type="dxa"/>
            <w:vAlign w:val="center"/>
          </w:tcPr>
          <w:p w14:paraId="3DDE2C1E">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三年最高限价（人民币：万元）</w:t>
            </w:r>
          </w:p>
        </w:tc>
      </w:tr>
      <w:tr w14:paraId="5789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vAlign w:val="center"/>
          </w:tcPr>
          <w:p w14:paraId="707E5352">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021" w:type="dxa"/>
            <w:vAlign w:val="center"/>
          </w:tcPr>
          <w:p w14:paraId="394F7590">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是</w:t>
            </w:r>
          </w:p>
        </w:tc>
        <w:tc>
          <w:tcPr>
            <w:tcW w:w="2078" w:type="dxa"/>
            <w:vAlign w:val="center"/>
          </w:tcPr>
          <w:p w14:paraId="385DEA0F">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1103.388</w:t>
            </w:r>
          </w:p>
        </w:tc>
        <w:tc>
          <w:tcPr>
            <w:tcW w:w="2811" w:type="dxa"/>
            <w:vAlign w:val="center"/>
          </w:tcPr>
          <w:p w14:paraId="05E905A3">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3310.164</w:t>
            </w:r>
          </w:p>
        </w:tc>
      </w:tr>
    </w:tbl>
    <w:p w14:paraId="63B9119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7.采购需求（简介）：详细内容见本招标文件第四章。</w:t>
      </w:r>
    </w:p>
    <w:p w14:paraId="4DE4097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8.合同履行期限:三年，自合同签订之日起三年。</w:t>
      </w:r>
    </w:p>
    <w:p w14:paraId="404B3A7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9.本项目（是/否）接受联合体投标：否。</w:t>
      </w:r>
    </w:p>
    <w:p w14:paraId="210F088E">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10.本项目是否接受分包：否。</w:t>
      </w:r>
    </w:p>
    <w:p w14:paraId="58C7E5D5">
      <w:pPr>
        <w:spacing w:line="480" w:lineRule="exact"/>
        <w:rPr>
          <w:rFonts w:hint="eastAsia" w:ascii="仿宋" w:hAnsi="仿宋" w:eastAsia="仿宋" w:cs="仿宋"/>
          <w:b/>
          <w:bCs/>
          <w:sz w:val="32"/>
          <w:szCs w:val="32"/>
        </w:rPr>
      </w:pPr>
      <w:bookmarkStart w:id="13" w:name="_Toc38985264"/>
      <w:bookmarkStart w:id="14" w:name="_Toc28359080"/>
      <w:bookmarkStart w:id="15" w:name="_Toc35393791"/>
      <w:bookmarkStart w:id="16" w:name="_Toc35393622"/>
      <w:bookmarkStart w:id="17" w:name="_Toc28359003"/>
      <w:r>
        <w:rPr>
          <w:rFonts w:hint="eastAsia" w:ascii="仿宋" w:hAnsi="仿宋" w:eastAsia="仿宋" w:cs="仿宋"/>
          <w:b/>
          <w:bCs/>
          <w:sz w:val="32"/>
          <w:szCs w:val="32"/>
        </w:rPr>
        <w:t>二、申请人的资格要求：</w:t>
      </w:r>
      <w:bookmarkEnd w:id="13"/>
      <w:bookmarkEnd w:id="14"/>
      <w:bookmarkEnd w:id="15"/>
      <w:bookmarkEnd w:id="16"/>
      <w:bookmarkEnd w:id="17"/>
    </w:p>
    <w:p w14:paraId="07C909B4">
      <w:pPr>
        <w:spacing w:line="480" w:lineRule="exact"/>
        <w:ind w:firstLine="480"/>
        <w:rPr>
          <w:rFonts w:hint="eastAsia" w:ascii="仿宋" w:hAnsi="仿宋" w:eastAsia="仿宋" w:cs="仿宋"/>
          <w:sz w:val="24"/>
          <w:szCs w:val="24"/>
        </w:rPr>
      </w:pPr>
      <w:bookmarkStart w:id="18" w:name="_Toc35393792"/>
      <w:bookmarkStart w:id="19" w:name="_Toc28359004"/>
      <w:bookmarkStart w:id="20" w:name="_Toc35393623"/>
      <w:bookmarkStart w:id="21" w:name="_Toc38985265"/>
      <w:bookmarkStart w:id="22" w:name="_Toc28359081"/>
      <w:r>
        <w:rPr>
          <w:rFonts w:hint="eastAsia" w:ascii="仿宋" w:hAnsi="仿宋" w:eastAsia="仿宋" w:cs="仿宋"/>
          <w:sz w:val="24"/>
          <w:szCs w:val="24"/>
        </w:rPr>
        <w:t>（一）通用资格要求</w:t>
      </w:r>
    </w:p>
    <w:p w14:paraId="4685F26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1.满足《中华人民共和国政府采购法》第二十二条规定；（按附件3格式进行声明，投标文件中无需提供其他证明材料）；</w:t>
      </w:r>
    </w:p>
    <w:p w14:paraId="1BB0C26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671F3F6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 落实政府采购政策需满足的资格要求：本项目属于非专门面向中小微型企业采购。</w:t>
      </w:r>
    </w:p>
    <w:p w14:paraId="34D0965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（二）本项目的特定资格要求：无。</w:t>
      </w:r>
    </w:p>
    <w:p w14:paraId="4124FA8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三、获取招标文件</w:t>
      </w:r>
      <w:bookmarkEnd w:id="18"/>
      <w:bookmarkEnd w:id="19"/>
      <w:bookmarkEnd w:id="20"/>
      <w:bookmarkEnd w:id="21"/>
      <w:bookmarkEnd w:id="22"/>
    </w:p>
    <w:p w14:paraId="42ABBBE0">
      <w:pPr>
        <w:spacing w:line="480" w:lineRule="exact"/>
        <w:ind w:firstLine="480"/>
        <w:rPr>
          <w:rFonts w:hint="eastAsia" w:ascii="仿宋" w:hAnsi="仿宋" w:eastAsia="仿宋" w:cs="仿宋"/>
          <w:sz w:val="24"/>
          <w:szCs w:val="24"/>
        </w:rPr>
      </w:pPr>
      <w:bookmarkStart w:id="23" w:name="_Toc28359082"/>
      <w:bookmarkStart w:id="24" w:name="_Toc28359005"/>
      <w:bookmarkStart w:id="25" w:name="_Toc38985266"/>
      <w:bookmarkStart w:id="26" w:name="_Toc35393624"/>
      <w:bookmarkStart w:id="27" w:name="_Toc35393793"/>
      <w:r>
        <w:rPr>
          <w:rFonts w:hint="eastAsia" w:ascii="仿宋" w:hAnsi="仿宋" w:eastAsia="仿宋" w:cs="仿宋"/>
          <w:sz w:val="24"/>
          <w:szCs w:val="24"/>
        </w:rPr>
        <w:t>1.时间：</w:t>
      </w:r>
      <w:r>
        <w:rPr>
          <w:rFonts w:hint="eastAsia" w:ascii="仿宋" w:hAnsi="仿宋" w:eastAsia="仿宋" w:cs="仿宋"/>
          <w:sz w:val="24"/>
        </w:rPr>
        <w:t>自采购公告发布之日</w:t>
      </w:r>
      <w:r>
        <w:rPr>
          <w:rFonts w:hint="eastAsia" w:ascii="仿宋" w:hAnsi="仿宋" w:eastAsia="仿宋" w:cs="仿宋"/>
          <w:sz w:val="24"/>
          <w:szCs w:val="24"/>
        </w:rPr>
        <w:t>至</w:t>
      </w:r>
      <w:r>
        <w:rPr>
          <w:rFonts w:hint="eastAsia" w:ascii="仿宋" w:hAnsi="仿宋" w:eastAsia="仿宋" w:cs="仿宋"/>
          <w:sz w:val="24"/>
          <w:szCs w:val="24"/>
          <w:u w:val="single"/>
        </w:rPr>
        <w:t>2026</w:t>
      </w:r>
      <w:r>
        <w:rPr>
          <w:rFonts w:hint="eastAsia" w:ascii="仿宋" w:hAnsi="仿宋" w:eastAsia="仿宋" w:cs="仿宋"/>
          <w:bCs/>
          <w:sz w:val="24"/>
          <w:szCs w:val="24"/>
          <w:u w:val="single"/>
        </w:rPr>
        <w:t>年3月30日</w:t>
      </w:r>
      <w:r>
        <w:rPr>
          <w:rFonts w:hint="eastAsia" w:ascii="仿宋" w:hAnsi="仿宋" w:eastAsia="仿宋" w:cs="仿宋"/>
          <w:sz w:val="24"/>
          <w:szCs w:val="24"/>
        </w:rPr>
        <w:t>（北京时间）</w:t>
      </w:r>
    </w:p>
    <w:p w14:paraId="5153480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2.地点：“江苏政府采购网”</w:t>
      </w:r>
    </w:p>
    <w:p w14:paraId="02FE411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3.方式：凡有意参与投标的供应商须登录江苏政府采购网首页点击“苏采云”→通过CA锁进行响应确认，并自行在招标文件有效获取期内及时下载获取。</w:t>
      </w:r>
    </w:p>
    <w:p w14:paraId="6F1379A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4.售价：免费</w:t>
      </w:r>
    </w:p>
    <w:p w14:paraId="592DD567">
      <w:pPr>
        <w:spacing w:line="480" w:lineRule="exact"/>
        <w:rPr>
          <w:rFonts w:hint="eastAsia" w:ascii="仿宋" w:hAnsi="仿宋" w:eastAsia="仿宋" w:cs="仿宋"/>
          <w:b/>
          <w:bCs/>
          <w:sz w:val="32"/>
          <w:szCs w:val="32"/>
        </w:rPr>
      </w:pPr>
      <w:r>
        <w:rPr>
          <w:rFonts w:hint="eastAsia" w:ascii="仿宋" w:hAnsi="仿宋" w:eastAsia="仿宋" w:cs="仿宋"/>
          <w:b/>
          <w:bCs/>
          <w:sz w:val="32"/>
          <w:szCs w:val="32"/>
        </w:rPr>
        <w:t>四、提交投标文件</w:t>
      </w:r>
      <w:bookmarkEnd w:id="23"/>
      <w:bookmarkEnd w:id="24"/>
      <w:r>
        <w:rPr>
          <w:rFonts w:hint="eastAsia" w:ascii="仿宋" w:hAnsi="仿宋" w:eastAsia="仿宋" w:cs="仿宋"/>
          <w:b/>
          <w:bCs/>
          <w:sz w:val="32"/>
          <w:szCs w:val="32"/>
        </w:rPr>
        <w:t>截止时间、开标时间和地点</w:t>
      </w:r>
      <w:bookmarkEnd w:id="25"/>
      <w:bookmarkEnd w:id="26"/>
      <w:bookmarkEnd w:id="27"/>
    </w:p>
    <w:p w14:paraId="4E60BEF0">
      <w:pPr>
        <w:spacing w:line="480" w:lineRule="exact"/>
        <w:ind w:firstLine="480"/>
        <w:rPr>
          <w:rFonts w:hint="eastAsia" w:ascii="仿宋" w:hAnsi="仿宋" w:eastAsia="仿宋" w:cs="仿宋"/>
          <w:sz w:val="24"/>
          <w:szCs w:val="24"/>
        </w:rPr>
      </w:pPr>
      <w:bookmarkStart w:id="28" w:name="_Toc28359007"/>
      <w:bookmarkStart w:id="29" w:name="_Toc28359084"/>
      <w:bookmarkStart w:id="30" w:name="_Toc35393625"/>
      <w:bookmarkStart w:id="31" w:name="_Toc38985267"/>
      <w:bookmarkStart w:id="32" w:name="_Toc35393794"/>
      <w:r>
        <w:rPr>
          <w:rFonts w:hint="eastAsia" w:ascii="仿宋" w:hAnsi="仿宋" w:eastAsia="仿宋" w:cs="仿宋"/>
          <w:bCs/>
          <w:sz w:val="24"/>
          <w:szCs w:val="24"/>
        </w:rPr>
        <w:t>1.提交投标文件截止时间、开标时间：</w:t>
      </w:r>
      <w:r>
        <w:rPr>
          <w:rFonts w:hint="eastAsia" w:ascii="仿宋" w:hAnsi="仿宋" w:eastAsia="仿宋" w:cs="仿宋"/>
          <w:sz w:val="24"/>
          <w:szCs w:val="24"/>
          <w:u w:val="single"/>
        </w:rPr>
        <w:t>2026</w:t>
      </w:r>
      <w:r>
        <w:rPr>
          <w:rFonts w:hint="eastAsia" w:ascii="仿宋" w:hAnsi="仿宋" w:eastAsia="仿宋" w:cs="仿宋"/>
          <w:bCs/>
          <w:sz w:val="24"/>
          <w:szCs w:val="24"/>
          <w:u w:val="single"/>
        </w:rPr>
        <w:t>年3月30日上午9点00分</w:t>
      </w:r>
      <w:r>
        <w:rPr>
          <w:rFonts w:hint="eastAsia" w:ascii="仿宋" w:hAnsi="仿宋" w:eastAsia="仿宋" w:cs="仿宋"/>
          <w:sz w:val="24"/>
          <w:szCs w:val="24"/>
        </w:rPr>
        <w:t>（北京时间），逾时，系统将拒绝接受上传投标文件电子文档。</w:t>
      </w:r>
    </w:p>
    <w:p w14:paraId="7089D3F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2.地点：“苏采云”政府采购一体化平台。</w:t>
      </w:r>
    </w:p>
    <w:p w14:paraId="72951E84">
      <w:pPr>
        <w:spacing w:line="480" w:lineRule="exact"/>
        <w:rPr>
          <w:rFonts w:hint="eastAsia" w:ascii="仿宋" w:hAnsi="仿宋" w:eastAsia="仿宋" w:cs="仿宋"/>
          <w:b/>
          <w:bCs/>
          <w:sz w:val="32"/>
          <w:szCs w:val="32"/>
        </w:rPr>
      </w:pPr>
      <w:r>
        <w:rPr>
          <w:rFonts w:hint="eastAsia" w:ascii="仿宋" w:hAnsi="仿宋" w:eastAsia="仿宋" w:cs="仿宋"/>
          <w:b/>
          <w:bCs/>
          <w:sz w:val="32"/>
          <w:szCs w:val="32"/>
        </w:rPr>
        <w:t>五、公告期限</w:t>
      </w:r>
      <w:bookmarkEnd w:id="28"/>
      <w:bookmarkEnd w:id="29"/>
      <w:bookmarkEnd w:id="30"/>
      <w:bookmarkEnd w:id="31"/>
      <w:bookmarkEnd w:id="32"/>
    </w:p>
    <w:p w14:paraId="5DC096ED">
      <w:pPr>
        <w:spacing w:line="480" w:lineRule="exact"/>
        <w:ind w:firstLine="480"/>
        <w:rPr>
          <w:rFonts w:hint="eastAsia" w:ascii="仿宋" w:hAnsi="仿宋" w:eastAsia="仿宋" w:cs="仿宋"/>
          <w:sz w:val="24"/>
          <w:szCs w:val="24"/>
        </w:rPr>
      </w:pPr>
      <w:bookmarkStart w:id="33" w:name="_Toc38985268"/>
      <w:bookmarkStart w:id="34" w:name="_Toc35393795"/>
      <w:bookmarkStart w:id="35" w:name="_Toc35393626"/>
      <w:r>
        <w:rPr>
          <w:rFonts w:hint="eastAsia" w:ascii="仿宋" w:hAnsi="仿宋" w:eastAsia="仿宋" w:cs="仿宋"/>
          <w:sz w:val="24"/>
          <w:szCs w:val="24"/>
        </w:rPr>
        <w:t>自本公告发布之日起5个工作日。</w:t>
      </w:r>
    </w:p>
    <w:p w14:paraId="406AEE5F">
      <w:pPr>
        <w:spacing w:line="480" w:lineRule="exact"/>
        <w:rPr>
          <w:rFonts w:hint="eastAsia" w:ascii="仿宋" w:hAnsi="仿宋" w:eastAsia="仿宋" w:cs="仿宋"/>
          <w:b/>
          <w:bCs/>
          <w:sz w:val="32"/>
          <w:szCs w:val="32"/>
        </w:rPr>
      </w:pPr>
      <w:r>
        <w:rPr>
          <w:rFonts w:hint="eastAsia" w:ascii="仿宋" w:hAnsi="仿宋" w:eastAsia="仿宋" w:cs="仿宋"/>
          <w:b/>
          <w:bCs/>
          <w:sz w:val="32"/>
          <w:szCs w:val="32"/>
        </w:rPr>
        <w:t>六、其他补充事宜</w:t>
      </w:r>
      <w:bookmarkEnd w:id="33"/>
      <w:bookmarkEnd w:id="34"/>
      <w:bookmarkEnd w:id="35"/>
    </w:p>
    <w:p w14:paraId="6147780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1.项目开标活动模式：不见面远程开标模式</w:t>
      </w:r>
    </w:p>
    <w:p w14:paraId="0DD52D6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投标人（含潜在投标人）对采购方式、招标文件中项目需求、供应商资格条件、评标方法和评标标准、资格审查部分、合同文本等应当由采购人答复的质疑，请向采购人提出，由采购人负责答复。投标人对其他事项的质疑，请向代理机构提出，由代理机构负责答复。对在“苏采云”系统操作阶段的询问请向交易系统软件维护人员提出。</w:t>
      </w:r>
    </w:p>
    <w:p w14:paraId="463C192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0A9E626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4.开标当天投标人应及时登录“苏采云”政府采购一体化平台，并在规定时间内自行实施远程解密。投标人解密时间限定为投标文件解密指令发出后30分钟（投标人应当充分考虑网络延时造成的本地网络计时不一致风险，提前完成解密动作）。投标人因网络、电源、浏览器不稳定、未按要求配置软硬件环境，解密锁用错或其他物理故障、操作熟练程度等自身原因，导致投标文件在规定时间内未能解密、解密失败或解密超时，相应责任由投标人自行承担；因采购人原因或网上招投标平台发生故障，导致无法按时完成投标文件解密或开、评标工作无法进行的，可根据实际情况相应延迟解密时间或调整开、评标时间。</w:t>
      </w:r>
    </w:p>
    <w:p w14:paraId="79321D2C">
      <w:pPr>
        <w:spacing w:line="480" w:lineRule="exact"/>
        <w:rPr>
          <w:rFonts w:hint="eastAsia" w:ascii="仿宋" w:hAnsi="仿宋" w:eastAsia="仿宋" w:cs="仿宋"/>
          <w:b/>
          <w:bCs/>
          <w:sz w:val="32"/>
          <w:szCs w:val="32"/>
        </w:rPr>
      </w:pPr>
      <w:bookmarkStart w:id="36" w:name="_Toc35393796"/>
      <w:bookmarkStart w:id="37" w:name="_Toc28359085"/>
      <w:bookmarkStart w:id="38" w:name="_Toc35393627"/>
      <w:bookmarkStart w:id="39" w:name="_Toc38985269"/>
      <w:bookmarkStart w:id="40" w:name="_Toc28359008"/>
      <w:r>
        <w:rPr>
          <w:rFonts w:hint="eastAsia" w:ascii="仿宋" w:hAnsi="仿宋" w:eastAsia="仿宋" w:cs="仿宋"/>
          <w:b/>
          <w:bCs/>
          <w:sz w:val="32"/>
          <w:szCs w:val="32"/>
        </w:rPr>
        <w:t>七、</w:t>
      </w:r>
      <w:bookmarkEnd w:id="36"/>
      <w:bookmarkEnd w:id="37"/>
      <w:bookmarkEnd w:id="38"/>
      <w:bookmarkEnd w:id="39"/>
      <w:bookmarkEnd w:id="40"/>
      <w:r>
        <w:rPr>
          <w:rFonts w:hint="eastAsia" w:ascii="仿宋" w:hAnsi="仿宋" w:eastAsia="仿宋" w:cs="仿宋"/>
          <w:b/>
          <w:bCs/>
          <w:sz w:val="32"/>
          <w:szCs w:val="32"/>
        </w:rPr>
        <w:t>对本次招标提出询问，请按以下方式联系</w:t>
      </w:r>
    </w:p>
    <w:p w14:paraId="129628AF">
      <w:pPr>
        <w:spacing w:line="480" w:lineRule="exact"/>
        <w:ind w:firstLine="480"/>
        <w:rPr>
          <w:rFonts w:hint="eastAsia" w:ascii="仿宋" w:hAnsi="仿宋" w:eastAsia="仿宋" w:cs="仿宋"/>
          <w:sz w:val="24"/>
          <w:szCs w:val="24"/>
        </w:rPr>
      </w:pPr>
      <w:bookmarkStart w:id="41" w:name="_Toc28359010"/>
      <w:bookmarkStart w:id="42" w:name="_Toc28359087"/>
      <w:r>
        <w:rPr>
          <w:rFonts w:hint="eastAsia" w:ascii="仿宋" w:hAnsi="仿宋" w:eastAsia="仿宋" w:cs="仿宋"/>
          <w:sz w:val="24"/>
          <w:szCs w:val="24"/>
        </w:rPr>
        <w:t>1.采购人信息</w:t>
      </w:r>
    </w:p>
    <w:p w14:paraId="25A3734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名称：如东县大豫镇人民政府</w:t>
      </w:r>
    </w:p>
    <w:p w14:paraId="0A89488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地址：如东县大豫镇新兴路8号</w:t>
      </w:r>
    </w:p>
    <w:p w14:paraId="4FAF1FB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 xml:space="preserve">联系人：袁灵宁 </w:t>
      </w:r>
    </w:p>
    <w:p w14:paraId="0C6027FE">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 xml:space="preserve">联系方式：13506271595 </w:t>
      </w:r>
    </w:p>
    <w:p w14:paraId="5FEAE87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2.采购代理机构信息</w:t>
      </w:r>
    </w:p>
    <w:p w14:paraId="51E4984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名称：南通城建工程项目管理有限公司</w:t>
      </w:r>
    </w:p>
    <w:p w14:paraId="49B302CF">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地址：如东县长江路27号</w:t>
      </w:r>
    </w:p>
    <w:p w14:paraId="737F945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联系人：陈工</w:t>
      </w:r>
    </w:p>
    <w:p w14:paraId="0069CE7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联系方式：13404206005</w:t>
      </w:r>
    </w:p>
    <w:p w14:paraId="762208B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3.项目联系方式</w:t>
      </w:r>
    </w:p>
    <w:p w14:paraId="12B42BE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 xml:space="preserve">项目联系人：袁灵宁 </w:t>
      </w:r>
    </w:p>
    <w:p w14:paraId="2504BDE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联系方式：13506271595  　</w:t>
      </w:r>
      <w:bookmarkEnd w:id="41"/>
      <w:bookmarkEnd w:id="42"/>
    </w:p>
    <w:p w14:paraId="41F5BB87">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4.软件维护人员</w:t>
      </w:r>
    </w:p>
    <w:p w14:paraId="0B2812DF">
      <w:pPr>
        <w:spacing w:line="480" w:lineRule="exact"/>
        <w:ind w:firstLine="480" w:firstLineChars="200"/>
        <w:rPr>
          <w:rFonts w:hint="eastAsia" w:ascii="仿宋" w:hAnsi="仿宋" w:eastAsia="仿宋" w:cs="仿宋"/>
          <w:b/>
          <w:bCs/>
          <w:sz w:val="32"/>
          <w:szCs w:val="32"/>
        </w:rPr>
      </w:pPr>
      <w:r>
        <w:rPr>
          <w:rFonts w:hint="eastAsia" w:ascii="仿宋" w:hAnsi="仿宋" w:eastAsia="仿宋" w:cs="仿宋"/>
          <w:color w:val="000000"/>
          <w:sz w:val="24"/>
          <w:szCs w:val="24"/>
        </w:rPr>
        <w:t xml:space="preserve">联系方式：0519-86722801、0519-86722806  </w:t>
      </w:r>
    </w:p>
    <w:p w14:paraId="1B68ACE9">
      <w:pPr>
        <w:spacing w:line="480" w:lineRule="exact"/>
        <w:rPr>
          <w:rFonts w:hint="eastAsia" w:ascii="仿宋" w:hAnsi="仿宋" w:eastAsia="仿宋" w:cs="仿宋"/>
          <w:b/>
          <w:bCs/>
          <w:sz w:val="32"/>
          <w:szCs w:val="32"/>
        </w:rPr>
      </w:pPr>
      <w:r>
        <w:rPr>
          <w:rFonts w:hint="eastAsia" w:ascii="仿宋" w:hAnsi="仿宋" w:eastAsia="仿宋" w:cs="仿宋"/>
          <w:b/>
          <w:bCs/>
          <w:sz w:val="32"/>
          <w:szCs w:val="32"/>
        </w:rPr>
        <w:t>八、其他</w:t>
      </w:r>
    </w:p>
    <w:p w14:paraId="19BE2D7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1. 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详见《江苏省政府采购管理交易系统(苏采云)供应商操作指南》（以下简称《操作指南》），《操作指南》链接：</w:t>
      </w:r>
      <w:r>
        <w:rPr>
          <w:rFonts w:hint="eastAsia" w:ascii="仿宋" w:hAnsi="仿宋" w:eastAsia="仿宋" w:cs="仿宋"/>
          <w:bCs/>
          <w:sz w:val="24"/>
          <w:szCs w:val="24"/>
        </w:rPr>
        <w:t>http://www.ccgp-jiangsu.gov.cn/jiangsu/zlxz/ee/ee3a4bc5a3454aa2b0d9312230633ce9.html。</w:t>
      </w:r>
    </w:p>
    <w:p w14:paraId="2FE2879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领取CA和办理电子签章请至南通市政务服务中心裙楼四楼CA办理窗口办理，详见《江苏省政府采购数字证书(供应商)CA及电子签章办理指南》），请及时进行注册并按要求制作、上传电子投标文件。</w:t>
      </w:r>
    </w:p>
    <w:p w14:paraId="2077AA0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2.有关本次招标的事项若存在变动或修改，敬请及时关注如东县公共资源代理机构在“江苏政府采购网”发布的更正公告。</w:t>
      </w:r>
    </w:p>
    <w:p w14:paraId="29C1CA8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3.本次招标不收取投标保证金。</w:t>
      </w:r>
    </w:p>
    <w:p w14:paraId="0A832836">
      <w:pPr>
        <w:ind w:right="840"/>
      </w:pPr>
      <w:bookmarkStart w:id="43" w:name="_Toc120614211"/>
    </w:p>
    <w:p w14:paraId="64AA5590">
      <w:pPr>
        <w:rPr>
          <w:rFonts w:hint="eastAsia" w:ascii="仿宋" w:hAnsi="仿宋" w:eastAsia="仿宋" w:cs="仿宋"/>
          <w:b/>
          <w:bCs/>
          <w:sz w:val="44"/>
          <w:szCs w:val="44"/>
        </w:rPr>
      </w:pPr>
      <w:bookmarkStart w:id="44" w:name="_Toc186493268"/>
      <w:r>
        <w:rPr>
          <w:rFonts w:hint="eastAsia" w:ascii="仿宋" w:hAnsi="仿宋" w:eastAsia="仿宋" w:cs="仿宋"/>
          <w:b/>
          <w:bCs/>
          <w:sz w:val="44"/>
          <w:szCs w:val="44"/>
        </w:rPr>
        <w:br w:type="page"/>
      </w:r>
    </w:p>
    <w:p w14:paraId="75A16D1F">
      <w:pPr>
        <w:ind w:right="840"/>
        <w:jc w:val="center"/>
        <w:outlineLvl w:val="0"/>
      </w:pPr>
      <w:r>
        <w:rPr>
          <w:rFonts w:hint="eastAsia" w:ascii="仿宋" w:hAnsi="仿宋" w:eastAsia="仿宋" w:cs="仿宋"/>
          <w:b/>
          <w:bCs/>
          <w:sz w:val="44"/>
          <w:szCs w:val="44"/>
        </w:rPr>
        <w:t xml:space="preserve">  第二章  </w:t>
      </w:r>
      <w:bookmarkEnd w:id="1"/>
      <w:bookmarkEnd w:id="2"/>
      <w:bookmarkEnd w:id="3"/>
      <w:bookmarkEnd w:id="4"/>
      <w:bookmarkEnd w:id="5"/>
      <w:bookmarkEnd w:id="43"/>
      <w:bookmarkStart w:id="45" w:name="_Toc16938518"/>
      <w:bookmarkStart w:id="46" w:name="_Toc513029202"/>
      <w:bookmarkStart w:id="47" w:name="_Toc20823274"/>
      <w:bookmarkStart w:id="48" w:name="_Toc120614213"/>
      <w:r>
        <w:rPr>
          <w:rFonts w:hint="eastAsia" w:ascii="仿宋" w:hAnsi="仿宋" w:eastAsia="仿宋" w:cs="仿宋"/>
          <w:b/>
          <w:bCs/>
          <w:sz w:val="44"/>
          <w:szCs w:val="44"/>
        </w:rPr>
        <w:t>投标人须知</w:t>
      </w:r>
      <w:bookmarkEnd w:id="44"/>
      <w:bookmarkEnd w:id="45"/>
      <w:bookmarkEnd w:id="46"/>
      <w:bookmarkEnd w:id="47"/>
      <w:bookmarkEnd w:id="48"/>
    </w:p>
    <w:p w14:paraId="4CE4291C">
      <w:pPr>
        <w:keepNext/>
        <w:keepLines/>
        <w:spacing w:before="145" w:after="145" w:line="400" w:lineRule="exact"/>
        <w:outlineLvl w:val="1"/>
        <w:rPr>
          <w:rFonts w:hint="eastAsia" w:ascii="仿宋" w:hAnsi="仿宋" w:eastAsia="仿宋" w:cs="仿宋"/>
          <w:b/>
          <w:bCs/>
          <w:sz w:val="32"/>
          <w:szCs w:val="32"/>
        </w:rPr>
      </w:pPr>
      <w:bookmarkStart w:id="49" w:name="_Toc120614214"/>
      <w:bookmarkStart w:id="50" w:name="_Toc513029203"/>
      <w:bookmarkStart w:id="51" w:name="_Toc16938519"/>
      <w:bookmarkStart w:id="52" w:name="_Toc20823275"/>
      <w:r>
        <w:rPr>
          <w:rFonts w:hint="eastAsia" w:ascii="仿宋" w:hAnsi="仿宋" w:eastAsia="仿宋" w:cs="仿宋"/>
          <w:b/>
          <w:bCs/>
          <w:sz w:val="32"/>
          <w:szCs w:val="32"/>
        </w:rPr>
        <w:t>一、总则</w:t>
      </w:r>
      <w:bookmarkEnd w:id="49"/>
      <w:bookmarkEnd w:id="50"/>
      <w:bookmarkEnd w:id="51"/>
      <w:bookmarkEnd w:id="52"/>
    </w:p>
    <w:p w14:paraId="6809F1E8">
      <w:pPr>
        <w:keepNext/>
        <w:keepLines/>
        <w:spacing w:line="400" w:lineRule="exact"/>
        <w:ind w:firstLine="422"/>
        <w:rPr>
          <w:rFonts w:hint="eastAsia" w:ascii="仿宋" w:hAnsi="仿宋" w:eastAsia="仿宋" w:cs="仿宋"/>
          <w:b/>
          <w:bCs/>
          <w:sz w:val="28"/>
          <w:szCs w:val="28"/>
        </w:rPr>
      </w:pPr>
      <w:bookmarkStart w:id="53" w:name="_Hlt16619475"/>
      <w:bookmarkEnd w:id="53"/>
      <w:bookmarkStart w:id="54" w:name="_Toc458694821"/>
      <w:bookmarkStart w:id="55" w:name="_Toc20823276"/>
      <w:bookmarkStart w:id="56" w:name="_Toc16938520"/>
      <w:bookmarkStart w:id="57" w:name="_Toc513029204"/>
      <w:r>
        <w:rPr>
          <w:rFonts w:hint="eastAsia" w:ascii="仿宋" w:hAnsi="仿宋" w:eastAsia="仿宋" w:cs="仿宋"/>
          <w:b/>
          <w:bCs/>
          <w:sz w:val="28"/>
          <w:szCs w:val="28"/>
        </w:rPr>
        <w:t>1</w:t>
      </w:r>
      <w:bookmarkEnd w:id="54"/>
      <w:r>
        <w:rPr>
          <w:rFonts w:hint="eastAsia" w:ascii="仿宋" w:hAnsi="仿宋" w:eastAsia="仿宋" w:cs="仿宋"/>
          <w:b/>
          <w:bCs/>
          <w:sz w:val="28"/>
          <w:szCs w:val="28"/>
        </w:rPr>
        <w:t>、招标方式</w:t>
      </w:r>
      <w:bookmarkEnd w:id="55"/>
      <w:bookmarkEnd w:id="56"/>
      <w:bookmarkEnd w:id="57"/>
    </w:p>
    <w:p w14:paraId="60925035">
      <w:pPr>
        <w:spacing w:line="500" w:lineRule="exact"/>
        <w:ind w:firstLine="480"/>
        <w:rPr>
          <w:rFonts w:hint="eastAsia" w:ascii="仿宋" w:hAnsi="仿宋" w:eastAsia="仿宋" w:cs="仿宋"/>
          <w:sz w:val="24"/>
        </w:rPr>
      </w:pPr>
      <w:r>
        <w:rPr>
          <w:rFonts w:hint="eastAsia" w:ascii="仿宋" w:hAnsi="仿宋" w:eastAsia="仿宋" w:cs="仿宋"/>
          <w:sz w:val="24"/>
        </w:rPr>
        <w:t>1.1 本次招标采取公开招标方式，本招标文件仅适用于招标公告中所述项目。</w:t>
      </w:r>
    </w:p>
    <w:p w14:paraId="681BF5EA">
      <w:pPr>
        <w:keepNext/>
        <w:keepLines/>
        <w:spacing w:line="400" w:lineRule="exact"/>
        <w:ind w:firstLine="422"/>
        <w:rPr>
          <w:rFonts w:hint="eastAsia" w:ascii="仿宋" w:hAnsi="仿宋" w:eastAsia="仿宋" w:cs="仿宋"/>
          <w:b/>
          <w:bCs/>
          <w:sz w:val="28"/>
          <w:szCs w:val="28"/>
        </w:rPr>
      </w:pPr>
      <w:bookmarkStart w:id="58" w:name="_Toc20823277"/>
      <w:bookmarkStart w:id="59" w:name="_Toc513029205"/>
      <w:bookmarkStart w:id="60" w:name="_Toc16938521"/>
      <w:r>
        <w:rPr>
          <w:rFonts w:hint="eastAsia" w:ascii="仿宋" w:hAnsi="仿宋" w:eastAsia="仿宋" w:cs="仿宋"/>
          <w:b/>
          <w:bCs/>
          <w:sz w:val="28"/>
          <w:szCs w:val="28"/>
        </w:rPr>
        <w:t>2、合格的投标人</w:t>
      </w:r>
      <w:bookmarkEnd w:id="58"/>
      <w:bookmarkEnd w:id="59"/>
      <w:bookmarkEnd w:id="60"/>
    </w:p>
    <w:p w14:paraId="13B60B18">
      <w:pPr>
        <w:spacing w:line="500" w:lineRule="exact"/>
        <w:ind w:firstLine="480"/>
        <w:rPr>
          <w:rFonts w:hint="eastAsia" w:ascii="仿宋" w:hAnsi="仿宋" w:eastAsia="仿宋" w:cs="仿宋"/>
          <w:sz w:val="24"/>
        </w:rPr>
      </w:pPr>
      <w:r>
        <w:rPr>
          <w:rFonts w:hint="eastAsia" w:ascii="仿宋" w:hAnsi="仿宋" w:eastAsia="仿宋" w:cs="仿宋"/>
          <w:sz w:val="24"/>
        </w:rPr>
        <w:t>2.1满足招标公告中供应商的资格要求的规定。</w:t>
      </w:r>
    </w:p>
    <w:p w14:paraId="49D45F93">
      <w:pPr>
        <w:spacing w:line="500" w:lineRule="exact"/>
        <w:ind w:firstLine="480"/>
        <w:rPr>
          <w:rFonts w:hint="eastAsia" w:ascii="仿宋" w:hAnsi="仿宋" w:eastAsia="仿宋" w:cs="仿宋"/>
          <w:sz w:val="24"/>
        </w:rPr>
      </w:pPr>
      <w:r>
        <w:rPr>
          <w:rFonts w:hint="eastAsia" w:ascii="仿宋" w:hAnsi="仿宋" w:eastAsia="仿宋" w:cs="仿宋"/>
          <w:sz w:val="24"/>
        </w:rPr>
        <w:t>2.2 满足本文件实质性要求的规定。</w:t>
      </w:r>
    </w:p>
    <w:p w14:paraId="73636BA8">
      <w:pPr>
        <w:keepNext/>
        <w:keepLines/>
        <w:spacing w:line="400" w:lineRule="exact"/>
        <w:ind w:firstLine="422"/>
        <w:rPr>
          <w:rFonts w:hint="eastAsia" w:ascii="仿宋" w:hAnsi="仿宋" w:eastAsia="仿宋" w:cs="仿宋"/>
          <w:b/>
          <w:bCs/>
          <w:sz w:val="28"/>
          <w:szCs w:val="28"/>
        </w:rPr>
      </w:pPr>
      <w:bookmarkStart w:id="61" w:name="_Toc16938522"/>
      <w:bookmarkStart w:id="62" w:name="_Toc513029206"/>
      <w:bookmarkStart w:id="63" w:name="_Toc20823278"/>
      <w:r>
        <w:rPr>
          <w:rFonts w:hint="eastAsia" w:ascii="仿宋" w:hAnsi="仿宋" w:eastAsia="仿宋" w:cs="仿宋"/>
          <w:b/>
          <w:bCs/>
          <w:sz w:val="28"/>
          <w:szCs w:val="28"/>
        </w:rPr>
        <w:t>3、适用法律</w:t>
      </w:r>
      <w:bookmarkEnd w:id="61"/>
      <w:bookmarkEnd w:id="62"/>
      <w:bookmarkEnd w:id="63"/>
    </w:p>
    <w:p w14:paraId="48260364">
      <w:pPr>
        <w:spacing w:line="400" w:lineRule="exact"/>
        <w:ind w:firstLine="420"/>
        <w:rPr>
          <w:rFonts w:hint="eastAsia" w:ascii="仿宋" w:hAnsi="仿宋" w:eastAsia="仿宋" w:cs="仿宋"/>
          <w:sz w:val="24"/>
        </w:rPr>
      </w:pPr>
      <w:r>
        <w:rPr>
          <w:rFonts w:hint="eastAsia" w:ascii="仿宋" w:hAnsi="仿宋" w:eastAsia="仿宋" w:cs="仿宋"/>
          <w:sz w:val="24"/>
        </w:rPr>
        <w:t>3.1 本次招标及由此产生的合同受中华人民共和国有关的法律法规制约和保护。</w:t>
      </w:r>
    </w:p>
    <w:p w14:paraId="755CFACD">
      <w:pPr>
        <w:keepNext/>
        <w:keepLines/>
        <w:spacing w:line="400" w:lineRule="exact"/>
        <w:ind w:firstLine="422" w:firstLineChars="150"/>
        <w:rPr>
          <w:rFonts w:hint="eastAsia" w:ascii="仿宋" w:hAnsi="仿宋" w:eastAsia="仿宋" w:cs="仿宋"/>
          <w:b/>
          <w:bCs/>
          <w:color w:val="000000"/>
          <w:sz w:val="28"/>
          <w:szCs w:val="28"/>
        </w:rPr>
      </w:pPr>
      <w:bookmarkStart w:id="64" w:name="_Toc20823279"/>
      <w:bookmarkStart w:id="65" w:name="_Toc16938523"/>
      <w:bookmarkStart w:id="66" w:name="_Toc513029207"/>
      <w:bookmarkStart w:id="67" w:name="_Toc462564067"/>
      <w:r>
        <w:rPr>
          <w:rFonts w:hint="eastAsia" w:ascii="仿宋" w:hAnsi="仿宋" w:eastAsia="仿宋" w:cs="仿宋"/>
          <w:b/>
          <w:bCs/>
          <w:color w:val="000000"/>
          <w:sz w:val="28"/>
          <w:szCs w:val="28"/>
        </w:rPr>
        <w:t>4、投标费用</w:t>
      </w:r>
      <w:bookmarkEnd w:id="64"/>
      <w:bookmarkEnd w:id="65"/>
      <w:bookmarkEnd w:id="66"/>
      <w:bookmarkEnd w:id="67"/>
    </w:p>
    <w:p w14:paraId="3BC421D6">
      <w:pPr>
        <w:spacing w:line="500" w:lineRule="exact"/>
        <w:ind w:firstLine="480" w:firstLineChars="200"/>
        <w:rPr>
          <w:rFonts w:hint="eastAsia" w:ascii="仿宋" w:hAnsi="仿宋" w:eastAsia="仿宋" w:cs="仿宋"/>
          <w:sz w:val="24"/>
        </w:rPr>
      </w:pPr>
      <w:r>
        <w:rPr>
          <w:rFonts w:hint="eastAsia" w:ascii="仿宋" w:hAnsi="仿宋" w:eastAsia="仿宋" w:cs="仿宋"/>
          <w:bCs/>
          <w:sz w:val="24"/>
        </w:rPr>
        <w:t>4.1</w:t>
      </w:r>
      <w:r>
        <w:rPr>
          <w:rFonts w:hint="eastAsia" w:ascii="仿宋" w:hAnsi="仿宋" w:eastAsia="仿宋" w:cs="仿宋"/>
          <w:sz w:val="24"/>
        </w:rPr>
        <w:t xml:space="preserve"> 投标人应自行承担所有与参加投标有关的费用，无论投标过程中的做法和结果如何，采购人在任何情况下均无义务和责任承担这些费用。</w:t>
      </w:r>
    </w:p>
    <w:p w14:paraId="4707CABC">
      <w:pPr>
        <w:spacing w:line="500" w:lineRule="exact"/>
        <w:ind w:firstLine="480" w:firstLineChars="200"/>
        <w:rPr>
          <w:rFonts w:hint="eastAsia" w:ascii="仿宋" w:hAnsi="仿宋" w:eastAsia="仿宋" w:cs="仿宋"/>
          <w:sz w:val="24"/>
        </w:rPr>
      </w:pPr>
      <w:r>
        <w:rPr>
          <w:rFonts w:hint="eastAsia" w:ascii="仿宋" w:hAnsi="仿宋" w:eastAsia="仿宋" w:cs="仿宋"/>
          <w:sz w:val="24"/>
        </w:rPr>
        <w:t>4.2本次招标</w:t>
      </w:r>
      <w:r>
        <w:rPr>
          <w:rFonts w:hint="eastAsia" w:ascii="仿宋" w:hAnsi="仿宋" w:eastAsia="仿宋" w:cs="仿宋"/>
          <w:sz w:val="24"/>
          <w:lang w:val="en-US" w:eastAsia="zh-CN"/>
        </w:rPr>
        <w:t>代理服务费由成交供应商支付，收费标准为中标价*2.5‰，请各投标单位报价时综合考虑</w:t>
      </w:r>
      <w:r>
        <w:rPr>
          <w:rFonts w:hint="eastAsia" w:ascii="仿宋" w:hAnsi="仿宋" w:eastAsia="仿宋" w:cs="仿宋"/>
          <w:sz w:val="24"/>
        </w:rPr>
        <w:t>。</w:t>
      </w:r>
      <w:bookmarkStart w:id="232" w:name="_GoBack"/>
      <w:bookmarkEnd w:id="232"/>
    </w:p>
    <w:p w14:paraId="10F97A59">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color w:val="000000"/>
          <w:sz w:val="28"/>
          <w:szCs w:val="28"/>
        </w:rPr>
        <w:t>5、招标文件的约束力</w:t>
      </w:r>
    </w:p>
    <w:p w14:paraId="4DD758F6">
      <w:pPr>
        <w:spacing w:line="480" w:lineRule="exact"/>
        <w:ind w:firstLine="480"/>
        <w:rPr>
          <w:rFonts w:hint="eastAsia" w:ascii="仿宋" w:hAnsi="仿宋" w:eastAsia="仿宋" w:cs="仿宋"/>
          <w:sz w:val="24"/>
          <w:szCs w:val="24"/>
        </w:rPr>
      </w:pPr>
      <w:r>
        <w:rPr>
          <w:rFonts w:hint="eastAsia" w:ascii="仿宋" w:hAnsi="仿宋" w:eastAsia="仿宋" w:cs="仿宋"/>
          <w:bCs/>
          <w:sz w:val="24"/>
          <w:szCs w:val="24"/>
        </w:rPr>
        <w:t>5.1</w:t>
      </w:r>
      <w:r>
        <w:rPr>
          <w:rFonts w:hint="eastAsia" w:ascii="仿宋" w:hAnsi="仿宋" w:eastAsia="仿宋" w:cs="仿宋"/>
          <w:sz w:val="24"/>
          <w:szCs w:val="24"/>
        </w:rPr>
        <w:t>投标人一旦参加本项目采购活动，即被认为接受了本招标文件的规定和约束。</w:t>
      </w:r>
    </w:p>
    <w:p w14:paraId="597CAAC9">
      <w:pPr>
        <w:keepNext/>
        <w:keepLines/>
        <w:spacing w:before="145" w:after="145" w:line="400" w:lineRule="exact"/>
        <w:outlineLvl w:val="1"/>
        <w:rPr>
          <w:rFonts w:hint="eastAsia" w:ascii="仿宋" w:hAnsi="仿宋" w:eastAsia="仿宋" w:cs="仿宋"/>
          <w:b/>
          <w:bCs/>
          <w:sz w:val="32"/>
          <w:szCs w:val="32"/>
        </w:rPr>
      </w:pPr>
      <w:bookmarkStart w:id="68" w:name="_Toc513029209"/>
      <w:bookmarkStart w:id="69" w:name="_Toc20823281"/>
      <w:bookmarkStart w:id="70" w:name="_Toc120614215"/>
      <w:bookmarkStart w:id="71" w:name="_Toc16938525"/>
      <w:r>
        <w:rPr>
          <w:rFonts w:hint="eastAsia" w:ascii="仿宋" w:hAnsi="仿宋" w:eastAsia="仿宋" w:cs="仿宋"/>
          <w:b/>
          <w:bCs/>
          <w:sz w:val="32"/>
          <w:szCs w:val="32"/>
        </w:rPr>
        <w:t>二、招标文件</w:t>
      </w:r>
      <w:bookmarkEnd w:id="68"/>
      <w:bookmarkEnd w:id="69"/>
      <w:bookmarkEnd w:id="70"/>
      <w:bookmarkEnd w:id="71"/>
    </w:p>
    <w:p w14:paraId="1EB0BD8F">
      <w:pPr>
        <w:keepNext/>
        <w:keepLines/>
        <w:spacing w:line="400" w:lineRule="exact"/>
        <w:ind w:firstLine="422"/>
        <w:rPr>
          <w:rFonts w:hint="eastAsia" w:ascii="仿宋" w:hAnsi="仿宋" w:eastAsia="仿宋" w:cs="仿宋"/>
          <w:b/>
          <w:bCs/>
          <w:sz w:val="28"/>
          <w:szCs w:val="28"/>
        </w:rPr>
      </w:pPr>
      <w:bookmarkStart w:id="72" w:name="_Toc20823282"/>
      <w:bookmarkStart w:id="73" w:name="_Toc513029210"/>
      <w:bookmarkStart w:id="74" w:name="_Toc16938526"/>
      <w:r>
        <w:rPr>
          <w:rFonts w:hint="eastAsia" w:ascii="仿宋" w:hAnsi="仿宋" w:eastAsia="仿宋" w:cs="仿宋"/>
          <w:b/>
          <w:bCs/>
          <w:sz w:val="28"/>
          <w:szCs w:val="28"/>
        </w:rPr>
        <w:t>6、招标文件构成</w:t>
      </w:r>
      <w:bookmarkEnd w:id="72"/>
      <w:bookmarkEnd w:id="73"/>
      <w:bookmarkEnd w:id="74"/>
    </w:p>
    <w:p w14:paraId="7D64D6EF">
      <w:pPr>
        <w:spacing w:line="500" w:lineRule="exact"/>
        <w:ind w:firstLine="480"/>
        <w:rPr>
          <w:rFonts w:hint="eastAsia" w:ascii="仿宋" w:hAnsi="仿宋" w:eastAsia="仿宋" w:cs="仿宋"/>
          <w:bCs/>
          <w:sz w:val="24"/>
        </w:rPr>
      </w:pPr>
      <w:r>
        <w:rPr>
          <w:rFonts w:hint="eastAsia" w:ascii="仿宋" w:hAnsi="仿宋" w:eastAsia="仿宋" w:cs="仿宋"/>
          <w:bCs/>
          <w:sz w:val="24"/>
        </w:rPr>
        <w:t>6.1 招标文件由以下部分组成：</w:t>
      </w:r>
    </w:p>
    <w:p w14:paraId="209693AD">
      <w:pPr>
        <w:spacing w:line="500" w:lineRule="exact"/>
        <w:ind w:firstLine="480"/>
        <w:rPr>
          <w:rFonts w:hint="eastAsia" w:ascii="仿宋" w:hAnsi="仿宋" w:eastAsia="仿宋" w:cs="仿宋"/>
          <w:bCs/>
          <w:sz w:val="24"/>
        </w:rPr>
      </w:pPr>
      <w:r>
        <w:rPr>
          <w:rFonts w:hint="eastAsia" w:ascii="仿宋" w:hAnsi="仿宋" w:eastAsia="仿宋" w:cs="仿宋"/>
          <w:bCs/>
          <w:sz w:val="24"/>
        </w:rPr>
        <w:t>（1）投标邀请</w:t>
      </w:r>
    </w:p>
    <w:p w14:paraId="4BAC0945">
      <w:pPr>
        <w:tabs>
          <w:tab w:val="center" w:pos="4476"/>
        </w:tabs>
        <w:spacing w:line="500" w:lineRule="exact"/>
        <w:ind w:firstLine="480"/>
        <w:rPr>
          <w:rFonts w:hint="eastAsia" w:ascii="仿宋" w:hAnsi="仿宋" w:eastAsia="仿宋" w:cs="仿宋"/>
          <w:bCs/>
          <w:sz w:val="24"/>
        </w:rPr>
      </w:pPr>
      <w:r>
        <w:rPr>
          <w:rFonts w:hint="eastAsia" w:ascii="仿宋" w:hAnsi="仿宋" w:eastAsia="仿宋" w:cs="仿宋"/>
          <w:bCs/>
          <w:sz w:val="24"/>
        </w:rPr>
        <w:t>（2）投标人须知</w:t>
      </w:r>
      <w:r>
        <w:rPr>
          <w:rFonts w:hint="eastAsia" w:ascii="仿宋" w:hAnsi="仿宋" w:eastAsia="仿宋" w:cs="仿宋"/>
          <w:bCs/>
          <w:sz w:val="24"/>
        </w:rPr>
        <w:tab/>
      </w:r>
    </w:p>
    <w:p w14:paraId="21EC8977">
      <w:pPr>
        <w:spacing w:line="500" w:lineRule="exact"/>
        <w:ind w:firstLine="480"/>
        <w:rPr>
          <w:rFonts w:hint="eastAsia" w:ascii="仿宋" w:hAnsi="仿宋" w:eastAsia="仿宋" w:cs="仿宋"/>
          <w:bCs/>
          <w:sz w:val="24"/>
        </w:rPr>
      </w:pPr>
      <w:r>
        <w:rPr>
          <w:rFonts w:hint="eastAsia" w:ascii="仿宋" w:hAnsi="仿宋" w:eastAsia="仿宋" w:cs="仿宋"/>
          <w:bCs/>
          <w:sz w:val="24"/>
        </w:rPr>
        <w:t>（3）合同文本</w:t>
      </w:r>
    </w:p>
    <w:p w14:paraId="0A625534">
      <w:pPr>
        <w:spacing w:line="500" w:lineRule="exact"/>
        <w:ind w:firstLine="480"/>
        <w:rPr>
          <w:rFonts w:hint="eastAsia" w:ascii="仿宋" w:hAnsi="仿宋" w:eastAsia="仿宋" w:cs="仿宋"/>
          <w:bCs/>
          <w:sz w:val="24"/>
        </w:rPr>
      </w:pPr>
      <w:r>
        <w:rPr>
          <w:rFonts w:hint="eastAsia" w:ascii="仿宋" w:hAnsi="仿宋" w:eastAsia="仿宋" w:cs="仿宋"/>
          <w:bCs/>
          <w:sz w:val="24"/>
        </w:rPr>
        <w:t>（4）采购需求</w:t>
      </w:r>
    </w:p>
    <w:p w14:paraId="796B5D7D">
      <w:pPr>
        <w:spacing w:line="500" w:lineRule="exact"/>
        <w:ind w:firstLine="480"/>
        <w:rPr>
          <w:rFonts w:hint="eastAsia" w:ascii="仿宋" w:hAnsi="仿宋" w:eastAsia="仿宋" w:cs="仿宋"/>
          <w:bCs/>
          <w:sz w:val="24"/>
        </w:rPr>
      </w:pPr>
      <w:r>
        <w:rPr>
          <w:rFonts w:hint="eastAsia" w:ascii="仿宋" w:hAnsi="仿宋" w:eastAsia="仿宋" w:cs="仿宋"/>
          <w:bCs/>
          <w:sz w:val="24"/>
        </w:rPr>
        <w:t>（5）评标方法与评标标准</w:t>
      </w:r>
    </w:p>
    <w:p w14:paraId="26EE8E0E">
      <w:pPr>
        <w:spacing w:line="500" w:lineRule="exact"/>
        <w:ind w:firstLine="480"/>
        <w:rPr>
          <w:rFonts w:hint="eastAsia" w:ascii="仿宋" w:hAnsi="仿宋" w:eastAsia="仿宋" w:cs="仿宋"/>
          <w:bCs/>
          <w:sz w:val="24"/>
        </w:rPr>
      </w:pPr>
      <w:r>
        <w:rPr>
          <w:rFonts w:hint="eastAsia" w:ascii="仿宋" w:hAnsi="仿宋" w:eastAsia="仿宋" w:cs="仿宋"/>
          <w:bCs/>
          <w:sz w:val="24"/>
        </w:rPr>
        <w:t>（6）投标文件格式</w:t>
      </w:r>
    </w:p>
    <w:p w14:paraId="28CC7C7D">
      <w:pPr>
        <w:spacing w:line="500" w:lineRule="exact"/>
        <w:ind w:firstLine="480"/>
        <w:rPr>
          <w:rFonts w:hint="eastAsia" w:ascii="仿宋" w:hAnsi="仿宋" w:eastAsia="仿宋" w:cs="仿宋"/>
          <w:sz w:val="24"/>
        </w:rPr>
      </w:pPr>
      <w:r>
        <w:rPr>
          <w:rFonts w:hint="eastAsia" w:ascii="仿宋" w:hAnsi="仿宋" w:eastAsia="仿宋" w:cs="仿宋"/>
          <w:sz w:val="24"/>
        </w:rPr>
        <w:t>请仔细检查招标文件是否齐全，如有缺漏请立即与代理机构联系解决。</w:t>
      </w:r>
    </w:p>
    <w:p w14:paraId="47D0933D">
      <w:pPr>
        <w:spacing w:line="500" w:lineRule="exact"/>
        <w:ind w:firstLine="480"/>
        <w:rPr>
          <w:rFonts w:hint="eastAsia" w:ascii="仿宋" w:hAnsi="仿宋" w:eastAsia="仿宋" w:cs="仿宋"/>
          <w:sz w:val="24"/>
        </w:rPr>
      </w:pPr>
      <w:r>
        <w:rPr>
          <w:rFonts w:hint="eastAsia" w:ascii="仿宋" w:hAnsi="仿宋" w:eastAsia="仿宋" w:cs="仿宋"/>
          <w:bCs/>
          <w:sz w:val="24"/>
        </w:rPr>
        <w:t>6.2</w:t>
      </w:r>
      <w:r>
        <w:rPr>
          <w:rFonts w:hint="eastAsia" w:ascii="仿宋" w:hAnsi="仿宋" w:eastAsia="仿宋" w:cs="仿宋"/>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7AD5E1C">
      <w:pPr>
        <w:keepNext/>
        <w:keepLines/>
        <w:spacing w:line="400" w:lineRule="exact"/>
        <w:ind w:firstLine="422"/>
        <w:rPr>
          <w:rFonts w:hint="eastAsia" w:ascii="仿宋" w:hAnsi="仿宋" w:eastAsia="仿宋" w:cs="仿宋"/>
          <w:b/>
          <w:bCs/>
          <w:sz w:val="28"/>
          <w:szCs w:val="28"/>
        </w:rPr>
      </w:pPr>
      <w:bookmarkStart w:id="75" w:name="_Toc462564070"/>
      <w:bookmarkStart w:id="76" w:name="_Toc20823283"/>
      <w:bookmarkStart w:id="77" w:name="_Toc513029211"/>
      <w:bookmarkStart w:id="78" w:name="_Toc16938527"/>
      <w:r>
        <w:rPr>
          <w:rFonts w:hint="eastAsia" w:ascii="仿宋" w:hAnsi="仿宋" w:eastAsia="仿宋" w:cs="仿宋"/>
          <w:b/>
          <w:bCs/>
          <w:sz w:val="28"/>
          <w:szCs w:val="28"/>
        </w:rPr>
        <w:t>7、招标文件的澄清</w:t>
      </w:r>
      <w:bookmarkEnd w:id="75"/>
      <w:bookmarkEnd w:id="76"/>
      <w:bookmarkEnd w:id="77"/>
      <w:bookmarkEnd w:id="78"/>
    </w:p>
    <w:p w14:paraId="41000E92">
      <w:pPr>
        <w:spacing w:line="500" w:lineRule="exact"/>
        <w:ind w:firstLine="480"/>
        <w:rPr>
          <w:rFonts w:hint="eastAsia" w:ascii="仿宋" w:hAnsi="仿宋" w:eastAsia="仿宋" w:cs="仿宋"/>
          <w:sz w:val="24"/>
        </w:rPr>
      </w:pPr>
      <w:r>
        <w:rPr>
          <w:rFonts w:hint="eastAsia" w:ascii="仿宋" w:hAnsi="仿宋" w:eastAsia="仿宋" w:cs="仿宋"/>
          <w:sz w:val="24"/>
        </w:rPr>
        <w:t>7.1任何要求对招标文件进行澄清的投标人，应在投标截止期十日前按招标公告中的通讯地址，以书面形式通知采购人。采购人有权对发出的招标文件进行必要的澄清或修改。</w:t>
      </w:r>
    </w:p>
    <w:p w14:paraId="3A3BCBEF">
      <w:pPr>
        <w:spacing w:line="500" w:lineRule="exact"/>
        <w:ind w:firstLine="480"/>
        <w:rPr>
          <w:rFonts w:hint="eastAsia" w:ascii="仿宋" w:hAnsi="仿宋" w:eastAsia="仿宋" w:cs="仿宋"/>
          <w:sz w:val="24"/>
        </w:rPr>
      </w:pPr>
      <w:r>
        <w:rPr>
          <w:rFonts w:hint="eastAsia" w:ascii="仿宋" w:hAnsi="仿宋" w:eastAsia="仿宋" w:cs="仿宋"/>
          <w:sz w:val="24"/>
        </w:rPr>
        <w:t>7.2采购人视情况组织答疑会。</w:t>
      </w:r>
    </w:p>
    <w:p w14:paraId="230B61F3">
      <w:pPr>
        <w:keepNext/>
        <w:keepLines/>
        <w:spacing w:line="400" w:lineRule="exact"/>
        <w:ind w:firstLine="422"/>
        <w:rPr>
          <w:rFonts w:hint="eastAsia" w:ascii="仿宋" w:hAnsi="仿宋" w:eastAsia="仿宋" w:cs="仿宋"/>
          <w:b/>
          <w:bCs/>
          <w:sz w:val="28"/>
          <w:szCs w:val="28"/>
        </w:rPr>
      </w:pPr>
      <w:bookmarkStart w:id="79" w:name="_Toc513029212"/>
      <w:bookmarkStart w:id="80" w:name="_Toc462564071"/>
      <w:bookmarkStart w:id="81" w:name="_Toc16938528"/>
      <w:bookmarkStart w:id="82" w:name="_Toc20823284"/>
      <w:r>
        <w:rPr>
          <w:rFonts w:hint="eastAsia" w:ascii="仿宋" w:hAnsi="仿宋" w:eastAsia="仿宋" w:cs="仿宋"/>
          <w:b/>
          <w:bCs/>
          <w:sz w:val="28"/>
          <w:szCs w:val="28"/>
        </w:rPr>
        <w:t>8、招标文件的修改</w:t>
      </w:r>
      <w:bookmarkEnd w:id="79"/>
      <w:bookmarkEnd w:id="80"/>
      <w:bookmarkEnd w:id="81"/>
      <w:bookmarkEnd w:id="82"/>
    </w:p>
    <w:p w14:paraId="06B95DC1">
      <w:pPr>
        <w:spacing w:line="500" w:lineRule="exact"/>
        <w:ind w:firstLine="480"/>
        <w:rPr>
          <w:rFonts w:hint="eastAsia" w:ascii="仿宋" w:hAnsi="仿宋" w:eastAsia="仿宋" w:cs="仿宋"/>
          <w:sz w:val="24"/>
        </w:rPr>
      </w:pPr>
      <w:r>
        <w:rPr>
          <w:rFonts w:hint="eastAsia" w:ascii="仿宋" w:hAnsi="仿宋" w:eastAsia="仿宋" w:cs="仿宋"/>
          <w:bCs/>
          <w:sz w:val="24"/>
        </w:rPr>
        <w:t>8.1</w:t>
      </w:r>
      <w:r>
        <w:rPr>
          <w:rFonts w:hint="eastAsia" w:ascii="仿宋" w:hAnsi="仿宋" w:eastAsia="仿宋" w:cs="仿宋"/>
          <w:sz w:val="24"/>
        </w:rPr>
        <w:t xml:space="preserve"> 在投标截止时间前，代理机构可以对招标文件进行修改。</w:t>
      </w:r>
    </w:p>
    <w:p w14:paraId="104E6A9E">
      <w:pPr>
        <w:spacing w:line="500" w:lineRule="exact"/>
        <w:ind w:firstLine="480"/>
        <w:rPr>
          <w:rFonts w:hint="eastAsia" w:ascii="仿宋" w:hAnsi="仿宋" w:eastAsia="仿宋" w:cs="仿宋"/>
          <w:sz w:val="28"/>
        </w:rPr>
      </w:pPr>
      <w:r>
        <w:rPr>
          <w:rFonts w:hint="eastAsia" w:ascii="仿宋" w:hAnsi="仿宋" w:eastAsia="仿宋" w:cs="仿宋"/>
          <w:bCs/>
          <w:sz w:val="24"/>
        </w:rPr>
        <w:t xml:space="preserve">8.2 </w:t>
      </w:r>
      <w:r>
        <w:rPr>
          <w:rFonts w:hint="eastAsia" w:ascii="仿宋" w:hAnsi="仿宋" w:eastAsia="仿宋" w:cs="仿宋"/>
          <w:sz w:val="24"/>
        </w:rPr>
        <w:t>代理机构</w:t>
      </w:r>
      <w:r>
        <w:rPr>
          <w:rFonts w:hint="eastAsia" w:ascii="仿宋" w:hAnsi="仿宋" w:eastAsia="仿宋" w:cs="仿宋"/>
          <w:sz w:val="24"/>
          <w:szCs w:val="24"/>
        </w:rPr>
        <w:t>有权按照法定的要求</w:t>
      </w:r>
      <w:r>
        <w:rPr>
          <w:rFonts w:hint="eastAsia" w:ascii="仿宋" w:hAnsi="仿宋" w:eastAsia="仿宋" w:cs="仿宋"/>
          <w:sz w:val="24"/>
        </w:rPr>
        <w:t>推迟投标截止日期和开标日期。</w:t>
      </w:r>
    </w:p>
    <w:p w14:paraId="2B5CD709">
      <w:pPr>
        <w:spacing w:line="500" w:lineRule="exact"/>
        <w:ind w:firstLine="480"/>
        <w:rPr>
          <w:rFonts w:hint="eastAsia" w:ascii="仿宋" w:hAnsi="仿宋" w:eastAsia="仿宋" w:cs="仿宋"/>
          <w:sz w:val="24"/>
        </w:rPr>
      </w:pPr>
      <w:r>
        <w:rPr>
          <w:rFonts w:hint="eastAsia" w:ascii="仿宋" w:hAnsi="仿宋" w:eastAsia="仿宋" w:cs="仿宋"/>
          <w:bCs/>
          <w:sz w:val="24"/>
        </w:rPr>
        <w:t xml:space="preserve">8.3 </w:t>
      </w:r>
      <w:r>
        <w:rPr>
          <w:rFonts w:hint="eastAsia" w:ascii="仿宋" w:hAnsi="仿宋" w:eastAsia="仿宋" w:cs="仿宋"/>
          <w:sz w:val="24"/>
        </w:rPr>
        <w:t>招标文件的修改将在江苏政府采购网公布，</w:t>
      </w:r>
      <w:r>
        <w:rPr>
          <w:rFonts w:hint="eastAsia" w:ascii="仿宋" w:hAnsi="仿宋" w:eastAsia="仿宋" w:cs="仿宋"/>
          <w:sz w:val="24"/>
          <w:szCs w:val="24"/>
        </w:rPr>
        <w:t>补充文件将作为招标文件的组成部分，</w:t>
      </w:r>
      <w:r>
        <w:rPr>
          <w:rFonts w:hint="eastAsia" w:ascii="仿宋" w:hAnsi="仿宋" w:eastAsia="仿宋" w:cs="仿宋"/>
          <w:sz w:val="24"/>
        </w:rPr>
        <w:t>并对投标人具有约束力。</w:t>
      </w:r>
    </w:p>
    <w:p w14:paraId="23B2517B">
      <w:pPr>
        <w:keepNext/>
        <w:keepLines/>
        <w:spacing w:before="145" w:after="145" w:line="400" w:lineRule="exact"/>
        <w:outlineLvl w:val="1"/>
        <w:rPr>
          <w:rFonts w:hint="eastAsia" w:ascii="仿宋" w:hAnsi="仿宋" w:eastAsia="仿宋" w:cs="仿宋"/>
          <w:b/>
          <w:bCs/>
          <w:sz w:val="32"/>
          <w:szCs w:val="32"/>
        </w:rPr>
      </w:pPr>
      <w:bookmarkStart w:id="83" w:name="_Toc462564072"/>
      <w:bookmarkStart w:id="84" w:name="_Toc16938529"/>
      <w:bookmarkStart w:id="85" w:name="_Toc120614216"/>
      <w:bookmarkStart w:id="86" w:name="_Toc20823285"/>
      <w:bookmarkStart w:id="87" w:name="_Toc513029213"/>
      <w:r>
        <w:rPr>
          <w:rFonts w:hint="eastAsia" w:ascii="仿宋" w:hAnsi="仿宋" w:eastAsia="仿宋" w:cs="仿宋"/>
          <w:b/>
          <w:bCs/>
          <w:sz w:val="32"/>
          <w:szCs w:val="32"/>
        </w:rPr>
        <w:t>三、投标文件的编制</w:t>
      </w:r>
      <w:bookmarkEnd w:id="83"/>
      <w:bookmarkEnd w:id="84"/>
      <w:bookmarkEnd w:id="85"/>
      <w:bookmarkEnd w:id="86"/>
      <w:bookmarkEnd w:id="87"/>
    </w:p>
    <w:p w14:paraId="0AECB407">
      <w:pPr>
        <w:keepNext/>
        <w:keepLines/>
        <w:spacing w:line="400" w:lineRule="exact"/>
        <w:ind w:firstLine="422"/>
        <w:rPr>
          <w:rFonts w:hint="eastAsia" w:ascii="仿宋" w:hAnsi="仿宋" w:eastAsia="仿宋" w:cs="仿宋"/>
          <w:b/>
          <w:bCs/>
          <w:sz w:val="28"/>
          <w:szCs w:val="28"/>
        </w:rPr>
      </w:pPr>
      <w:bookmarkStart w:id="88" w:name="_Toc462564073"/>
      <w:bookmarkStart w:id="89" w:name="_Toc20823286"/>
      <w:bookmarkStart w:id="90" w:name="_Toc16938530"/>
      <w:bookmarkStart w:id="91" w:name="_Toc513029214"/>
      <w:r>
        <w:rPr>
          <w:rFonts w:hint="eastAsia" w:ascii="仿宋" w:hAnsi="仿宋" w:eastAsia="仿宋" w:cs="仿宋"/>
          <w:b/>
          <w:bCs/>
          <w:sz w:val="28"/>
          <w:szCs w:val="28"/>
        </w:rPr>
        <w:t>9、投标文件的语言及度量衡单位</w:t>
      </w:r>
      <w:bookmarkEnd w:id="88"/>
      <w:bookmarkEnd w:id="89"/>
      <w:bookmarkEnd w:id="90"/>
      <w:bookmarkEnd w:id="91"/>
    </w:p>
    <w:p w14:paraId="35C329F0">
      <w:pPr>
        <w:spacing w:line="500" w:lineRule="exact"/>
        <w:ind w:firstLine="480"/>
        <w:rPr>
          <w:rFonts w:hint="eastAsia" w:ascii="仿宋" w:hAnsi="仿宋" w:eastAsia="仿宋" w:cs="仿宋"/>
          <w:sz w:val="24"/>
        </w:rPr>
      </w:pPr>
      <w:r>
        <w:rPr>
          <w:rFonts w:hint="eastAsia" w:ascii="仿宋" w:hAnsi="仿宋" w:eastAsia="仿宋" w:cs="仿宋"/>
          <w:bCs/>
          <w:sz w:val="24"/>
        </w:rPr>
        <w:t>9.1</w:t>
      </w:r>
      <w:r>
        <w:rPr>
          <w:rFonts w:hint="eastAsia" w:ascii="仿宋" w:hAnsi="仿宋" w:eastAsia="仿宋" w:cs="仿宋"/>
          <w:sz w:val="24"/>
        </w:rPr>
        <w:t>投标人提交的投标文件以及投标人与代理机构就有关投标的所有来往通知、函件和文件均应使用</w:t>
      </w:r>
      <w:r>
        <w:rPr>
          <w:rFonts w:hint="eastAsia" w:ascii="仿宋" w:hAnsi="仿宋" w:eastAsia="仿宋" w:cs="仿宋"/>
          <w:b/>
          <w:bCs/>
          <w:sz w:val="24"/>
        </w:rPr>
        <w:t>简体中文</w:t>
      </w:r>
      <w:r>
        <w:rPr>
          <w:rFonts w:hint="eastAsia" w:ascii="仿宋" w:hAnsi="仿宋" w:eastAsia="仿宋" w:cs="仿宋"/>
          <w:sz w:val="24"/>
        </w:rPr>
        <w:t>。</w:t>
      </w:r>
    </w:p>
    <w:p w14:paraId="1B2CBB46">
      <w:pPr>
        <w:spacing w:line="500" w:lineRule="exact"/>
        <w:ind w:firstLine="480"/>
        <w:rPr>
          <w:rFonts w:hint="eastAsia" w:ascii="仿宋" w:hAnsi="仿宋" w:eastAsia="仿宋" w:cs="仿宋"/>
          <w:sz w:val="24"/>
        </w:rPr>
      </w:pPr>
      <w:r>
        <w:rPr>
          <w:rFonts w:hint="eastAsia" w:ascii="仿宋" w:hAnsi="仿宋" w:eastAsia="仿宋" w:cs="仿宋"/>
          <w:bCs/>
          <w:sz w:val="24"/>
        </w:rPr>
        <w:t>9.2</w:t>
      </w:r>
      <w:r>
        <w:rPr>
          <w:rFonts w:hint="eastAsia" w:ascii="仿宋" w:hAnsi="仿宋" w:eastAsia="仿宋" w:cs="仿宋"/>
          <w:sz w:val="24"/>
        </w:rPr>
        <w:t xml:space="preserve"> 除技术性能另有规定外，投标文件所使用的度量衡单位，均须采用国家法定计量单位。</w:t>
      </w:r>
    </w:p>
    <w:p w14:paraId="1E19332A">
      <w:pPr>
        <w:keepNext/>
        <w:keepLines/>
        <w:spacing w:line="400" w:lineRule="exact"/>
        <w:ind w:firstLine="422"/>
        <w:rPr>
          <w:rFonts w:hint="eastAsia" w:ascii="仿宋" w:hAnsi="仿宋" w:eastAsia="仿宋" w:cs="仿宋"/>
          <w:b/>
          <w:bCs/>
          <w:sz w:val="28"/>
          <w:szCs w:val="28"/>
        </w:rPr>
      </w:pPr>
      <w:bookmarkStart w:id="92" w:name="_Toc462564074"/>
      <w:bookmarkStart w:id="93" w:name="_Toc16938531"/>
      <w:bookmarkStart w:id="94" w:name="_Toc513029215"/>
      <w:bookmarkStart w:id="95" w:name="_Toc20823287"/>
      <w:r>
        <w:rPr>
          <w:rFonts w:hint="eastAsia" w:ascii="仿宋" w:hAnsi="仿宋" w:eastAsia="仿宋" w:cs="仿宋"/>
          <w:b/>
          <w:bCs/>
          <w:sz w:val="28"/>
          <w:szCs w:val="28"/>
        </w:rPr>
        <w:t>10、投标文件构成</w:t>
      </w:r>
      <w:bookmarkEnd w:id="92"/>
      <w:bookmarkEnd w:id="93"/>
      <w:bookmarkEnd w:id="94"/>
      <w:bookmarkEnd w:id="95"/>
    </w:p>
    <w:p w14:paraId="47CC97B7">
      <w:pPr>
        <w:spacing w:line="500" w:lineRule="exact"/>
        <w:ind w:firstLine="480"/>
        <w:rPr>
          <w:rFonts w:hint="eastAsia" w:ascii="仿宋" w:hAnsi="仿宋" w:eastAsia="仿宋" w:cs="仿宋"/>
          <w:sz w:val="24"/>
        </w:rPr>
      </w:pPr>
      <w:r>
        <w:rPr>
          <w:rFonts w:hint="eastAsia" w:ascii="仿宋" w:hAnsi="仿宋" w:eastAsia="仿宋" w:cs="仿宋"/>
          <w:sz w:val="24"/>
        </w:rPr>
        <w:t>10.1投标人编写的投标文件应包括资格证明文件、实质性要求响应及偏离表、投标分项报价表、技术要求响应及偏离表、商务要求响应及偏离表、其他证明文件、投标函、开标一览表等部分。请按“第六章  投标文件格式”要求编写投标文件。</w:t>
      </w:r>
    </w:p>
    <w:p w14:paraId="0EE52FEF">
      <w:pPr>
        <w:spacing w:line="500" w:lineRule="exact"/>
        <w:ind w:firstLine="480"/>
        <w:rPr>
          <w:rFonts w:hint="eastAsia" w:ascii="仿宋" w:hAnsi="仿宋" w:eastAsia="仿宋" w:cs="仿宋"/>
          <w:sz w:val="24"/>
        </w:rPr>
      </w:pPr>
      <w:r>
        <w:rPr>
          <w:rFonts w:hint="eastAsia" w:ascii="仿宋" w:hAnsi="仿宋" w:eastAsia="仿宋" w:cs="仿宋"/>
          <w:sz w:val="24"/>
        </w:rPr>
        <w:t>10.2 如标书制作工具中格式和内容与“江苏政府采购网”发布的招标文件不一致，请以“江苏政府采购网”发布的招标文件为准。</w:t>
      </w:r>
    </w:p>
    <w:p w14:paraId="096C9F3F">
      <w:pPr>
        <w:keepNext/>
        <w:keepLines/>
        <w:spacing w:line="400" w:lineRule="exact"/>
        <w:ind w:firstLine="422"/>
        <w:rPr>
          <w:rFonts w:hint="eastAsia" w:ascii="仿宋" w:hAnsi="仿宋" w:eastAsia="仿宋" w:cs="仿宋"/>
          <w:b/>
          <w:bCs/>
          <w:sz w:val="28"/>
          <w:szCs w:val="28"/>
        </w:rPr>
      </w:pPr>
      <w:bookmarkStart w:id="96" w:name="_Hlt26954838"/>
      <w:bookmarkEnd w:id="96"/>
      <w:bookmarkStart w:id="97" w:name="_Hlt26670360"/>
      <w:bookmarkEnd w:id="97"/>
      <w:bookmarkStart w:id="98" w:name="_Hlt26668975"/>
      <w:bookmarkEnd w:id="98"/>
      <w:bookmarkStart w:id="99" w:name="_Toc513029219"/>
      <w:bookmarkStart w:id="100" w:name="_Toc49090509"/>
      <w:bookmarkStart w:id="101" w:name="_Toc49090507"/>
      <w:bookmarkStart w:id="102" w:name="_Toc513029216"/>
      <w:bookmarkStart w:id="103" w:name="_Toc14577354"/>
      <w:bookmarkStart w:id="104" w:name="_Toc14577357"/>
      <w:r>
        <w:rPr>
          <w:rFonts w:hint="eastAsia" w:ascii="仿宋" w:hAnsi="仿宋" w:eastAsia="仿宋" w:cs="仿宋"/>
          <w:b/>
          <w:bCs/>
          <w:sz w:val="28"/>
          <w:szCs w:val="28"/>
        </w:rPr>
        <w:t>11、证明投标人及投标标的符合招标文件规定的文件</w:t>
      </w:r>
      <w:bookmarkEnd w:id="99"/>
      <w:bookmarkEnd w:id="100"/>
      <w:bookmarkEnd w:id="101"/>
      <w:bookmarkEnd w:id="102"/>
      <w:bookmarkEnd w:id="103"/>
      <w:bookmarkEnd w:id="104"/>
    </w:p>
    <w:p w14:paraId="2725E8F0">
      <w:pPr>
        <w:spacing w:line="500" w:lineRule="exact"/>
        <w:ind w:firstLine="480"/>
        <w:rPr>
          <w:rFonts w:hint="eastAsia" w:ascii="仿宋" w:hAnsi="仿宋" w:eastAsia="仿宋" w:cs="仿宋"/>
          <w:sz w:val="24"/>
        </w:rPr>
      </w:pPr>
      <w:bookmarkStart w:id="105" w:name="_Toc14577355"/>
      <w:bookmarkStart w:id="106" w:name="_Toc49090508"/>
      <w:r>
        <w:rPr>
          <w:rFonts w:hint="eastAsia" w:ascii="仿宋" w:hAnsi="仿宋" w:eastAsia="仿宋" w:cs="仿宋"/>
          <w:sz w:val="24"/>
        </w:rPr>
        <w:t>11.1投标人应按照法律、法规、规章和规范性文件以及招标文件要求提交证明文件，证明其及投标标的符合招标文件规定。</w:t>
      </w:r>
    </w:p>
    <w:p w14:paraId="746609BD">
      <w:pPr>
        <w:spacing w:line="500" w:lineRule="exact"/>
        <w:ind w:firstLine="480"/>
        <w:rPr>
          <w:rFonts w:hint="eastAsia" w:ascii="仿宋" w:hAnsi="仿宋" w:eastAsia="仿宋" w:cs="仿宋"/>
          <w:sz w:val="24"/>
        </w:rPr>
      </w:pPr>
      <w:r>
        <w:rPr>
          <w:rFonts w:hint="eastAsia" w:ascii="仿宋" w:hAnsi="仿宋" w:eastAsia="仿宋" w:cs="仿宋"/>
          <w:sz w:val="24"/>
        </w:rPr>
        <w:t>11.2招标文件对证明文件无明确形式要求的，证明文件可以以文字资料、图纸和数据等形式提交。</w:t>
      </w:r>
    </w:p>
    <w:p w14:paraId="09908D9A">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12、投标分项报价</w:t>
      </w:r>
      <w:bookmarkEnd w:id="105"/>
      <w:bookmarkStart w:id="107" w:name="_Hlt26670373"/>
      <w:bookmarkEnd w:id="107"/>
      <w:r>
        <w:rPr>
          <w:rFonts w:hint="eastAsia" w:ascii="仿宋" w:hAnsi="仿宋" w:eastAsia="仿宋" w:cs="仿宋"/>
          <w:b/>
          <w:bCs/>
          <w:sz w:val="28"/>
          <w:szCs w:val="28"/>
        </w:rPr>
        <w:t>表</w:t>
      </w:r>
      <w:bookmarkEnd w:id="106"/>
    </w:p>
    <w:p w14:paraId="0994FCD4">
      <w:pPr>
        <w:spacing w:line="500" w:lineRule="exact"/>
        <w:ind w:firstLine="480"/>
        <w:rPr>
          <w:rFonts w:hint="eastAsia" w:ascii="仿宋" w:hAnsi="仿宋" w:eastAsia="仿宋" w:cs="仿宋"/>
          <w:sz w:val="24"/>
        </w:rPr>
      </w:pPr>
      <w:r>
        <w:rPr>
          <w:rFonts w:hint="eastAsia" w:ascii="仿宋" w:hAnsi="仿宋" w:eastAsia="仿宋" w:cs="仿宋"/>
          <w:sz w:val="24"/>
        </w:rPr>
        <w:t>12.1 投</w:t>
      </w:r>
      <w:bookmarkStart w:id="108" w:name="_Hlt26954840"/>
      <w:bookmarkEnd w:id="108"/>
      <w:r>
        <w:rPr>
          <w:rFonts w:hint="eastAsia" w:ascii="仿宋" w:hAnsi="仿宋" w:eastAsia="仿宋" w:cs="仿宋"/>
          <w:sz w:val="24"/>
        </w:rPr>
        <w:t>标人按照招标文件规定格式填报投标分项报价表</w:t>
      </w:r>
      <w:bookmarkStart w:id="109" w:name="_Hlt26670399"/>
      <w:bookmarkEnd w:id="109"/>
      <w:r>
        <w:rPr>
          <w:rFonts w:hint="eastAsia" w:ascii="仿宋" w:hAnsi="仿宋" w:eastAsia="仿宋" w:cs="仿宋"/>
          <w:sz w:val="24"/>
        </w:rPr>
        <w:t>。</w:t>
      </w:r>
    </w:p>
    <w:p w14:paraId="33B4071D">
      <w:pPr>
        <w:spacing w:line="500" w:lineRule="exact"/>
        <w:ind w:firstLine="480"/>
        <w:rPr>
          <w:rFonts w:hint="eastAsia" w:ascii="仿宋" w:hAnsi="仿宋" w:eastAsia="仿宋" w:cs="仿宋"/>
          <w:sz w:val="24"/>
        </w:rPr>
      </w:pPr>
      <w:r>
        <w:rPr>
          <w:rFonts w:hint="eastAsia" w:ascii="仿宋" w:hAnsi="仿宋" w:eastAsia="仿宋" w:cs="仿宋"/>
          <w:sz w:val="24"/>
        </w:rPr>
        <w:t>12.2投标货币。投标文件中的单价和总价无特殊规定的采用人民币报价，以元为单位标注。招标文件中另有规定的按规定执行。</w:t>
      </w:r>
    </w:p>
    <w:p w14:paraId="1C81C2EC">
      <w:pPr>
        <w:keepNext/>
        <w:keepLines/>
        <w:spacing w:line="400" w:lineRule="exact"/>
        <w:ind w:firstLine="422"/>
        <w:rPr>
          <w:rFonts w:hint="eastAsia" w:ascii="仿宋" w:hAnsi="仿宋" w:eastAsia="仿宋" w:cs="仿宋"/>
          <w:b/>
          <w:bCs/>
          <w:sz w:val="28"/>
          <w:szCs w:val="28"/>
        </w:rPr>
      </w:pPr>
      <w:bookmarkStart w:id="110" w:name="_Hlt26668983"/>
      <w:bookmarkEnd w:id="110"/>
      <w:bookmarkStart w:id="111" w:name="_Hlt26670486"/>
      <w:bookmarkEnd w:id="111"/>
      <w:bookmarkStart w:id="112" w:name="_Hlt26954848"/>
      <w:bookmarkEnd w:id="112"/>
      <w:bookmarkStart w:id="113" w:name="_Hlt26954731"/>
      <w:bookmarkEnd w:id="113"/>
      <w:bookmarkStart w:id="114" w:name="_Hlt26670425"/>
      <w:bookmarkEnd w:id="114"/>
      <w:bookmarkStart w:id="115" w:name="_Hlt26670482"/>
      <w:bookmarkEnd w:id="115"/>
      <w:bookmarkStart w:id="116" w:name="_Hlt26954846"/>
      <w:bookmarkEnd w:id="116"/>
      <w:bookmarkStart w:id="117" w:name="_Hlt26954844"/>
      <w:bookmarkEnd w:id="117"/>
      <w:bookmarkStart w:id="118" w:name="_Hlt26670403"/>
      <w:bookmarkEnd w:id="118"/>
      <w:bookmarkStart w:id="119" w:name="_Hlt26954842"/>
      <w:bookmarkEnd w:id="119"/>
      <w:r>
        <w:rPr>
          <w:rFonts w:hint="eastAsia" w:ascii="仿宋" w:hAnsi="仿宋" w:eastAsia="仿宋" w:cs="仿宋"/>
          <w:b/>
          <w:bCs/>
          <w:sz w:val="28"/>
          <w:szCs w:val="28"/>
        </w:rPr>
        <w:t>13、技术要求响应及偏离表、商务要求响应及偏离表</w:t>
      </w:r>
    </w:p>
    <w:p w14:paraId="391F93FA">
      <w:pPr>
        <w:spacing w:line="500" w:lineRule="exact"/>
        <w:ind w:firstLine="480"/>
        <w:rPr>
          <w:rFonts w:hint="eastAsia" w:ascii="仿宋" w:hAnsi="仿宋" w:eastAsia="仿宋" w:cs="仿宋"/>
          <w:sz w:val="24"/>
          <w:lang w:val="zh-CN"/>
        </w:rPr>
      </w:pPr>
      <w:r>
        <w:rPr>
          <w:rFonts w:hint="eastAsia" w:ascii="仿宋" w:hAnsi="仿宋" w:eastAsia="仿宋" w:cs="仿宋"/>
          <w:sz w:val="24"/>
          <w:lang w:val="zh-CN"/>
        </w:rPr>
        <w:t>13.1投标人需对招标文件中的技术要求与商务要求逐项作出响应，如有偏离的，应逐条填列在偏离表中，并说明偏离情况。</w:t>
      </w:r>
    </w:p>
    <w:p w14:paraId="0B7CB929">
      <w:pPr>
        <w:spacing w:line="500" w:lineRule="exact"/>
        <w:ind w:firstLine="480"/>
        <w:rPr>
          <w:rFonts w:hint="eastAsia" w:ascii="仿宋" w:hAnsi="仿宋" w:eastAsia="仿宋" w:cs="仿宋"/>
          <w:sz w:val="24"/>
          <w:lang w:val="zh-CN"/>
        </w:rPr>
      </w:pPr>
      <w:bookmarkStart w:id="120" w:name="_Toc14577359"/>
      <w:bookmarkStart w:id="121" w:name="_Toc49090510"/>
      <w:r>
        <w:rPr>
          <w:rFonts w:hint="eastAsia" w:ascii="仿宋" w:hAnsi="仿宋" w:eastAsia="仿宋" w:cs="仿宋"/>
          <w:sz w:val="24"/>
          <w:lang w:val="zh-CN"/>
        </w:rPr>
        <w:t>13.2投标人需按照招标文件要求，在投标文件中提供与技术要求和商务要求相关的证明材料。</w:t>
      </w:r>
    </w:p>
    <w:p w14:paraId="4AD81D7B">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14、投标函和开标一览表</w:t>
      </w:r>
    </w:p>
    <w:p w14:paraId="5FEFCB60">
      <w:pPr>
        <w:spacing w:line="500" w:lineRule="exact"/>
        <w:ind w:firstLine="480"/>
        <w:rPr>
          <w:rFonts w:hint="eastAsia" w:ascii="仿宋" w:hAnsi="仿宋" w:eastAsia="仿宋" w:cs="仿宋"/>
          <w:sz w:val="24"/>
        </w:rPr>
      </w:pPr>
      <w:r>
        <w:rPr>
          <w:rFonts w:hint="eastAsia" w:ascii="仿宋" w:hAnsi="仿宋" w:eastAsia="仿宋" w:cs="仿宋"/>
          <w:bCs/>
          <w:sz w:val="24"/>
        </w:rPr>
        <w:t>14.1</w:t>
      </w:r>
      <w:r>
        <w:rPr>
          <w:rFonts w:hint="eastAsia" w:ascii="仿宋" w:hAnsi="仿宋" w:eastAsia="仿宋" w:cs="仿宋"/>
          <w:sz w:val="24"/>
        </w:rPr>
        <w:t xml:space="preserve"> 投标人应按照要求提供的格式完整、正确填写投标函、开标一览表。</w:t>
      </w:r>
    </w:p>
    <w:p w14:paraId="0D5A1DF6">
      <w:pPr>
        <w:spacing w:line="500" w:lineRule="exact"/>
        <w:ind w:firstLine="480"/>
        <w:rPr>
          <w:rFonts w:hint="eastAsia" w:ascii="仿宋" w:hAnsi="仿宋" w:eastAsia="仿宋" w:cs="仿宋"/>
          <w:sz w:val="24"/>
        </w:rPr>
      </w:pPr>
      <w:r>
        <w:rPr>
          <w:rFonts w:hint="eastAsia" w:ascii="仿宋" w:hAnsi="仿宋" w:eastAsia="仿宋" w:cs="仿宋"/>
          <w:sz w:val="24"/>
        </w:rPr>
        <w:t>14.2对于采用折扣率报价的项目，开标一览表中的投标优惠率应与投标分项报价表中的投标折扣率折算后一致，如不一致，</w:t>
      </w:r>
      <w:r>
        <w:rPr>
          <w:rFonts w:hint="eastAsia" w:ascii="仿宋" w:hAnsi="仿宋" w:eastAsia="仿宋" w:cs="仿宋"/>
          <w:b/>
          <w:bCs/>
          <w:sz w:val="24"/>
        </w:rPr>
        <w:t>作为无效投标处理</w:t>
      </w:r>
      <w:r>
        <w:rPr>
          <w:rFonts w:hint="eastAsia" w:ascii="仿宋" w:hAnsi="仿宋" w:eastAsia="仿宋" w:cs="仿宋"/>
          <w:sz w:val="24"/>
        </w:rPr>
        <w:t>。</w:t>
      </w:r>
      <w:bookmarkEnd w:id="120"/>
      <w:bookmarkEnd w:id="121"/>
    </w:p>
    <w:p w14:paraId="553C120D">
      <w:pPr>
        <w:keepNext/>
        <w:keepLines/>
        <w:spacing w:line="400" w:lineRule="exact"/>
        <w:ind w:firstLine="422"/>
        <w:rPr>
          <w:rFonts w:hint="eastAsia" w:ascii="仿宋" w:hAnsi="仿宋" w:eastAsia="仿宋" w:cs="仿宋"/>
          <w:b/>
          <w:bCs/>
          <w:sz w:val="28"/>
          <w:szCs w:val="28"/>
        </w:rPr>
      </w:pPr>
      <w:bookmarkStart w:id="122" w:name="_Hlt26954734"/>
      <w:bookmarkEnd w:id="122"/>
      <w:bookmarkStart w:id="123" w:name="_Hlt26954850"/>
      <w:bookmarkEnd w:id="123"/>
      <w:bookmarkStart w:id="124" w:name="_Hlt26670489"/>
      <w:bookmarkEnd w:id="124"/>
      <w:bookmarkStart w:id="125" w:name="_Toc14577360"/>
      <w:bookmarkStart w:id="126" w:name="_Toc49090511"/>
      <w:r>
        <w:rPr>
          <w:rFonts w:hint="eastAsia" w:ascii="仿宋" w:hAnsi="仿宋" w:eastAsia="仿宋" w:cs="仿宋"/>
          <w:b/>
          <w:bCs/>
          <w:sz w:val="28"/>
          <w:szCs w:val="28"/>
        </w:rPr>
        <w:t>15、投标有效期</w:t>
      </w:r>
      <w:bookmarkEnd w:id="125"/>
      <w:bookmarkEnd w:id="126"/>
    </w:p>
    <w:p w14:paraId="7C8D5296">
      <w:pPr>
        <w:spacing w:line="500" w:lineRule="exact"/>
        <w:ind w:firstLine="480"/>
        <w:rPr>
          <w:rFonts w:hint="eastAsia" w:ascii="仿宋" w:hAnsi="仿宋" w:eastAsia="仿宋" w:cs="仿宋"/>
          <w:bCs/>
          <w:sz w:val="24"/>
        </w:rPr>
      </w:pPr>
      <w:r>
        <w:rPr>
          <w:rFonts w:hint="eastAsia" w:ascii="仿宋" w:hAnsi="仿宋" w:eastAsia="仿宋" w:cs="仿宋"/>
          <w:sz w:val="24"/>
        </w:rPr>
        <w:t>15.1</w:t>
      </w:r>
      <w:r>
        <w:rPr>
          <w:rFonts w:hint="eastAsia" w:ascii="仿宋" w:hAnsi="仿宋" w:eastAsia="仿宋" w:cs="仿宋"/>
          <w:bCs/>
          <w:sz w:val="24"/>
        </w:rPr>
        <w:t xml:space="preserve"> 投标有效期为代理机构规定的开标之日后</w:t>
      </w:r>
      <w:r>
        <w:rPr>
          <w:rFonts w:hint="eastAsia" w:ascii="仿宋" w:hAnsi="仿宋" w:eastAsia="仿宋" w:cs="仿宋"/>
          <w:b/>
          <w:sz w:val="24"/>
          <w:u w:val="single"/>
        </w:rPr>
        <w:t>六十（60）天</w:t>
      </w:r>
      <w:r>
        <w:rPr>
          <w:rFonts w:hint="eastAsia" w:ascii="仿宋" w:hAnsi="仿宋" w:eastAsia="仿宋" w:cs="仿宋"/>
          <w:bCs/>
          <w:sz w:val="24"/>
        </w:rPr>
        <w:t>。投标有效期比规定短的将被视为未实质性响应招标文件而予以拒绝。</w:t>
      </w:r>
    </w:p>
    <w:p w14:paraId="54A64AD6">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16、投标有效期的延长</w:t>
      </w:r>
    </w:p>
    <w:p w14:paraId="0A91E7CF">
      <w:pPr>
        <w:spacing w:line="500" w:lineRule="exact"/>
        <w:ind w:firstLine="480"/>
        <w:rPr>
          <w:rFonts w:hint="eastAsia" w:ascii="仿宋" w:hAnsi="仿宋" w:eastAsia="仿宋" w:cs="仿宋"/>
          <w:bCs/>
          <w:sz w:val="24"/>
        </w:rPr>
      </w:pPr>
      <w:r>
        <w:rPr>
          <w:rFonts w:hint="eastAsia" w:ascii="仿宋" w:hAnsi="仿宋" w:eastAsia="仿宋" w:cs="仿宋"/>
          <w:sz w:val="24"/>
        </w:rPr>
        <w:t>16.1</w:t>
      </w:r>
      <w:r>
        <w:rPr>
          <w:rFonts w:hint="eastAsia" w:ascii="仿宋" w:hAnsi="仿宋" w:eastAsia="仿宋" w:cs="仿宋"/>
          <w:bCs/>
          <w:sz w:val="24"/>
        </w:rPr>
        <w:t>在特殊情况下，代理机构于原投标有效期满之前，可向投标人提出延长投标有效期的要求。这种要求与答复均应采用书面形式。投标人可以拒绝代理机构的这一要求而放弃投标</w:t>
      </w:r>
      <w:r>
        <w:rPr>
          <w:rFonts w:hint="eastAsia" w:ascii="仿宋" w:hAnsi="仿宋" w:eastAsia="仿宋" w:cs="仿宋"/>
          <w:sz w:val="24"/>
          <w:szCs w:val="24"/>
        </w:rPr>
        <w:t>。</w:t>
      </w:r>
      <w:r>
        <w:rPr>
          <w:rFonts w:hint="eastAsia" w:ascii="仿宋" w:hAnsi="仿宋" w:eastAsia="仿宋" w:cs="仿宋"/>
          <w:bCs/>
          <w:sz w:val="24"/>
        </w:rPr>
        <w:t>同意延长投标有效期的投标人既不能要求也不允许修改其投标文件</w:t>
      </w:r>
      <w:r>
        <w:rPr>
          <w:rFonts w:hint="eastAsia" w:ascii="仿宋" w:hAnsi="仿宋" w:eastAsia="仿宋" w:cs="仿宋"/>
          <w:sz w:val="24"/>
          <w:szCs w:val="24"/>
        </w:rPr>
        <w:t>，同时受投标有效期约束的所有权利与义务均延长至新的有效期</w:t>
      </w:r>
      <w:r>
        <w:rPr>
          <w:rFonts w:hint="eastAsia" w:ascii="仿宋" w:hAnsi="仿宋" w:eastAsia="仿宋" w:cs="仿宋"/>
          <w:bCs/>
          <w:sz w:val="24"/>
        </w:rPr>
        <w:t>。</w:t>
      </w:r>
    </w:p>
    <w:p w14:paraId="1A76B18A">
      <w:pPr>
        <w:keepNext/>
        <w:keepLines/>
        <w:spacing w:before="145" w:after="145" w:line="400" w:lineRule="exact"/>
        <w:outlineLvl w:val="1"/>
        <w:rPr>
          <w:rFonts w:hint="eastAsia" w:ascii="仿宋" w:hAnsi="仿宋" w:eastAsia="仿宋" w:cs="仿宋"/>
          <w:b/>
          <w:bCs/>
          <w:sz w:val="32"/>
          <w:szCs w:val="32"/>
        </w:rPr>
      </w:pPr>
      <w:bookmarkStart w:id="127" w:name="_Hlt26954852"/>
      <w:bookmarkEnd w:id="127"/>
      <w:bookmarkStart w:id="128" w:name="_Hlt26954739"/>
      <w:bookmarkEnd w:id="128"/>
      <w:bookmarkStart w:id="129" w:name="_Toc20823296"/>
      <w:bookmarkStart w:id="130" w:name="_Toc16938540"/>
      <w:bookmarkStart w:id="131" w:name="_Toc120614217"/>
      <w:bookmarkStart w:id="132" w:name="_Toc513029224"/>
      <w:r>
        <w:rPr>
          <w:rFonts w:hint="eastAsia" w:ascii="仿宋" w:hAnsi="仿宋" w:eastAsia="仿宋" w:cs="仿宋"/>
          <w:b/>
          <w:bCs/>
          <w:sz w:val="32"/>
          <w:szCs w:val="32"/>
        </w:rPr>
        <w:t>四、投标文件的递交</w:t>
      </w:r>
      <w:bookmarkEnd w:id="129"/>
      <w:bookmarkEnd w:id="130"/>
      <w:bookmarkEnd w:id="131"/>
      <w:bookmarkEnd w:id="132"/>
    </w:p>
    <w:p w14:paraId="5685BD98">
      <w:pPr>
        <w:keepNext/>
        <w:keepLines/>
        <w:spacing w:line="400" w:lineRule="exact"/>
        <w:ind w:firstLine="422"/>
        <w:rPr>
          <w:rFonts w:hint="eastAsia" w:ascii="仿宋" w:hAnsi="仿宋" w:eastAsia="仿宋" w:cs="仿宋"/>
          <w:b/>
          <w:bCs/>
          <w:sz w:val="28"/>
          <w:szCs w:val="28"/>
        </w:rPr>
      </w:pPr>
      <w:bookmarkStart w:id="133" w:name="_Toc20823297"/>
      <w:bookmarkStart w:id="134" w:name="_Toc16938541"/>
      <w:bookmarkStart w:id="135" w:name="_Toc513029225"/>
      <w:bookmarkStart w:id="136" w:name="_Toc462564084"/>
      <w:r>
        <w:rPr>
          <w:rFonts w:hint="eastAsia" w:ascii="仿宋" w:hAnsi="仿宋" w:eastAsia="仿宋" w:cs="仿宋"/>
          <w:b/>
          <w:bCs/>
          <w:sz w:val="28"/>
          <w:szCs w:val="28"/>
        </w:rPr>
        <w:t>17、投标文件</w:t>
      </w:r>
      <w:bookmarkEnd w:id="133"/>
      <w:bookmarkEnd w:id="134"/>
      <w:bookmarkEnd w:id="135"/>
      <w:bookmarkEnd w:id="136"/>
      <w:r>
        <w:rPr>
          <w:rFonts w:hint="eastAsia" w:ascii="仿宋" w:hAnsi="仿宋" w:eastAsia="仿宋" w:cs="仿宋"/>
          <w:b/>
          <w:bCs/>
          <w:sz w:val="28"/>
          <w:szCs w:val="28"/>
        </w:rPr>
        <w:t>的递交</w:t>
      </w:r>
    </w:p>
    <w:p w14:paraId="63C74E7A">
      <w:pPr>
        <w:spacing w:line="500" w:lineRule="exact"/>
        <w:ind w:firstLine="480"/>
        <w:rPr>
          <w:rFonts w:hint="eastAsia" w:ascii="仿宋" w:hAnsi="仿宋" w:eastAsia="仿宋" w:cs="仿宋"/>
          <w:bCs/>
          <w:sz w:val="24"/>
        </w:rPr>
      </w:pPr>
      <w:r>
        <w:rPr>
          <w:rFonts w:hint="eastAsia" w:ascii="仿宋" w:hAnsi="仿宋" w:eastAsia="仿宋" w:cs="仿宋"/>
          <w:sz w:val="24"/>
        </w:rPr>
        <w:t>17.1</w:t>
      </w:r>
      <w:r>
        <w:rPr>
          <w:rFonts w:hint="eastAsia" w:ascii="仿宋" w:hAnsi="仿宋" w:eastAsia="仿宋" w:cs="仿宋"/>
          <w:bCs/>
          <w:sz w:val="24"/>
        </w:rPr>
        <w:t xml:space="preserve"> 电子投标文件的递交</w:t>
      </w:r>
    </w:p>
    <w:p w14:paraId="701A8B7D">
      <w:pPr>
        <w:pStyle w:val="208"/>
        <w:ind w:left="525"/>
        <w:rPr>
          <w:rFonts w:hint="eastAsia" w:ascii="仿宋" w:hAnsi="仿宋" w:eastAsia="仿宋" w:cs="仿宋"/>
          <w:bCs/>
          <w:sz w:val="24"/>
        </w:rPr>
      </w:pPr>
      <w:r>
        <w:rPr>
          <w:rFonts w:hint="eastAsia" w:ascii="仿宋" w:hAnsi="仿宋" w:eastAsia="仿宋" w:cs="仿宋"/>
          <w:bCs/>
          <w:sz w:val="24"/>
        </w:rPr>
        <w:t>投标人应当按照《操作手册》规定，在投标截止时间前制作并上传电子投标文件。</w:t>
      </w:r>
      <w:bookmarkStart w:id="137" w:name="_Toc20823298"/>
      <w:bookmarkStart w:id="138" w:name="_Toc513029226"/>
      <w:bookmarkStart w:id="139" w:name="_Toc16938542"/>
    </w:p>
    <w:p w14:paraId="45662D33">
      <w:pPr>
        <w:spacing w:line="500" w:lineRule="exact"/>
        <w:ind w:firstLine="480"/>
        <w:rPr>
          <w:rFonts w:hint="eastAsia" w:ascii="仿宋" w:hAnsi="仿宋" w:eastAsia="仿宋" w:cs="仿宋"/>
          <w:bCs/>
          <w:sz w:val="24"/>
        </w:rPr>
      </w:pPr>
      <w:r>
        <w:rPr>
          <w:rFonts w:hint="eastAsia" w:ascii="仿宋" w:hAnsi="仿宋" w:eastAsia="仿宋" w:cs="仿宋"/>
          <w:bCs/>
          <w:sz w:val="24"/>
        </w:rPr>
        <w:t>17.2确定成交供应商后，由成交供应商递交系统打印的一套正本、三套副本纸质投标文件。</w:t>
      </w:r>
    </w:p>
    <w:p w14:paraId="7BE0E1DA">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18、投标截止</w:t>
      </w:r>
      <w:bookmarkEnd w:id="137"/>
      <w:bookmarkEnd w:id="138"/>
      <w:bookmarkEnd w:id="139"/>
      <w:r>
        <w:rPr>
          <w:rFonts w:hint="eastAsia" w:ascii="仿宋" w:hAnsi="仿宋" w:eastAsia="仿宋" w:cs="仿宋"/>
          <w:b/>
          <w:bCs/>
          <w:sz w:val="28"/>
          <w:szCs w:val="28"/>
        </w:rPr>
        <w:t>时间</w:t>
      </w:r>
    </w:p>
    <w:p w14:paraId="7D4570B6">
      <w:pPr>
        <w:spacing w:line="500" w:lineRule="exact"/>
        <w:ind w:firstLine="480"/>
        <w:rPr>
          <w:rFonts w:hint="eastAsia" w:ascii="仿宋" w:hAnsi="仿宋" w:eastAsia="仿宋" w:cs="仿宋"/>
          <w:bCs/>
          <w:sz w:val="24"/>
        </w:rPr>
      </w:pPr>
      <w:r>
        <w:rPr>
          <w:rFonts w:hint="eastAsia" w:ascii="仿宋" w:hAnsi="仿宋" w:eastAsia="仿宋" w:cs="仿宋"/>
          <w:sz w:val="24"/>
        </w:rPr>
        <w:t>18.1</w:t>
      </w:r>
      <w:r>
        <w:rPr>
          <w:rFonts w:hint="eastAsia" w:ascii="仿宋" w:hAnsi="仿宋" w:eastAsia="仿宋" w:cs="仿宋"/>
          <w:bCs/>
          <w:sz w:val="24"/>
        </w:rPr>
        <w:t>投标人上传电子投标文件的时间不得迟于招标公告中规定的投标截止时间。</w:t>
      </w:r>
    </w:p>
    <w:p w14:paraId="6C01F485">
      <w:pPr>
        <w:spacing w:line="500" w:lineRule="exact"/>
        <w:ind w:firstLine="480"/>
        <w:rPr>
          <w:rFonts w:hint="eastAsia" w:ascii="仿宋" w:hAnsi="仿宋" w:eastAsia="仿宋" w:cs="仿宋"/>
          <w:bCs/>
          <w:sz w:val="24"/>
        </w:rPr>
      </w:pPr>
      <w:r>
        <w:rPr>
          <w:rFonts w:hint="eastAsia" w:ascii="仿宋" w:hAnsi="仿宋" w:eastAsia="仿宋" w:cs="仿宋"/>
          <w:bCs/>
          <w:sz w:val="24"/>
        </w:rPr>
        <w:t>投标人应充分考虑到网络环境、网络带宽等风险因素，如因投标人自身原因造成的电子投标文件上传不成功的按照本招标文件第二章第26.1.2条规定做无效投标处理。</w:t>
      </w:r>
    </w:p>
    <w:p w14:paraId="220E7CA4">
      <w:pPr>
        <w:spacing w:line="500" w:lineRule="exact"/>
        <w:ind w:firstLine="480"/>
        <w:rPr>
          <w:rFonts w:hint="eastAsia" w:ascii="仿宋" w:hAnsi="仿宋" w:eastAsia="仿宋" w:cs="仿宋"/>
          <w:bCs/>
          <w:sz w:val="24"/>
        </w:rPr>
      </w:pPr>
      <w:r>
        <w:rPr>
          <w:rFonts w:hint="eastAsia" w:ascii="仿宋" w:hAnsi="仿宋" w:eastAsia="仿宋" w:cs="仿宋"/>
          <w:sz w:val="24"/>
        </w:rPr>
        <w:t>18.2</w:t>
      </w:r>
      <w:r>
        <w:rPr>
          <w:rFonts w:hint="eastAsia" w:ascii="仿宋" w:hAnsi="仿宋" w:eastAsia="仿宋" w:cs="仿宋"/>
          <w:bCs/>
          <w:sz w:val="24"/>
        </w:rPr>
        <w:t>代理机构可以按照规定，通过修改招标文件酌情延长投标截止时间，在此情况下，投标人的所有权利和义务以及投标人受制的截止时间均应以延长后新的截止时间为准。</w:t>
      </w:r>
    </w:p>
    <w:p w14:paraId="20D06FD4">
      <w:pPr>
        <w:keepNext/>
        <w:keepLines/>
        <w:spacing w:line="400" w:lineRule="exact"/>
        <w:ind w:firstLine="422"/>
        <w:rPr>
          <w:rFonts w:hint="eastAsia" w:ascii="仿宋" w:hAnsi="仿宋" w:eastAsia="仿宋" w:cs="仿宋"/>
          <w:b/>
          <w:bCs/>
          <w:sz w:val="28"/>
          <w:szCs w:val="28"/>
        </w:rPr>
      </w:pPr>
      <w:bookmarkStart w:id="140" w:name="_Toc20823299"/>
      <w:bookmarkStart w:id="141" w:name="_Toc513029227"/>
      <w:bookmarkStart w:id="142" w:name="_Toc16938543"/>
      <w:r>
        <w:rPr>
          <w:rFonts w:hint="eastAsia" w:ascii="仿宋" w:hAnsi="仿宋" w:eastAsia="仿宋" w:cs="仿宋"/>
          <w:b/>
          <w:bCs/>
          <w:sz w:val="28"/>
          <w:szCs w:val="28"/>
        </w:rPr>
        <w:t>19、投标文件</w:t>
      </w:r>
      <w:bookmarkEnd w:id="140"/>
      <w:bookmarkEnd w:id="141"/>
      <w:bookmarkEnd w:id="142"/>
      <w:r>
        <w:rPr>
          <w:rFonts w:hint="eastAsia" w:ascii="仿宋" w:hAnsi="仿宋" w:eastAsia="仿宋" w:cs="仿宋"/>
          <w:b/>
          <w:bCs/>
          <w:sz w:val="28"/>
          <w:szCs w:val="28"/>
        </w:rPr>
        <w:t>的拒收</w:t>
      </w:r>
    </w:p>
    <w:p w14:paraId="775EE018">
      <w:pPr>
        <w:spacing w:line="500" w:lineRule="exact"/>
        <w:ind w:firstLine="480"/>
        <w:rPr>
          <w:rFonts w:hint="eastAsia" w:ascii="仿宋" w:hAnsi="仿宋" w:eastAsia="仿宋" w:cs="仿宋"/>
          <w:bCs/>
          <w:sz w:val="24"/>
        </w:rPr>
      </w:pPr>
      <w:r>
        <w:rPr>
          <w:rFonts w:hint="eastAsia" w:ascii="仿宋" w:hAnsi="仿宋" w:eastAsia="仿宋" w:cs="仿宋"/>
          <w:sz w:val="24"/>
        </w:rPr>
        <w:t>19.1</w:t>
      </w:r>
      <w:r>
        <w:rPr>
          <w:rFonts w:hint="eastAsia" w:ascii="仿宋" w:hAnsi="仿宋" w:eastAsia="仿宋" w:cs="仿宋"/>
          <w:bCs/>
          <w:sz w:val="24"/>
        </w:rPr>
        <w:t>代理机构拒绝接收在其规定的投标截止时间后上传的任何投标文件。</w:t>
      </w:r>
    </w:p>
    <w:p w14:paraId="0DC7EEE2">
      <w:pPr>
        <w:keepNext/>
        <w:keepLines/>
        <w:spacing w:line="400" w:lineRule="exact"/>
        <w:ind w:firstLine="422"/>
        <w:rPr>
          <w:rFonts w:hint="eastAsia" w:ascii="仿宋" w:hAnsi="仿宋" w:eastAsia="仿宋" w:cs="仿宋"/>
          <w:b/>
          <w:bCs/>
          <w:sz w:val="28"/>
          <w:szCs w:val="28"/>
        </w:rPr>
      </w:pPr>
      <w:bookmarkStart w:id="143" w:name="_Toc513029228"/>
      <w:bookmarkStart w:id="144" w:name="_Toc20823300"/>
      <w:bookmarkStart w:id="145" w:name="_Toc16938544"/>
      <w:r>
        <w:rPr>
          <w:rFonts w:hint="eastAsia" w:ascii="仿宋" w:hAnsi="仿宋" w:eastAsia="仿宋" w:cs="仿宋"/>
          <w:b/>
          <w:bCs/>
          <w:sz w:val="28"/>
          <w:szCs w:val="28"/>
        </w:rPr>
        <w:t>20、投标文件的撤回和修改</w:t>
      </w:r>
      <w:bookmarkEnd w:id="143"/>
      <w:bookmarkEnd w:id="144"/>
      <w:bookmarkEnd w:id="145"/>
    </w:p>
    <w:p w14:paraId="4A2418CF">
      <w:pPr>
        <w:spacing w:line="480" w:lineRule="exact"/>
        <w:ind w:firstLine="480"/>
        <w:rPr>
          <w:rFonts w:hint="eastAsia" w:ascii="仿宋" w:hAnsi="仿宋" w:eastAsia="仿宋" w:cs="仿宋"/>
          <w:sz w:val="24"/>
        </w:rPr>
      </w:pPr>
      <w:r>
        <w:rPr>
          <w:rFonts w:hint="eastAsia" w:ascii="仿宋" w:hAnsi="仿宋" w:eastAsia="仿宋" w:cs="仿宋"/>
          <w:sz w:val="24"/>
        </w:rPr>
        <w:t>20.1 投标文件的撤回</w:t>
      </w:r>
    </w:p>
    <w:p w14:paraId="65D8ACB1">
      <w:pPr>
        <w:spacing w:line="480" w:lineRule="exact"/>
        <w:ind w:firstLine="480"/>
        <w:rPr>
          <w:rFonts w:hint="eastAsia" w:ascii="仿宋" w:hAnsi="仿宋" w:eastAsia="仿宋" w:cs="仿宋"/>
          <w:sz w:val="24"/>
        </w:rPr>
      </w:pPr>
      <w:r>
        <w:rPr>
          <w:rFonts w:hint="eastAsia" w:ascii="仿宋" w:hAnsi="仿宋" w:eastAsia="仿宋" w:cs="仿宋"/>
          <w:sz w:val="24"/>
        </w:rPr>
        <w:t>20.1.1 电子投标文件的撤回</w:t>
      </w:r>
    </w:p>
    <w:p w14:paraId="4465E6EE">
      <w:pPr>
        <w:spacing w:line="480" w:lineRule="exact"/>
        <w:ind w:firstLine="480"/>
        <w:rPr>
          <w:rFonts w:hint="eastAsia" w:ascii="仿宋" w:hAnsi="仿宋" w:eastAsia="仿宋" w:cs="仿宋"/>
          <w:sz w:val="24"/>
        </w:rPr>
      </w:pPr>
      <w:r>
        <w:rPr>
          <w:rFonts w:hint="eastAsia" w:ascii="仿宋" w:hAnsi="仿宋" w:eastAsia="仿宋" w:cs="仿宋"/>
          <w:sz w:val="24"/>
        </w:rPr>
        <w:t>投标人可在投标截止时间前，撤回其电子投标文件，具体操作方法见《操作手册》。</w:t>
      </w:r>
    </w:p>
    <w:p w14:paraId="1459102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20.1.2 投标人撤回电子投标文件，则认为其不再参与本项目投标活动。</w:t>
      </w:r>
    </w:p>
    <w:p w14:paraId="37CC896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20.2 投标文件的修改</w:t>
      </w:r>
    </w:p>
    <w:p w14:paraId="3CBFC581">
      <w:pPr>
        <w:spacing w:line="480" w:lineRule="exact"/>
        <w:ind w:firstLine="480"/>
        <w:rPr>
          <w:rFonts w:hint="eastAsia" w:ascii="仿宋" w:hAnsi="仿宋" w:eastAsia="仿宋" w:cs="仿宋"/>
          <w:sz w:val="24"/>
        </w:rPr>
      </w:pPr>
      <w:r>
        <w:rPr>
          <w:rFonts w:hint="eastAsia" w:ascii="仿宋" w:hAnsi="仿宋" w:eastAsia="仿宋" w:cs="仿宋"/>
          <w:sz w:val="24"/>
        </w:rPr>
        <w:t>20.2.1投标人可在投标截止时间前，对其电子投标文件进行修改，具体操作方法见《操作手册》。</w:t>
      </w:r>
    </w:p>
    <w:p w14:paraId="2408A93A">
      <w:pPr>
        <w:spacing w:line="500" w:lineRule="exact"/>
        <w:ind w:firstLine="480"/>
        <w:rPr>
          <w:rFonts w:hint="eastAsia" w:ascii="仿宋" w:hAnsi="仿宋" w:eastAsia="仿宋" w:cs="仿宋"/>
          <w:bCs/>
          <w:sz w:val="24"/>
        </w:rPr>
      </w:pPr>
      <w:r>
        <w:rPr>
          <w:rFonts w:hint="eastAsia" w:ascii="仿宋" w:hAnsi="仿宋" w:eastAsia="仿宋" w:cs="仿宋"/>
          <w:sz w:val="24"/>
        </w:rPr>
        <w:t>20.2.2</w:t>
      </w:r>
      <w:r>
        <w:rPr>
          <w:rFonts w:hint="eastAsia" w:ascii="仿宋" w:hAnsi="仿宋" w:eastAsia="仿宋" w:cs="仿宋"/>
          <w:bCs/>
          <w:sz w:val="24"/>
        </w:rPr>
        <w:t xml:space="preserve"> 在投标截止时间之后，投标人不得对其电子投标文件作任何修改。</w:t>
      </w:r>
    </w:p>
    <w:p w14:paraId="7B50D4DB">
      <w:pPr>
        <w:spacing w:line="500" w:lineRule="exact"/>
        <w:ind w:firstLine="480"/>
        <w:rPr>
          <w:rFonts w:hint="eastAsia" w:ascii="仿宋" w:hAnsi="仿宋" w:eastAsia="仿宋" w:cs="仿宋"/>
          <w:bCs/>
          <w:sz w:val="24"/>
        </w:rPr>
      </w:pPr>
      <w:r>
        <w:rPr>
          <w:rFonts w:hint="eastAsia" w:ascii="仿宋" w:hAnsi="仿宋" w:eastAsia="仿宋" w:cs="仿宋"/>
          <w:sz w:val="24"/>
        </w:rPr>
        <w:t>20.3</w:t>
      </w:r>
      <w:r>
        <w:rPr>
          <w:rFonts w:hint="eastAsia" w:ascii="仿宋" w:hAnsi="仿宋" w:eastAsia="仿宋" w:cs="仿宋"/>
          <w:bCs/>
          <w:sz w:val="24"/>
        </w:rPr>
        <w:t>在投标截止时间至招标文件中规定的投标有效期满之间的这段时间内，投标人不得撤回其投标。</w:t>
      </w:r>
    </w:p>
    <w:p w14:paraId="6702DE00">
      <w:pPr>
        <w:keepNext/>
        <w:keepLines/>
        <w:spacing w:before="145" w:after="145" w:line="400" w:lineRule="exact"/>
        <w:outlineLvl w:val="1"/>
        <w:rPr>
          <w:rFonts w:hint="eastAsia" w:ascii="仿宋" w:hAnsi="仿宋" w:eastAsia="仿宋" w:cs="仿宋"/>
          <w:b/>
          <w:bCs/>
          <w:sz w:val="32"/>
          <w:szCs w:val="32"/>
        </w:rPr>
      </w:pPr>
      <w:bookmarkStart w:id="146" w:name="_Toc16938545"/>
      <w:bookmarkStart w:id="147" w:name="_Toc120614218"/>
      <w:bookmarkStart w:id="148" w:name="_Toc20823301"/>
      <w:bookmarkStart w:id="149" w:name="_Toc513029229"/>
      <w:r>
        <w:rPr>
          <w:rFonts w:hint="eastAsia" w:ascii="仿宋" w:hAnsi="仿宋" w:eastAsia="仿宋" w:cs="仿宋"/>
          <w:b/>
          <w:bCs/>
          <w:sz w:val="32"/>
          <w:szCs w:val="32"/>
        </w:rPr>
        <w:t>五、开标与评标</w:t>
      </w:r>
      <w:bookmarkEnd w:id="146"/>
      <w:bookmarkEnd w:id="147"/>
      <w:bookmarkEnd w:id="148"/>
      <w:bookmarkEnd w:id="149"/>
    </w:p>
    <w:p w14:paraId="740B9D5C">
      <w:pPr>
        <w:keepNext/>
        <w:keepLines/>
        <w:spacing w:line="400" w:lineRule="exact"/>
        <w:ind w:firstLine="422"/>
        <w:rPr>
          <w:rFonts w:hint="eastAsia" w:ascii="仿宋" w:hAnsi="仿宋" w:eastAsia="仿宋" w:cs="仿宋"/>
          <w:b/>
          <w:bCs/>
          <w:sz w:val="28"/>
          <w:szCs w:val="28"/>
        </w:rPr>
      </w:pPr>
      <w:bookmarkStart w:id="150" w:name="_Toc16938546"/>
      <w:bookmarkStart w:id="151" w:name="_Toc513029230"/>
      <w:bookmarkStart w:id="152" w:name="_Toc20823302"/>
      <w:r>
        <w:rPr>
          <w:rFonts w:hint="eastAsia" w:ascii="仿宋" w:hAnsi="仿宋" w:eastAsia="仿宋" w:cs="仿宋"/>
          <w:b/>
          <w:bCs/>
          <w:sz w:val="28"/>
          <w:szCs w:val="28"/>
        </w:rPr>
        <w:t>21、开标</w:t>
      </w:r>
      <w:bookmarkEnd w:id="150"/>
      <w:bookmarkEnd w:id="151"/>
      <w:bookmarkEnd w:id="152"/>
    </w:p>
    <w:p w14:paraId="7CA0B9D2">
      <w:pPr>
        <w:spacing w:line="500" w:lineRule="exact"/>
        <w:ind w:firstLine="480"/>
        <w:rPr>
          <w:rFonts w:hint="eastAsia" w:ascii="仿宋" w:hAnsi="仿宋" w:eastAsia="仿宋" w:cs="仿宋"/>
          <w:bCs/>
          <w:sz w:val="24"/>
        </w:rPr>
      </w:pPr>
      <w:r>
        <w:rPr>
          <w:rFonts w:hint="eastAsia" w:ascii="仿宋" w:hAnsi="仿宋" w:eastAsia="仿宋" w:cs="仿宋"/>
          <w:bCs/>
          <w:sz w:val="24"/>
        </w:rPr>
        <w:t>21.1代理机构将在招标公告中规定的时间和地点组织公开开标。投标人应当按照《操作手册》规定，参加开标活动和在苏采云系统规定的时间内对投标文件进行解密。</w:t>
      </w:r>
    </w:p>
    <w:p w14:paraId="3D05A09B">
      <w:pPr>
        <w:spacing w:line="500" w:lineRule="exact"/>
        <w:ind w:firstLine="480"/>
        <w:rPr>
          <w:rFonts w:hint="eastAsia" w:ascii="仿宋" w:hAnsi="仿宋" w:eastAsia="仿宋" w:cs="仿宋"/>
          <w:bCs/>
          <w:sz w:val="24"/>
        </w:rPr>
      </w:pPr>
      <w:r>
        <w:rPr>
          <w:rFonts w:hint="eastAsia" w:ascii="仿宋" w:hAnsi="仿宋" w:eastAsia="仿宋" w:cs="仿宋"/>
          <w:bCs/>
          <w:sz w:val="24"/>
        </w:rPr>
        <w:t>21.2开标仪式由代理机构组织。苏采云系统将自动对项目进行开标，并宣布各投标人名称和投标价格。</w:t>
      </w:r>
    </w:p>
    <w:p w14:paraId="1BEF22C4">
      <w:pPr>
        <w:spacing w:line="500" w:lineRule="exact"/>
        <w:ind w:firstLine="480"/>
        <w:rPr>
          <w:rFonts w:hint="eastAsia" w:ascii="仿宋" w:hAnsi="仿宋" w:eastAsia="仿宋" w:cs="仿宋"/>
          <w:sz w:val="24"/>
          <w:szCs w:val="24"/>
        </w:rPr>
      </w:pPr>
      <w:r>
        <w:rPr>
          <w:rFonts w:hint="eastAsia" w:ascii="仿宋" w:hAnsi="仿宋" w:eastAsia="仿宋" w:cs="仿宋"/>
          <w:bCs/>
          <w:sz w:val="24"/>
        </w:rPr>
        <w:t>21.3投标人在开标过程中涉及到的投标文件解密、开标结果确认等工作，应按照《操作手册》规定执行。</w:t>
      </w:r>
    </w:p>
    <w:p w14:paraId="4015857B">
      <w:pPr>
        <w:spacing w:line="500" w:lineRule="exact"/>
        <w:ind w:firstLine="480"/>
        <w:rPr>
          <w:rFonts w:hint="eastAsia" w:ascii="仿宋" w:hAnsi="仿宋" w:eastAsia="仿宋" w:cs="仿宋"/>
          <w:sz w:val="24"/>
          <w:szCs w:val="24"/>
        </w:rPr>
      </w:pPr>
      <w:r>
        <w:rPr>
          <w:rFonts w:hint="eastAsia" w:ascii="仿宋" w:hAnsi="仿宋" w:eastAsia="仿宋" w:cs="仿宋"/>
          <w:sz w:val="24"/>
          <w:szCs w:val="24"/>
        </w:rPr>
        <w:t>21.4投标人如果对开标过程和开标记录有疑义，应当根据《操作手册》规定提出，如苏采云系统中《开标记录表》宣布后5分钟内未提出的，视同认可开标结果。</w:t>
      </w:r>
    </w:p>
    <w:p w14:paraId="14AE9614">
      <w:pPr>
        <w:keepNext/>
        <w:keepLines/>
        <w:spacing w:line="400" w:lineRule="exact"/>
        <w:ind w:firstLine="422"/>
        <w:rPr>
          <w:rFonts w:hint="eastAsia" w:ascii="仿宋" w:hAnsi="仿宋" w:eastAsia="仿宋" w:cs="仿宋"/>
          <w:b/>
          <w:bCs/>
          <w:sz w:val="28"/>
          <w:szCs w:val="28"/>
        </w:rPr>
      </w:pPr>
      <w:bookmarkStart w:id="153" w:name="_Toc513029231"/>
      <w:bookmarkStart w:id="154" w:name="_Toc20823303"/>
      <w:bookmarkStart w:id="155" w:name="_Toc16938547"/>
      <w:r>
        <w:rPr>
          <w:rFonts w:hint="eastAsia" w:ascii="仿宋" w:hAnsi="仿宋" w:eastAsia="仿宋" w:cs="仿宋"/>
          <w:b/>
          <w:bCs/>
          <w:sz w:val="28"/>
          <w:szCs w:val="28"/>
        </w:rPr>
        <w:t>22、评标委员会</w:t>
      </w:r>
    </w:p>
    <w:p w14:paraId="08C0414E">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22.1 开标后，代理机构将立即组织评标委员会（以下简称评委会）进行评标。</w:t>
      </w:r>
    </w:p>
    <w:p w14:paraId="5295FE1D">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22.2 评委会由采购人代表和有关技术、经济等方面的专家组成，且人员构成符合政府采购有关规定。</w:t>
      </w:r>
    </w:p>
    <w:p w14:paraId="5F4281E3">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22.3评委会独立工作，负责评审所有投标文件并确定中标候选人。</w:t>
      </w:r>
    </w:p>
    <w:p w14:paraId="157DDC20">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23、评标过程的保密与公正</w:t>
      </w:r>
      <w:bookmarkEnd w:id="153"/>
      <w:bookmarkEnd w:id="154"/>
      <w:bookmarkEnd w:id="155"/>
    </w:p>
    <w:p w14:paraId="1872785E">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23.1公开开标后，直至向中标的投标人授予合同时止，凡是与审查、澄清、评价和比较投标的有关资料以及授标建议等，采购人、评委、代理机构均不得向投标人或与评标无关的其他人员透露。</w:t>
      </w:r>
    </w:p>
    <w:p w14:paraId="7A805F39">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23.2在评标过程中，投标人不得以任何行为影响评标过程，否则其投标文件将被作为无效投标文件。</w:t>
      </w:r>
    </w:p>
    <w:p w14:paraId="29D20CF0">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23.3在评标期间，代理机构将设专门人员与投标人联系。</w:t>
      </w:r>
    </w:p>
    <w:p w14:paraId="7A471725">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23.4代理机构和评标委员会不向未中标的投标人解释未中标原因，也不公布评标过程中的相关细节。</w:t>
      </w:r>
    </w:p>
    <w:p w14:paraId="144FDCFB">
      <w:pPr>
        <w:spacing w:line="480" w:lineRule="exact"/>
        <w:ind w:firstLine="480"/>
        <w:rPr>
          <w:rFonts w:hint="eastAsia" w:ascii="仿宋" w:hAnsi="仿宋" w:eastAsia="仿宋" w:cs="仿宋"/>
          <w:b/>
          <w:sz w:val="24"/>
          <w:szCs w:val="24"/>
        </w:rPr>
      </w:pPr>
      <w:r>
        <w:rPr>
          <w:rFonts w:hint="eastAsia" w:ascii="仿宋" w:hAnsi="仿宋" w:eastAsia="仿宋" w:cs="仿宋"/>
          <w:bCs/>
          <w:sz w:val="24"/>
          <w:szCs w:val="24"/>
        </w:rPr>
        <w:t>23.5采用综合评分法的项目，未中标的投标人可于中标结果公告期限届满之日起通过苏采云系统查看自己的评审得分及排序情况。</w:t>
      </w:r>
    </w:p>
    <w:p w14:paraId="56DD4A72">
      <w:pPr>
        <w:keepNext/>
        <w:keepLines/>
        <w:spacing w:line="400" w:lineRule="exact"/>
        <w:ind w:firstLine="422"/>
        <w:rPr>
          <w:rFonts w:hint="eastAsia" w:ascii="仿宋" w:hAnsi="仿宋" w:eastAsia="仿宋" w:cs="仿宋"/>
          <w:b/>
          <w:bCs/>
          <w:sz w:val="28"/>
          <w:szCs w:val="28"/>
        </w:rPr>
      </w:pPr>
      <w:bookmarkStart w:id="156" w:name="_Toc16938548"/>
      <w:bookmarkStart w:id="157" w:name="_Toc20823304"/>
      <w:bookmarkStart w:id="158" w:name="_Toc513029232"/>
      <w:r>
        <w:rPr>
          <w:rFonts w:hint="eastAsia" w:ascii="仿宋" w:hAnsi="仿宋" w:eastAsia="仿宋" w:cs="仿宋"/>
          <w:b/>
          <w:bCs/>
          <w:sz w:val="28"/>
          <w:szCs w:val="28"/>
        </w:rPr>
        <w:t>24、投标文件的澄清</w:t>
      </w:r>
      <w:bookmarkEnd w:id="156"/>
      <w:bookmarkEnd w:id="157"/>
      <w:bookmarkEnd w:id="158"/>
    </w:p>
    <w:p w14:paraId="027DD946">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24.1评标期间，评委会对投标文件中含义不明确、同类问题表述不一致或者有明显文字和计算错误的内容 ，有权要求投标人作出必要的澄清、说明或者补正。</w:t>
      </w:r>
    </w:p>
    <w:p w14:paraId="31050E73">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投标人的澄清、说明或者补正不得超出投标文件的范围或者改变投标文件的实质性内容。</w:t>
      </w:r>
    </w:p>
    <w:p w14:paraId="2A081837">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评标委员会并非对每个投标人都做澄清要求。</w:t>
      </w:r>
    </w:p>
    <w:p w14:paraId="1395B692">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24.2需要投标人进行澄清、说明和补正的，评委会将通过苏采云系统向投标人发出“澄清要求函”，接到“澄清要求函”的投标人应当按照要求在苏采云系统中提交“澄清响应函”并加盖CA电子公章。澄清、说明和补正的内容作为投标文件的补充部分，具体操作方式见《操作手册》。</w:t>
      </w:r>
    </w:p>
    <w:p w14:paraId="7189C88B">
      <w:pPr>
        <w:spacing w:line="480" w:lineRule="exact"/>
        <w:ind w:firstLine="480"/>
        <w:rPr>
          <w:rFonts w:hint="eastAsia" w:ascii="仿宋" w:hAnsi="仿宋" w:eastAsia="仿宋" w:cs="仿宋"/>
          <w:bCs/>
          <w:sz w:val="24"/>
          <w:szCs w:val="24"/>
        </w:rPr>
      </w:pPr>
      <w:r>
        <w:rPr>
          <w:rFonts w:hint="eastAsia" w:ascii="仿宋" w:hAnsi="仿宋" w:eastAsia="仿宋" w:cs="仿宋"/>
          <w:bCs/>
          <w:sz w:val="24"/>
          <w:szCs w:val="24"/>
        </w:rPr>
        <w:t>24.3接到评委会澄清、说明和补正要求的投标人如未按规定做出澄清、说明和补正，其风险由投标人自行承担。</w:t>
      </w:r>
    </w:p>
    <w:p w14:paraId="4DDF5D9A">
      <w:pPr>
        <w:keepNext/>
        <w:keepLines/>
        <w:spacing w:line="400" w:lineRule="exact"/>
        <w:ind w:firstLine="422"/>
        <w:rPr>
          <w:rFonts w:hint="eastAsia" w:ascii="仿宋" w:hAnsi="仿宋" w:eastAsia="仿宋" w:cs="仿宋"/>
          <w:b/>
          <w:bCs/>
          <w:sz w:val="28"/>
          <w:szCs w:val="28"/>
        </w:rPr>
      </w:pPr>
      <w:bookmarkStart w:id="159" w:name="_Toc20823305"/>
      <w:bookmarkStart w:id="160" w:name="_Toc16938549"/>
      <w:bookmarkStart w:id="161" w:name="_Toc513029233"/>
      <w:r>
        <w:rPr>
          <w:rFonts w:hint="eastAsia" w:ascii="仿宋" w:hAnsi="仿宋" w:eastAsia="仿宋" w:cs="仿宋"/>
          <w:b/>
          <w:bCs/>
          <w:sz w:val="28"/>
          <w:szCs w:val="28"/>
        </w:rPr>
        <w:t>25、对投标文件的初审</w:t>
      </w:r>
      <w:bookmarkEnd w:id="159"/>
      <w:bookmarkEnd w:id="160"/>
      <w:bookmarkEnd w:id="161"/>
    </w:p>
    <w:p w14:paraId="0D16C65F">
      <w:pPr>
        <w:spacing w:line="460" w:lineRule="exact"/>
        <w:ind w:firstLine="480"/>
        <w:rPr>
          <w:rFonts w:hint="eastAsia" w:ascii="仿宋" w:hAnsi="仿宋" w:eastAsia="仿宋" w:cs="仿宋"/>
          <w:bCs/>
          <w:sz w:val="24"/>
        </w:rPr>
      </w:pPr>
      <w:r>
        <w:rPr>
          <w:rFonts w:hint="eastAsia" w:ascii="仿宋" w:hAnsi="仿宋" w:eastAsia="仿宋" w:cs="仿宋"/>
          <w:sz w:val="24"/>
        </w:rPr>
        <w:t>25.1</w:t>
      </w:r>
      <w:r>
        <w:rPr>
          <w:rFonts w:hint="eastAsia" w:ascii="仿宋" w:hAnsi="仿宋" w:eastAsia="仿宋" w:cs="仿宋"/>
          <w:bCs/>
          <w:sz w:val="24"/>
        </w:rPr>
        <w:t>投标文件初审分为资格审查和符合性审查。</w:t>
      </w:r>
    </w:p>
    <w:p w14:paraId="3DC4F3CB">
      <w:pPr>
        <w:spacing w:line="460" w:lineRule="exact"/>
        <w:ind w:firstLine="480"/>
        <w:rPr>
          <w:rFonts w:hint="eastAsia" w:ascii="仿宋" w:hAnsi="仿宋" w:eastAsia="仿宋" w:cs="仿宋"/>
          <w:bCs/>
          <w:sz w:val="24"/>
        </w:rPr>
      </w:pPr>
      <w:r>
        <w:rPr>
          <w:rFonts w:hint="eastAsia" w:ascii="仿宋" w:hAnsi="仿宋" w:eastAsia="仿宋" w:cs="仿宋"/>
          <w:bCs/>
          <w:sz w:val="24"/>
        </w:rPr>
        <w:t>25.1.1资格审查：依据法律法规和招标文件的规定，由采购人对投标文件中的资格证明文件进行审查。资格审查的结论，采购人以书面形式向评委会进行反馈。</w:t>
      </w:r>
    </w:p>
    <w:p w14:paraId="47C97EF3">
      <w:pPr>
        <w:spacing w:line="460" w:lineRule="exact"/>
        <w:ind w:firstLine="480"/>
        <w:jc w:val="left"/>
        <w:rPr>
          <w:rFonts w:hint="eastAsia" w:ascii="仿宋" w:hAnsi="仿宋" w:eastAsia="仿宋" w:cs="仿宋"/>
          <w:bCs/>
          <w:sz w:val="24"/>
        </w:rPr>
      </w:pPr>
      <w:r>
        <w:rPr>
          <w:rFonts w:hint="eastAsia" w:ascii="仿宋" w:hAnsi="仿宋" w:eastAsia="仿宋" w:cs="仿宋"/>
          <w:bCs/>
          <w:sz w:val="24"/>
        </w:rPr>
        <w:t>采购人在进行资格性审查的同时，将在“信用中国”网站（www.creditchina.gov.cn）查询投标人的信用记录，以确定投标人是否具备投标资格,查询结果留存并归档。</w:t>
      </w:r>
    </w:p>
    <w:p w14:paraId="1817FFB4">
      <w:pPr>
        <w:spacing w:line="460" w:lineRule="exact"/>
        <w:ind w:firstLine="480"/>
        <w:rPr>
          <w:rFonts w:hint="eastAsia" w:ascii="仿宋" w:hAnsi="仿宋" w:eastAsia="仿宋" w:cs="仿宋"/>
          <w:bCs/>
          <w:sz w:val="24"/>
        </w:rPr>
      </w:pPr>
      <w:r>
        <w:rPr>
          <w:rFonts w:hint="eastAsia" w:ascii="仿宋" w:hAnsi="仿宋" w:eastAsia="仿宋" w:cs="仿宋"/>
          <w:bCs/>
          <w:sz w:val="24"/>
        </w:rPr>
        <w:t>三个自然人、法人或者其他组织组成一个联合体，以一个供应商的身份共同参加政府采购活动的,联合体成员存在不良信用记录的，视同联合体存在不良应用记录。</w:t>
      </w:r>
    </w:p>
    <w:p w14:paraId="6BB9648B">
      <w:pPr>
        <w:spacing w:line="460" w:lineRule="exact"/>
        <w:ind w:firstLine="480"/>
        <w:rPr>
          <w:rFonts w:hint="eastAsia" w:ascii="仿宋" w:hAnsi="仿宋" w:eastAsia="仿宋" w:cs="仿宋"/>
          <w:bCs/>
          <w:sz w:val="24"/>
        </w:rPr>
      </w:pPr>
      <w:r>
        <w:rPr>
          <w:rFonts w:hint="eastAsia" w:ascii="仿宋" w:hAnsi="仿宋" w:eastAsia="仿宋" w:cs="仿宋"/>
          <w:bCs/>
          <w:sz w:val="24"/>
        </w:rPr>
        <w:t>25.1.2符合性审查：依据招标文件的规定，由评委会从投标文件的有效性、完整性和对招标文件的响应程度进行审查，以确定是否对招标文件的实质性要求作出响应。</w:t>
      </w:r>
    </w:p>
    <w:p w14:paraId="425325A0">
      <w:pPr>
        <w:spacing w:line="460" w:lineRule="exact"/>
        <w:ind w:firstLine="480"/>
        <w:rPr>
          <w:rFonts w:hint="eastAsia" w:ascii="仿宋" w:hAnsi="仿宋" w:eastAsia="仿宋" w:cs="仿宋"/>
          <w:bCs/>
          <w:sz w:val="24"/>
        </w:rPr>
      </w:pPr>
      <w:r>
        <w:rPr>
          <w:rFonts w:hint="eastAsia" w:ascii="仿宋" w:hAnsi="仿宋" w:eastAsia="仿宋" w:cs="仿宋"/>
          <w:bCs/>
          <w:sz w:val="24"/>
        </w:rPr>
        <w:t>25.1.3未通过资格审查或符合性审查的投标人，评标委员会将在</w:t>
      </w:r>
      <w:r>
        <w:rPr>
          <w:rFonts w:hint="eastAsia" w:ascii="仿宋" w:hAnsi="仿宋" w:eastAsia="仿宋" w:cs="仿宋"/>
          <w:sz w:val="24"/>
          <w:szCs w:val="24"/>
        </w:rPr>
        <w:t>苏采云系统</w:t>
      </w:r>
      <w:r>
        <w:rPr>
          <w:rFonts w:hint="eastAsia" w:ascii="仿宋" w:hAnsi="仿宋" w:eastAsia="仿宋" w:cs="仿宋"/>
          <w:bCs/>
          <w:sz w:val="24"/>
        </w:rPr>
        <w:t>中告知未通过资格审查或符合性审查的原因，评标结束后，评标委员会将不再告知未通过资格审查和符合性审查的原因。</w:t>
      </w:r>
    </w:p>
    <w:p w14:paraId="0AD75228">
      <w:pPr>
        <w:spacing w:line="460" w:lineRule="exact"/>
        <w:ind w:firstLine="480"/>
        <w:rPr>
          <w:rFonts w:hint="eastAsia" w:ascii="仿宋" w:hAnsi="仿宋" w:eastAsia="仿宋" w:cs="仿宋"/>
          <w:sz w:val="24"/>
        </w:rPr>
      </w:pPr>
      <w:r>
        <w:rPr>
          <w:rFonts w:hint="eastAsia" w:ascii="仿宋" w:hAnsi="仿宋" w:eastAsia="仿宋" w:cs="仿宋"/>
          <w:sz w:val="24"/>
        </w:rPr>
        <w:t>25.2在详细评标之前，评委会将首先审查每份投标文件是否实质性响应了招标文件的要求。实质性响应的投标应该是与招标文件要求的全部条款、条件和规格相符，没有重大偏离或保留的投标。</w:t>
      </w:r>
    </w:p>
    <w:p w14:paraId="017772A5">
      <w:pPr>
        <w:spacing w:line="460" w:lineRule="exact"/>
        <w:ind w:firstLine="480"/>
        <w:rPr>
          <w:rFonts w:hint="eastAsia" w:ascii="仿宋" w:hAnsi="仿宋" w:eastAsia="仿宋" w:cs="仿宋"/>
          <w:sz w:val="24"/>
        </w:rPr>
      </w:pPr>
      <w:r>
        <w:rPr>
          <w:rFonts w:hint="eastAsia" w:ascii="仿宋" w:hAnsi="仿宋" w:eastAsia="仿宋" w:cs="仿宋"/>
          <w:sz w:val="24"/>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5E75DA90">
      <w:pPr>
        <w:spacing w:line="460" w:lineRule="exact"/>
        <w:ind w:firstLine="480"/>
        <w:rPr>
          <w:rFonts w:hint="eastAsia" w:ascii="仿宋" w:hAnsi="仿宋" w:eastAsia="仿宋" w:cs="仿宋"/>
          <w:sz w:val="24"/>
        </w:rPr>
      </w:pPr>
      <w:r>
        <w:rPr>
          <w:rFonts w:hint="eastAsia" w:ascii="仿宋" w:hAnsi="仿宋" w:eastAsia="仿宋" w:cs="仿宋"/>
          <w:sz w:val="24"/>
        </w:rPr>
        <w:t>25.3如果投标文件实质上没有响应招标文件的要求，评委会将予以拒绝，投标人不得通过修改或撤销不合要求的偏离或保留而使其投标成为实质性响应的投标。</w:t>
      </w:r>
    </w:p>
    <w:p w14:paraId="6A4EB01C">
      <w:pPr>
        <w:spacing w:line="460" w:lineRule="exact"/>
        <w:ind w:firstLine="480"/>
        <w:rPr>
          <w:rFonts w:hint="eastAsia" w:ascii="仿宋" w:hAnsi="仿宋" w:eastAsia="仿宋" w:cs="仿宋"/>
          <w:bCs/>
          <w:sz w:val="24"/>
        </w:rPr>
      </w:pPr>
      <w:r>
        <w:rPr>
          <w:rFonts w:hint="eastAsia" w:ascii="仿宋" w:hAnsi="仿宋" w:eastAsia="仿宋" w:cs="仿宋"/>
          <w:sz w:val="24"/>
        </w:rPr>
        <w:t>25.4</w:t>
      </w:r>
      <w:r>
        <w:rPr>
          <w:rFonts w:hint="eastAsia" w:ascii="仿宋" w:hAnsi="仿宋" w:eastAsia="仿宋" w:cs="仿宋"/>
          <w:bCs/>
          <w:sz w:val="24"/>
        </w:rPr>
        <w:t>评委会将对确定为实质性响应的投标进行进一步审核，确定其是否有计算上或累加上的算术错误，修正错误的原则如下：</w:t>
      </w:r>
    </w:p>
    <w:p w14:paraId="67C719C1">
      <w:pPr>
        <w:spacing w:line="460" w:lineRule="exact"/>
        <w:ind w:firstLine="480"/>
        <w:rPr>
          <w:rFonts w:hint="eastAsia" w:ascii="仿宋" w:hAnsi="仿宋" w:eastAsia="仿宋" w:cs="仿宋"/>
          <w:bCs/>
          <w:sz w:val="24"/>
        </w:rPr>
      </w:pPr>
      <w:r>
        <w:rPr>
          <w:rFonts w:hint="eastAsia" w:ascii="仿宋" w:hAnsi="仿宋" w:eastAsia="仿宋" w:cs="仿宋"/>
          <w:bCs/>
          <w:sz w:val="24"/>
        </w:rPr>
        <w:t>（1）大写金额和小写金额不一致的，以大写金额为准。</w:t>
      </w:r>
    </w:p>
    <w:p w14:paraId="5C33FD6B">
      <w:pPr>
        <w:spacing w:line="460" w:lineRule="exact"/>
        <w:ind w:firstLine="480"/>
        <w:rPr>
          <w:rFonts w:hint="eastAsia" w:ascii="仿宋" w:hAnsi="仿宋" w:eastAsia="仿宋" w:cs="仿宋"/>
          <w:bCs/>
          <w:sz w:val="24"/>
        </w:rPr>
      </w:pPr>
      <w:r>
        <w:rPr>
          <w:rFonts w:hint="eastAsia" w:ascii="仿宋" w:hAnsi="仿宋" w:eastAsia="仿宋" w:cs="仿宋"/>
          <w:bCs/>
          <w:sz w:val="24"/>
        </w:rPr>
        <w:t>（2）单价金额小数点或者百分比有明显错位的，以开标一览表的总价为准，并修改单价。</w:t>
      </w:r>
    </w:p>
    <w:p w14:paraId="518DD8D2">
      <w:pPr>
        <w:spacing w:line="460" w:lineRule="exact"/>
        <w:ind w:firstLine="480"/>
        <w:rPr>
          <w:rFonts w:hint="eastAsia" w:ascii="仿宋" w:hAnsi="仿宋" w:eastAsia="仿宋" w:cs="仿宋"/>
          <w:bCs/>
          <w:sz w:val="24"/>
        </w:rPr>
      </w:pPr>
      <w:r>
        <w:rPr>
          <w:rFonts w:hint="eastAsia" w:ascii="仿宋" w:hAnsi="仿宋" w:eastAsia="仿宋" w:cs="仿宋"/>
          <w:bCs/>
          <w:sz w:val="24"/>
        </w:rPr>
        <w:t>（3）总价金额与按单价汇总金额不一致的，以单价金额计算结果为准。</w:t>
      </w:r>
    </w:p>
    <w:p w14:paraId="49C3E028">
      <w:pPr>
        <w:spacing w:line="460" w:lineRule="exact"/>
        <w:ind w:firstLine="720"/>
        <w:rPr>
          <w:rFonts w:hint="eastAsia" w:ascii="仿宋" w:hAnsi="仿宋" w:eastAsia="仿宋" w:cs="仿宋"/>
          <w:bCs/>
          <w:sz w:val="24"/>
        </w:rPr>
      </w:pPr>
      <w:r>
        <w:rPr>
          <w:rFonts w:hint="eastAsia" w:ascii="仿宋" w:hAnsi="仿宋" w:eastAsia="仿宋" w:cs="仿宋"/>
          <w:bCs/>
          <w:sz w:val="24"/>
        </w:rPr>
        <w:t>同时出现两种以上错误的，按照前款规定的顺序修正。</w:t>
      </w:r>
    </w:p>
    <w:p w14:paraId="7A7B3FA3">
      <w:pPr>
        <w:spacing w:line="460" w:lineRule="exact"/>
        <w:ind w:firstLine="480"/>
        <w:rPr>
          <w:rFonts w:hint="eastAsia" w:ascii="仿宋" w:hAnsi="仿宋" w:eastAsia="仿宋" w:cs="仿宋"/>
          <w:bCs/>
          <w:sz w:val="24"/>
        </w:rPr>
      </w:pPr>
      <w:r>
        <w:rPr>
          <w:rFonts w:hint="eastAsia" w:ascii="仿宋" w:hAnsi="仿宋" w:eastAsia="仿宋" w:cs="仿宋"/>
          <w:sz w:val="24"/>
        </w:rPr>
        <w:t>25.5</w:t>
      </w:r>
      <w:r>
        <w:rPr>
          <w:rFonts w:hint="eastAsia" w:ascii="仿宋" w:hAnsi="仿宋" w:eastAsia="仿宋" w:cs="仿宋"/>
          <w:bCs/>
          <w:sz w:val="24"/>
        </w:rPr>
        <w:t>评委会将按上述修正错误的方法调整投标文件中的投标报价，并通过</w:t>
      </w:r>
      <w:r>
        <w:rPr>
          <w:rFonts w:hint="eastAsia" w:ascii="仿宋" w:hAnsi="仿宋" w:eastAsia="仿宋" w:cs="仿宋"/>
          <w:sz w:val="24"/>
          <w:szCs w:val="24"/>
        </w:rPr>
        <w:t>苏采云系统</w:t>
      </w:r>
      <w:r>
        <w:rPr>
          <w:rFonts w:hint="eastAsia" w:ascii="仿宋" w:hAnsi="仿宋" w:eastAsia="仿宋" w:cs="仿宋"/>
          <w:bCs/>
          <w:sz w:val="24"/>
        </w:rPr>
        <w:t>告知投标人，调整后的价格应对投标人具有约束力。如果投标人不接受修正后的价格，则其投标将被拒绝。</w:t>
      </w:r>
    </w:p>
    <w:p w14:paraId="654539A3">
      <w:pPr>
        <w:spacing w:line="460" w:lineRule="exact"/>
        <w:ind w:firstLine="420"/>
        <w:rPr>
          <w:rFonts w:hint="eastAsia" w:ascii="仿宋" w:hAnsi="仿宋" w:eastAsia="仿宋" w:cs="仿宋"/>
          <w:sz w:val="24"/>
        </w:rPr>
      </w:pPr>
      <w:r>
        <w:rPr>
          <w:rFonts w:hint="eastAsia" w:ascii="仿宋" w:hAnsi="仿宋" w:eastAsia="仿宋" w:cs="仿宋"/>
          <w:sz w:val="24"/>
        </w:rPr>
        <w:t>25.6评委会将允许修正投标文件中不构成重大偏离的、微小的、非正规的、不一致的或不规则的地方，但这些修改不能影响任何投标人相应的名次排列。</w:t>
      </w:r>
      <w:bookmarkStart w:id="162" w:name="_Toc20823306"/>
      <w:bookmarkStart w:id="163" w:name="_Toc513029234"/>
      <w:bookmarkStart w:id="164" w:name="_Toc16938550"/>
    </w:p>
    <w:p w14:paraId="2BC111EF">
      <w:pPr>
        <w:spacing w:line="460" w:lineRule="exact"/>
        <w:ind w:firstLine="420"/>
        <w:rPr>
          <w:rFonts w:hint="eastAsia" w:ascii="仿宋" w:hAnsi="仿宋" w:eastAsia="仿宋" w:cs="仿宋"/>
          <w:sz w:val="24"/>
        </w:rPr>
      </w:pPr>
      <w:r>
        <w:rPr>
          <w:rFonts w:hint="eastAsia" w:ascii="仿宋" w:hAnsi="仿宋" w:eastAsia="仿宋" w:cs="仿宋"/>
          <w:sz w:val="24"/>
        </w:rPr>
        <w:t>25.7投标人在开、评标全过程中应保持通讯畅通，及时登录</w:t>
      </w:r>
      <w:r>
        <w:rPr>
          <w:rFonts w:hint="eastAsia" w:ascii="仿宋" w:hAnsi="仿宋" w:eastAsia="仿宋" w:cs="仿宋"/>
          <w:sz w:val="24"/>
          <w:szCs w:val="24"/>
        </w:rPr>
        <w:t>苏采云系统</w:t>
      </w:r>
      <w:r>
        <w:rPr>
          <w:rFonts w:hint="eastAsia" w:ascii="仿宋" w:hAnsi="仿宋" w:eastAsia="仿宋" w:cs="仿宋"/>
          <w:sz w:val="24"/>
        </w:rPr>
        <w:t>查阅、答复相关信息，并安排专人与代理机构及评标委员会联系。</w:t>
      </w:r>
    </w:p>
    <w:p w14:paraId="28D9D0FF">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25.8.异常低价审查</w:t>
      </w:r>
    </w:p>
    <w:p w14:paraId="473391F1">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25.8.1.根据省财政厅《关于推动解决政府采购异常低价问题的通知》（苏财购〔2026〕2号）要求，评审过程中出现下列情形之一的，评标委员会启动异常低价投标(响应)审查的情形和具体要求，包括:</w:t>
      </w:r>
    </w:p>
    <w:p w14:paraId="20729315">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（1）投标(响应)报价低于全部通过符合性审查供应商投标(响应)报价平均值50%的，即投标(响应)报价&lt;全部通过符合性审查供应商投标(响应)报价平均值X50%;</w:t>
      </w:r>
    </w:p>
    <w:p w14:paraId="66815FDF">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（2）投标(响应)报价低于通过符合性审查的次低报价供应商投标(响应)报价50%的，即投标(响应)报价&lt;通过符合性审查的次低报价供应商投标(响应)报价X50%;</w:t>
      </w:r>
    </w:p>
    <w:p w14:paraId="0C47E6A6">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（3）投标(响应)报价低于采购项目最高限价45%的，即投标(响应)报价&lt;采购项目最高限价X45%;</w:t>
      </w:r>
    </w:p>
    <w:p w14:paraId="3D6832B7">
      <w:pPr>
        <w:keepNext/>
        <w:keepLines/>
        <w:spacing w:line="400" w:lineRule="exact"/>
        <w:ind w:firstLine="422"/>
        <w:rPr>
          <w:rFonts w:hint="eastAsia" w:ascii="仿宋" w:hAnsi="仿宋" w:eastAsia="仿宋" w:cs="仿宋"/>
          <w:b/>
          <w:bCs/>
          <w:color w:val="000000"/>
          <w:sz w:val="24"/>
        </w:rPr>
      </w:pPr>
      <w:r>
        <w:rPr>
          <w:rFonts w:hint="eastAsia" w:ascii="仿宋" w:hAnsi="仿宋" w:eastAsia="仿宋" w:cs="仿宋"/>
          <w:b/>
          <w:bCs/>
          <w:color w:val="000000"/>
          <w:sz w:val="24"/>
        </w:rPr>
        <w:t>（4）评标委员会认定的供应商报价过低、有可能影响产品质量或者不能诚信履约的其他情形。</w:t>
      </w:r>
    </w:p>
    <w:p w14:paraId="616E6A19">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color w:val="000000"/>
          <w:sz w:val="24"/>
        </w:rPr>
        <w:t>25.8.2.启动异常低价投标(响应)审查后，评标委员会应当要求相关供应商在评标现场30分钟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14:paraId="63E93631">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26、</w:t>
      </w:r>
      <w:bookmarkEnd w:id="162"/>
      <w:bookmarkEnd w:id="163"/>
      <w:bookmarkEnd w:id="164"/>
      <w:r>
        <w:rPr>
          <w:rFonts w:hint="eastAsia" w:ascii="仿宋" w:hAnsi="仿宋" w:eastAsia="仿宋" w:cs="仿宋"/>
          <w:b/>
          <w:bCs/>
          <w:sz w:val="28"/>
          <w:szCs w:val="28"/>
        </w:rPr>
        <w:t>无效投标条款和废标条款</w:t>
      </w:r>
    </w:p>
    <w:p w14:paraId="04D0F256">
      <w:pPr>
        <w:spacing w:line="440" w:lineRule="exact"/>
        <w:ind w:left="479"/>
        <w:outlineLvl w:val="2"/>
        <w:rPr>
          <w:rFonts w:hint="eastAsia" w:ascii="仿宋" w:hAnsi="仿宋" w:eastAsia="仿宋" w:cs="仿宋"/>
          <w:bCs/>
          <w:sz w:val="24"/>
        </w:rPr>
      </w:pPr>
      <w:bookmarkStart w:id="165" w:name="_Toc513029235"/>
      <w:bookmarkStart w:id="166" w:name="_Toc16938551"/>
      <w:bookmarkStart w:id="167" w:name="_Toc20823307"/>
      <w:r>
        <w:rPr>
          <w:rFonts w:hint="eastAsia" w:ascii="仿宋" w:hAnsi="仿宋" w:eastAsia="仿宋" w:cs="仿宋"/>
          <w:bCs/>
          <w:sz w:val="24"/>
        </w:rPr>
        <w:t>26.1无效投标条款</w:t>
      </w:r>
    </w:p>
    <w:p w14:paraId="5EED7C5F">
      <w:pPr>
        <w:spacing w:line="440" w:lineRule="exact"/>
        <w:ind w:firstLine="480"/>
        <w:rPr>
          <w:rFonts w:hint="eastAsia" w:ascii="仿宋" w:hAnsi="仿宋" w:eastAsia="仿宋" w:cs="仿宋"/>
          <w:bCs/>
          <w:sz w:val="24"/>
          <w:szCs w:val="24"/>
        </w:rPr>
      </w:pPr>
      <w:r>
        <w:rPr>
          <w:rFonts w:hint="eastAsia" w:ascii="仿宋" w:hAnsi="仿宋" w:eastAsia="仿宋" w:cs="仿宋"/>
          <w:bCs/>
          <w:sz w:val="24"/>
        </w:rPr>
        <w:t>26</w:t>
      </w:r>
      <w:r>
        <w:rPr>
          <w:rFonts w:hint="eastAsia" w:ascii="仿宋" w:hAnsi="仿宋" w:eastAsia="仿宋" w:cs="仿宋"/>
          <w:bCs/>
          <w:sz w:val="24"/>
          <w:szCs w:val="24"/>
        </w:rPr>
        <w:t>.1.1 投标人在</w:t>
      </w:r>
      <w:r>
        <w:rPr>
          <w:rFonts w:hint="eastAsia" w:ascii="仿宋" w:hAnsi="仿宋" w:eastAsia="仿宋" w:cs="仿宋"/>
          <w:sz w:val="24"/>
          <w:szCs w:val="24"/>
        </w:rPr>
        <w:t>苏采云系统</w:t>
      </w:r>
      <w:r>
        <w:rPr>
          <w:rFonts w:hint="eastAsia" w:ascii="仿宋" w:hAnsi="仿宋" w:eastAsia="仿宋" w:cs="仿宋"/>
          <w:bCs/>
          <w:sz w:val="24"/>
          <w:szCs w:val="24"/>
        </w:rPr>
        <w:t>规定的时间内未成功解密电子投标文件的。</w:t>
      </w:r>
    </w:p>
    <w:p w14:paraId="57C92C04">
      <w:pPr>
        <w:spacing w:line="440" w:lineRule="exact"/>
        <w:ind w:firstLine="480"/>
        <w:rPr>
          <w:rFonts w:hint="eastAsia" w:ascii="仿宋" w:hAnsi="仿宋" w:eastAsia="仿宋" w:cs="仿宋"/>
          <w:bCs/>
          <w:sz w:val="24"/>
        </w:rPr>
      </w:pPr>
      <w:r>
        <w:rPr>
          <w:rFonts w:hint="eastAsia" w:ascii="仿宋" w:hAnsi="仿宋" w:eastAsia="仿宋" w:cs="仿宋"/>
          <w:bCs/>
          <w:sz w:val="24"/>
        </w:rPr>
        <w:t>26.1.2 投标人未按照招标文件要求上传电子投标文件的。</w:t>
      </w:r>
    </w:p>
    <w:p w14:paraId="5BAA77AF">
      <w:pPr>
        <w:spacing w:line="440" w:lineRule="exact"/>
        <w:ind w:left="479"/>
        <w:rPr>
          <w:rFonts w:hint="eastAsia" w:ascii="仿宋" w:hAnsi="仿宋" w:eastAsia="仿宋" w:cs="仿宋"/>
          <w:bCs/>
          <w:sz w:val="24"/>
        </w:rPr>
      </w:pPr>
      <w:r>
        <w:rPr>
          <w:rFonts w:hint="eastAsia" w:ascii="仿宋" w:hAnsi="仿宋" w:eastAsia="仿宋" w:cs="仿宋"/>
          <w:bCs/>
          <w:sz w:val="24"/>
        </w:rPr>
        <w:t>26.1.3 投标人同一分包提交两个（含两个）以上不同的投标报价的。</w:t>
      </w:r>
    </w:p>
    <w:p w14:paraId="35BE536F">
      <w:pPr>
        <w:spacing w:line="440" w:lineRule="exact"/>
        <w:ind w:left="479"/>
        <w:rPr>
          <w:rFonts w:hint="eastAsia" w:ascii="仿宋" w:hAnsi="仿宋" w:eastAsia="仿宋" w:cs="仿宋"/>
          <w:bCs/>
          <w:sz w:val="24"/>
        </w:rPr>
      </w:pPr>
      <w:r>
        <w:rPr>
          <w:rFonts w:hint="eastAsia" w:ascii="仿宋" w:hAnsi="仿宋" w:eastAsia="仿宋" w:cs="仿宋"/>
          <w:bCs/>
          <w:sz w:val="24"/>
        </w:rPr>
        <w:t>26.1.4投标人不具备招标文件中规定资格要求的。</w:t>
      </w:r>
    </w:p>
    <w:p w14:paraId="6193A183">
      <w:pPr>
        <w:spacing w:line="440" w:lineRule="exact"/>
        <w:ind w:firstLine="480"/>
        <w:rPr>
          <w:rFonts w:hint="eastAsia" w:ascii="仿宋" w:hAnsi="仿宋" w:eastAsia="仿宋" w:cs="仿宋"/>
          <w:bCs/>
          <w:sz w:val="24"/>
        </w:rPr>
      </w:pPr>
      <w:r>
        <w:rPr>
          <w:rFonts w:hint="eastAsia" w:ascii="仿宋" w:hAnsi="仿宋" w:eastAsia="仿宋" w:cs="仿宋"/>
          <w:bCs/>
          <w:sz w:val="24"/>
        </w:rPr>
        <w:t>26.1.5投标人的报价超过了采购预算或最高限价的。</w:t>
      </w:r>
    </w:p>
    <w:p w14:paraId="77A816C6">
      <w:pPr>
        <w:spacing w:line="440" w:lineRule="exact"/>
        <w:ind w:firstLine="480"/>
        <w:rPr>
          <w:rFonts w:hint="eastAsia" w:ascii="仿宋" w:hAnsi="仿宋" w:eastAsia="仿宋" w:cs="仿宋"/>
          <w:bCs/>
          <w:i/>
          <w:sz w:val="24"/>
          <w:u w:val="single"/>
        </w:rPr>
      </w:pPr>
      <w:r>
        <w:rPr>
          <w:rFonts w:hint="eastAsia" w:ascii="仿宋" w:hAnsi="仿宋" w:eastAsia="仿宋" w:cs="仿宋"/>
          <w:bCs/>
          <w:sz w:val="24"/>
        </w:rPr>
        <w:t>26.1.6未通过符合性审查的。</w:t>
      </w:r>
    </w:p>
    <w:p w14:paraId="067E9142">
      <w:pPr>
        <w:spacing w:line="500" w:lineRule="exact"/>
        <w:ind w:firstLine="480"/>
        <w:rPr>
          <w:rFonts w:hint="eastAsia" w:ascii="仿宋" w:hAnsi="仿宋" w:eastAsia="仿宋" w:cs="仿宋"/>
          <w:bCs/>
          <w:sz w:val="24"/>
        </w:rPr>
      </w:pPr>
      <w:r>
        <w:rPr>
          <w:rFonts w:hint="eastAsia" w:ascii="仿宋" w:hAnsi="仿宋" w:eastAsia="仿宋" w:cs="仿宋"/>
          <w:bCs/>
          <w:sz w:val="24"/>
        </w:rPr>
        <w:t>26.1.7不符合招标文件中规定的实质性要求的</w:t>
      </w:r>
      <w:r>
        <w:rPr>
          <w:rFonts w:hint="eastAsia" w:ascii="仿宋" w:hAnsi="仿宋" w:eastAsia="仿宋" w:cs="仿宋"/>
          <w:bCs/>
          <w:sz w:val="24"/>
          <w:u w:val="single"/>
        </w:rPr>
        <w:t>（本招标文件中斜体且有下划线部分为实质性要求）</w:t>
      </w:r>
      <w:r>
        <w:rPr>
          <w:rFonts w:hint="eastAsia" w:ascii="仿宋" w:hAnsi="仿宋" w:eastAsia="仿宋" w:cs="仿宋"/>
          <w:bCs/>
          <w:sz w:val="24"/>
        </w:rPr>
        <w:t>。</w:t>
      </w:r>
    </w:p>
    <w:p w14:paraId="40975709">
      <w:pPr>
        <w:spacing w:line="500" w:lineRule="exact"/>
        <w:ind w:firstLine="480"/>
        <w:rPr>
          <w:rFonts w:hint="eastAsia" w:ascii="仿宋" w:hAnsi="仿宋" w:eastAsia="仿宋" w:cs="仿宋"/>
          <w:bCs/>
          <w:i/>
          <w:sz w:val="24"/>
          <w:u w:val="single"/>
        </w:rPr>
      </w:pPr>
      <w:r>
        <w:rPr>
          <w:rFonts w:hint="eastAsia" w:ascii="仿宋" w:hAnsi="仿宋" w:eastAsia="仿宋" w:cs="仿宋"/>
          <w:sz w:val="24"/>
        </w:rPr>
        <w:t>26.1.8对于采用折扣率报价的项目，开标一览表中的投标优惠率与投标分项报价表中的投标折扣率折算后不一致的。</w:t>
      </w:r>
    </w:p>
    <w:p w14:paraId="08F2C7BE">
      <w:pPr>
        <w:spacing w:line="440" w:lineRule="exact"/>
        <w:ind w:firstLine="480"/>
        <w:rPr>
          <w:rFonts w:hint="eastAsia" w:ascii="仿宋" w:hAnsi="仿宋" w:eastAsia="仿宋" w:cs="仿宋"/>
          <w:bCs/>
          <w:sz w:val="24"/>
        </w:rPr>
      </w:pPr>
      <w:r>
        <w:rPr>
          <w:rFonts w:hint="eastAsia" w:ascii="仿宋" w:hAnsi="仿宋" w:eastAsia="仿宋" w:cs="仿宋"/>
          <w:bCs/>
          <w:sz w:val="24"/>
        </w:rPr>
        <w:t>26.1.9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4E584D6">
      <w:pPr>
        <w:spacing w:line="440" w:lineRule="exact"/>
        <w:ind w:firstLine="480"/>
        <w:rPr>
          <w:rFonts w:hint="eastAsia" w:ascii="仿宋" w:hAnsi="仿宋" w:eastAsia="仿宋" w:cs="仿宋"/>
          <w:bCs/>
          <w:sz w:val="24"/>
        </w:rPr>
      </w:pPr>
      <w:r>
        <w:rPr>
          <w:rFonts w:hint="eastAsia" w:ascii="仿宋" w:hAnsi="仿宋" w:eastAsia="仿宋" w:cs="仿宋"/>
          <w:bCs/>
          <w:sz w:val="24"/>
        </w:rPr>
        <w:t>26.1.10 投标文件含有采购人不能接受的附加条件的。</w:t>
      </w:r>
    </w:p>
    <w:p w14:paraId="5425E427">
      <w:pPr>
        <w:spacing w:line="440" w:lineRule="exact"/>
        <w:ind w:firstLine="480"/>
        <w:rPr>
          <w:rFonts w:hint="eastAsia" w:ascii="仿宋" w:hAnsi="仿宋" w:eastAsia="仿宋" w:cs="仿宋"/>
          <w:bCs/>
          <w:sz w:val="24"/>
        </w:rPr>
      </w:pPr>
      <w:r>
        <w:rPr>
          <w:rFonts w:hint="eastAsia" w:ascii="仿宋" w:hAnsi="仿宋" w:eastAsia="仿宋" w:cs="仿宋"/>
          <w:bCs/>
          <w:sz w:val="24"/>
        </w:rPr>
        <w:t>26.1.11评标委员会认为投标人的报价明显低于其他通过符合性审查投标人的报价，有可能影响产品质量或者不能诚信履约的，将通过</w:t>
      </w:r>
      <w:r>
        <w:rPr>
          <w:rFonts w:hint="eastAsia" w:ascii="仿宋" w:hAnsi="仿宋" w:eastAsia="仿宋" w:cs="仿宋"/>
          <w:sz w:val="24"/>
          <w:szCs w:val="24"/>
        </w:rPr>
        <w:t>苏采云系统</w:t>
      </w:r>
      <w:r>
        <w:rPr>
          <w:rFonts w:hint="eastAsia" w:ascii="仿宋" w:hAnsi="仿宋" w:eastAsia="仿宋" w:cs="仿宋"/>
          <w:bCs/>
          <w:sz w:val="24"/>
        </w:rPr>
        <w:t>要求其在合理的时间内提供说明，必要时提交相关证明材料；投标人不能证明其报价合理性的，评标委员会应当将其作为无效投标处理。</w:t>
      </w:r>
    </w:p>
    <w:p w14:paraId="4CAE80E9">
      <w:pPr>
        <w:spacing w:line="440" w:lineRule="exact"/>
        <w:ind w:firstLine="480"/>
        <w:rPr>
          <w:rFonts w:hint="eastAsia" w:ascii="仿宋" w:hAnsi="仿宋" w:eastAsia="仿宋" w:cs="仿宋"/>
          <w:bCs/>
          <w:sz w:val="24"/>
        </w:rPr>
      </w:pPr>
      <w:r>
        <w:rPr>
          <w:rFonts w:hint="eastAsia" w:ascii="仿宋" w:hAnsi="仿宋" w:eastAsia="仿宋" w:cs="仿宋"/>
          <w:bCs/>
          <w:sz w:val="24"/>
        </w:rPr>
        <w:t>26.1.12投标文件未按照招标文件要求加盖CA电子公章的。</w:t>
      </w:r>
    </w:p>
    <w:p w14:paraId="5D945531">
      <w:pPr>
        <w:spacing w:line="440" w:lineRule="exact"/>
        <w:ind w:firstLine="480"/>
        <w:rPr>
          <w:rFonts w:hint="eastAsia" w:ascii="仿宋" w:hAnsi="仿宋" w:eastAsia="仿宋" w:cs="仿宋"/>
          <w:bCs/>
          <w:sz w:val="24"/>
        </w:rPr>
      </w:pPr>
      <w:r>
        <w:rPr>
          <w:rFonts w:hint="eastAsia" w:ascii="仿宋" w:hAnsi="仿宋" w:eastAsia="仿宋" w:cs="仿宋"/>
          <w:bCs/>
          <w:sz w:val="24"/>
        </w:rPr>
        <w:t>26.1.13其他法律、法规及本招标文件规定的属无效投标的情形。</w:t>
      </w:r>
    </w:p>
    <w:p w14:paraId="1E951DE2">
      <w:pPr>
        <w:spacing w:line="440" w:lineRule="exact"/>
        <w:ind w:left="479"/>
        <w:outlineLvl w:val="2"/>
        <w:rPr>
          <w:rFonts w:hint="eastAsia" w:ascii="仿宋" w:hAnsi="仿宋" w:eastAsia="仿宋" w:cs="仿宋"/>
          <w:bCs/>
          <w:sz w:val="24"/>
        </w:rPr>
      </w:pPr>
      <w:r>
        <w:rPr>
          <w:rFonts w:hint="eastAsia" w:ascii="仿宋" w:hAnsi="仿宋" w:eastAsia="仿宋" w:cs="仿宋"/>
          <w:bCs/>
          <w:sz w:val="24"/>
        </w:rPr>
        <w:t>26.2废标条款</w:t>
      </w:r>
    </w:p>
    <w:p w14:paraId="59A81BDA">
      <w:pPr>
        <w:spacing w:line="440" w:lineRule="exact"/>
        <w:ind w:left="479"/>
        <w:rPr>
          <w:rFonts w:hint="eastAsia" w:ascii="仿宋" w:hAnsi="仿宋" w:eastAsia="仿宋" w:cs="仿宋"/>
          <w:bCs/>
          <w:sz w:val="24"/>
        </w:rPr>
      </w:pPr>
      <w:r>
        <w:rPr>
          <w:rFonts w:hint="eastAsia" w:ascii="仿宋" w:hAnsi="仿宋" w:eastAsia="仿宋" w:cs="仿宋"/>
          <w:bCs/>
          <w:sz w:val="24"/>
        </w:rPr>
        <w:t>26.2.1符合专业条件的投标人或者对招标文件作实质响应的投标人不足三家的。26.2.2出现影响采购公正的违法、违规行为的。</w:t>
      </w:r>
    </w:p>
    <w:p w14:paraId="21414F3E">
      <w:pPr>
        <w:spacing w:line="440" w:lineRule="exact"/>
        <w:ind w:left="479"/>
        <w:rPr>
          <w:rFonts w:hint="eastAsia" w:ascii="仿宋" w:hAnsi="仿宋" w:eastAsia="仿宋" w:cs="仿宋"/>
          <w:bCs/>
          <w:sz w:val="24"/>
        </w:rPr>
      </w:pPr>
      <w:r>
        <w:rPr>
          <w:rFonts w:hint="eastAsia" w:ascii="仿宋" w:hAnsi="仿宋" w:eastAsia="仿宋" w:cs="仿宋"/>
          <w:bCs/>
          <w:sz w:val="24"/>
        </w:rPr>
        <w:t>26.2.3因重大变故，采购任务取消的。</w:t>
      </w:r>
    </w:p>
    <w:p w14:paraId="6189B737">
      <w:pPr>
        <w:spacing w:line="440" w:lineRule="exact"/>
        <w:ind w:left="479"/>
        <w:rPr>
          <w:rFonts w:hint="eastAsia" w:ascii="仿宋" w:hAnsi="仿宋" w:eastAsia="仿宋" w:cs="仿宋"/>
          <w:bCs/>
          <w:sz w:val="24"/>
        </w:rPr>
      </w:pPr>
      <w:r>
        <w:rPr>
          <w:rFonts w:hint="eastAsia" w:ascii="仿宋" w:hAnsi="仿宋" w:eastAsia="仿宋" w:cs="仿宋"/>
          <w:bCs/>
          <w:sz w:val="24"/>
        </w:rPr>
        <w:t>26.2.4评标委员会认定招标文件存在歧义、重大缺陷导致评审工作无法进行。</w:t>
      </w:r>
    </w:p>
    <w:p w14:paraId="7B46B3EF">
      <w:pPr>
        <w:spacing w:line="440" w:lineRule="exact"/>
        <w:ind w:left="479"/>
        <w:rPr>
          <w:rFonts w:hint="eastAsia" w:ascii="仿宋" w:hAnsi="仿宋" w:eastAsia="仿宋" w:cs="仿宋"/>
          <w:bCs/>
          <w:sz w:val="24"/>
        </w:rPr>
      </w:pPr>
      <w:r>
        <w:rPr>
          <w:rFonts w:hint="eastAsia" w:ascii="仿宋" w:hAnsi="仿宋" w:eastAsia="仿宋" w:cs="仿宋"/>
          <w:bCs/>
          <w:sz w:val="24"/>
        </w:rPr>
        <w:t>26.2.5 因</w:t>
      </w:r>
      <w:r>
        <w:rPr>
          <w:rFonts w:hint="eastAsia" w:ascii="仿宋" w:hAnsi="仿宋" w:eastAsia="仿宋" w:cs="仿宋"/>
          <w:sz w:val="24"/>
          <w:szCs w:val="24"/>
        </w:rPr>
        <w:t>苏采云</w:t>
      </w:r>
      <w:r>
        <w:rPr>
          <w:rFonts w:hint="eastAsia" w:ascii="仿宋" w:hAnsi="仿宋" w:eastAsia="仿宋" w:cs="仿宋"/>
          <w:bCs/>
          <w:sz w:val="24"/>
        </w:rPr>
        <w:t>系统故障原因造成开标不成功的。</w:t>
      </w:r>
    </w:p>
    <w:p w14:paraId="6271DACC">
      <w:pPr>
        <w:spacing w:line="440" w:lineRule="exact"/>
        <w:ind w:left="479"/>
        <w:outlineLvl w:val="2"/>
        <w:rPr>
          <w:rFonts w:hint="eastAsia" w:ascii="仿宋" w:hAnsi="仿宋" w:eastAsia="仿宋" w:cs="仿宋"/>
          <w:bCs/>
          <w:sz w:val="24"/>
        </w:rPr>
      </w:pPr>
      <w:r>
        <w:rPr>
          <w:rFonts w:hint="eastAsia" w:ascii="仿宋" w:hAnsi="仿宋" w:eastAsia="仿宋" w:cs="仿宋"/>
          <w:bCs/>
          <w:sz w:val="24"/>
        </w:rPr>
        <w:t>26.3 投标截止时间结束后参加投标的供应商不足三家的处理：</w:t>
      </w:r>
    </w:p>
    <w:p w14:paraId="44E3B16E">
      <w:pPr>
        <w:spacing w:line="440" w:lineRule="exact"/>
        <w:ind w:firstLine="480"/>
        <w:rPr>
          <w:rFonts w:hint="eastAsia" w:ascii="仿宋" w:hAnsi="仿宋" w:eastAsia="仿宋" w:cs="仿宋"/>
          <w:bCs/>
          <w:sz w:val="24"/>
        </w:rPr>
      </w:pPr>
      <w:r>
        <w:rPr>
          <w:rFonts w:hint="eastAsia" w:ascii="仿宋" w:hAnsi="仿宋" w:eastAsia="仿宋" w:cs="仿宋"/>
          <w:bCs/>
          <w:sz w:val="24"/>
        </w:rPr>
        <w:t>26.3.1如出现投标截止时间结束后参加投标的供应商或者在评标期间对招标文件做出实质响应的供应商不足三家情况，按政府采购相关规定执行。</w:t>
      </w:r>
    </w:p>
    <w:p w14:paraId="6E1AA352">
      <w:pPr>
        <w:keepNext/>
        <w:keepLines/>
        <w:spacing w:before="145" w:after="145" w:line="400" w:lineRule="exact"/>
        <w:ind w:firstLine="421"/>
        <w:outlineLvl w:val="1"/>
        <w:rPr>
          <w:rFonts w:hint="eastAsia" w:ascii="仿宋" w:hAnsi="仿宋" w:eastAsia="仿宋" w:cs="仿宋"/>
          <w:b/>
          <w:bCs/>
          <w:sz w:val="32"/>
          <w:szCs w:val="32"/>
        </w:rPr>
      </w:pPr>
      <w:bookmarkStart w:id="168" w:name="_Toc120614219"/>
      <w:r>
        <w:rPr>
          <w:rFonts w:hint="eastAsia" w:ascii="仿宋" w:hAnsi="仿宋" w:eastAsia="仿宋" w:cs="仿宋"/>
          <w:b/>
          <w:bCs/>
          <w:sz w:val="32"/>
          <w:szCs w:val="32"/>
        </w:rPr>
        <w:t>六、</w:t>
      </w:r>
      <w:bookmarkEnd w:id="165"/>
      <w:bookmarkEnd w:id="166"/>
      <w:bookmarkEnd w:id="167"/>
      <w:r>
        <w:rPr>
          <w:rFonts w:hint="eastAsia" w:ascii="仿宋" w:hAnsi="仿宋" w:eastAsia="仿宋" w:cs="仿宋"/>
          <w:b/>
          <w:bCs/>
          <w:sz w:val="32"/>
          <w:szCs w:val="32"/>
        </w:rPr>
        <w:t>定标</w:t>
      </w:r>
      <w:bookmarkEnd w:id="168"/>
    </w:p>
    <w:p w14:paraId="0EF8833E">
      <w:pPr>
        <w:keepNext/>
        <w:keepLines/>
        <w:spacing w:line="400" w:lineRule="exact"/>
        <w:ind w:firstLine="422"/>
        <w:rPr>
          <w:rFonts w:hint="eastAsia" w:ascii="仿宋" w:hAnsi="仿宋" w:eastAsia="仿宋" w:cs="仿宋"/>
          <w:b/>
          <w:bCs/>
          <w:sz w:val="28"/>
          <w:szCs w:val="28"/>
        </w:rPr>
      </w:pPr>
      <w:bookmarkStart w:id="169" w:name="_Toc513029238"/>
      <w:bookmarkStart w:id="170" w:name="_Toc20823310"/>
      <w:bookmarkStart w:id="171" w:name="_Toc16938554"/>
      <w:r>
        <w:rPr>
          <w:rFonts w:hint="eastAsia" w:ascii="仿宋" w:hAnsi="仿宋" w:eastAsia="仿宋" w:cs="仿宋"/>
          <w:b/>
          <w:bCs/>
          <w:sz w:val="28"/>
          <w:szCs w:val="28"/>
        </w:rPr>
        <w:t>27、</w:t>
      </w:r>
      <w:bookmarkEnd w:id="169"/>
      <w:r>
        <w:rPr>
          <w:rFonts w:hint="eastAsia" w:ascii="仿宋" w:hAnsi="仿宋" w:eastAsia="仿宋" w:cs="仿宋"/>
          <w:b/>
          <w:bCs/>
          <w:sz w:val="28"/>
          <w:szCs w:val="28"/>
        </w:rPr>
        <w:t>确定</w:t>
      </w:r>
      <w:bookmarkEnd w:id="170"/>
      <w:bookmarkEnd w:id="171"/>
      <w:r>
        <w:rPr>
          <w:rFonts w:hint="eastAsia" w:ascii="仿宋" w:hAnsi="仿宋" w:eastAsia="仿宋" w:cs="仿宋"/>
          <w:b/>
          <w:bCs/>
          <w:sz w:val="28"/>
          <w:szCs w:val="28"/>
        </w:rPr>
        <w:t>中标单位</w:t>
      </w:r>
    </w:p>
    <w:p w14:paraId="6ECF9E23">
      <w:pPr>
        <w:spacing w:line="400" w:lineRule="exact"/>
        <w:ind w:firstLine="480"/>
        <w:rPr>
          <w:rFonts w:hint="eastAsia" w:ascii="仿宋" w:hAnsi="仿宋" w:eastAsia="仿宋" w:cs="仿宋"/>
          <w:bCs/>
          <w:sz w:val="24"/>
        </w:rPr>
      </w:pPr>
      <w:r>
        <w:rPr>
          <w:rFonts w:hint="eastAsia" w:ascii="仿宋" w:hAnsi="仿宋" w:eastAsia="仿宋" w:cs="仿宋"/>
          <w:bCs/>
          <w:sz w:val="24"/>
        </w:rPr>
        <w:t>27.1中标候选人的选取原则和数量见招标文件第五章规定。</w:t>
      </w:r>
    </w:p>
    <w:p w14:paraId="2DF2A2E5">
      <w:pPr>
        <w:spacing w:line="440" w:lineRule="exact"/>
        <w:ind w:firstLine="480"/>
        <w:rPr>
          <w:rFonts w:hint="eastAsia" w:ascii="仿宋" w:hAnsi="仿宋" w:eastAsia="仿宋" w:cs="仿宋"/>
          <w:bCs/>
          <w:sz w:val="24"/>
        </w:rPr>
      </w:pPr>
      <w:r>
        <w:rPr>
          <w:rFonts w:hint="eastAsia" w:ascii="仿宋" w:hAnsi="仿宋" w:eastAsia="仿宋" w:cs="仿宋"/>
          <w:bCs/>
          <w:sz w:val="24"/>
        </w:rPr>
        <w:t>27.2 采购人在评标报告确定的中标候选人名单中按顺序确定中标人。采购人应根据评委会推荐的中标候选人确定中标供应商。</w:t>
      </w:r>
    </w:p>
    <w:p w14:paraId="50600089">
      <w:pPr>
        <w:spacing w:line="480" w:lineRule="exact"/>
        <w:ind w:firstLine="480"/>
        <w:rPr>
          <w:rFonts w:hint="eastAsia" w:ascii="仿宋" w:hAnsi="仿宋" w:eastAsia="仿宋" w:cs="仿宋"/>
          <w:sz w:val="24"/>
          <w:szCs w:val="24"/>
        </w:rPr>
      </w:pPr>
      <w:r>
        <w:rPr>
          <w:rFonts w:hint="eastAsia" w:ascii="仿宋" w:hAnsi="仿宋" w:eastAsia="仿宋" w:cs="仿宋"/>
          <w:bCs/>
          <w:sz w:val="24"/>
          <w:szCs w:val="24"/>
        </w:rPr>
        <w:t xml:space="preserve">27.3 </w:t>
      </w:r>
      <w:r>
        <w:rPr>
          <w:rFonts w:hint="eastAsia" w:ascii="仿宋" w:hAnsi="仿宋" w:eastAsia="仿宋" w:cs="仿宋"/>
          <w:sz w:val="24"/>
          <w:szCs w:val="24"/>
        </w:rPr>
        <w:t>代理机构将在“江苏政府采购网”发布中标公告，公告期限为1个工作日。</w:t>
      </w:r>
    </w:p>
    <w:p w14:paraId="0E015D5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27.4若有充分证据证明，中标人出现下列情况之一的，一经查实，将被取消中标资格：</w:t>
      </w:r>
    </w:p>
    <w:p w14:paraId="656696B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27.4.1提供虚假材料谋取中标的。</w:t>
      </w:r>
    </w:p>
    <w:p w14:paraId="2BB0C89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27.4.2向采购人、代理机构行贿或者提供其他不正当利益的。</w:t>
      </w:r>
    </w:p>
    <w:p w14:paraId="380C281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27.4.3 属于本文件规定的无效条件，但在评标过程中又未被评委会发现的。</w:t>
      </w:r>
    </w:p>
    <w:p w14:paraId="456ACF0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27.4.4与采购人或者其他供应商恶意串通的。</w:t>
      </w:r>
    </w:p>
    <w:p w14:paraId="2D94FCC3">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27.4.5采取不正当手段诋毁、排挤其他供应商的。</w:t>
      </w:r>
    </w:p>
    <w:p w14:paraId="47B187AD">
      <w:pPr>
        <w:spacing w:line="480" w:lineRule="exact"/>
        <w:ind w:firstLine="480"/>
        <w:rPr>
          <w:rFonts w:hint="eastAsia" w:ascii="仿宋" w:hAnsi="仿宋" w:eastAsia="仿宋" w:cs="仿宋"/>
          <w:sz w:val="24"/>
          <w:szCs w:val="24"/>
        </w:rPr>
      </w:pPr>
      <w:bookmarkStart w:id="172" w:name="_Toc200451960"/>
      <w:r>
        <w:rPr>
          <w:rFonts w:hint="eastAsia" w:ascii="仿宋" w:hAnsi="仿宋" w:eastAsia="仿宋" w:cs="仿宋"/>
          <w:sz w:val="24"/>
          <w:szCs w:val="24"/>
        </w:rPr>
        <w:t>27.5 有下列情形之一的，视为投标人串通投标，投标无效：</w:t>
      </w:r>
    </w:p>
    <w:p w14:paraId="00AED29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27.5.1不同投标人的投标文件由同一单位或者个人编制。</w:t>
      </w:r>
    </w:p>
    <w:p w14:paraId="4DD19D0F">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27.5.2不同投标人委托同一单位或者个人办理投标事宜。</w:t>
      </w:r>
    </w:p>
    <w:p w14:paraId="7D8316BF">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27.5.3 不同投标人的投标文件载明的项目管理成员或者联系人员为同一人。</w:t>
      </w:r>
    </w:p>
    <w:p w14:paraId="290CA1F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27.5.4不同投标人的投标文件异常一致或者投标报价呈规律性差异。</w:t>
      </w:r>
    </w:p>
    <w:p w14:paraId="64AD3419">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28、质疑处理</w:t>
      </w:r>
      <w:bookmarkEnd w:id="172"/>
    </w:p>
    <w:p w14:paraId="63B4A0F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28.1提出质疑的供应商应当是参与所质疑项目采购活动的供应商。潜在供应商依法获取其可质疑的采购文件的，可以对采购文件提出质疑。</w:t>
      </w:r>
    </w:p>
    <w:p w14:paraId="238FDD3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28.2供应商认为采购文件、采购过程和采购结果使自己的权益受到损害的，可以在知道或应知其权益受到损害之日起七个工作日内，以书面形式根据下述28.4条款的规定向采购人或代理机构提出质疑。上述应知其权益受到损害之日，是指：</w:t>
      </w:r>
    </w:p>
    <w:p w14:paraId="6125D39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28.2.1对可以质疑的采购文件提出质疑的，为收到采购文件之日或者采购文件公告期限届满之日；</w:t>
      </w:r>
    </w:p>
    <w:p w14:paraId="0332BDBF">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28.2.2对采购过程提出质疑的，为各采购程序环节结束之日；</w:t>
      </w:r>
    </w:p>
    <w:p w14:paraId="4CA5E7D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28.2.3对中标或者成交结果提出质疑的，为中标或者成交结果公告期限届满之日。</w:t>
      </w:r>
    </w:p>
    <w:p w14:paraId="13BCA17E">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供应商应当在法定质疑期内一次性提出针对同一采购程序环节的质疑。供应商如在法定期限内对同一采购程序环节提出多次质疑的，采购人、代理机构将只对供应商第一次质疑作出答复。</w:t>
      </w:r>
    </w:p>
    <w:p w14:paraId="468C1C9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28.3质疑函必须按照本招标文件中《质疑函范本》（附件15）要求的格式和内容进行填写。供应商如组成联合体参加投标，则《质疑函范本》中要求签字、盖章、加盖公章之处，联合体各方均须按要求签字、盖章、加盖公章。</w:t>
      </w:r>
    </w:p>
    <w:p w14:paraId="0831A11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28.4投标人（含潜在投标人）对采购方式、招标文件中采购需求、供应商资格条件、评标方法和评标标准、合同文本及资格审查结果的询问、质疑请向采购人提出，由采购人负责答复。投标人对除上述事项以外其他事项的询问、质疑请向代理机构提出，由代理机构负责答复。</w:t>
      </w:r>
    </w:p>
    <w:p w14:paraId="72FD360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采购人及代理机构只接收以纸质原件形式送达的质疑,建议投标人尽量通过邮寄方式提交质疑（采购人和代理机构不接受无快递运单号的快递）。</w:t>
      </w:r>
    </w:p>
    <w:p w14:paraId="770ED2D4">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采购人质疑接收人及联系方式，见本招标文件第一章。</w:t>
      </w:r>
    </w:p>
    <w:p w14:paraId="0EBB0E06">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代理机构质疑受理联系方式，见本招标文件第一章。</w:t>
      </w:r>
    </w:p>
    <w:p w14:paraId="3915AB2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 以下情形的质疑不予受理</w:t>
      </w:r>
    </w:p>
    <w:p w14:paraId="0F54197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28.5.1 内容不符合《政府采购质疑和投诉办法》第十二条规定的质疑。</w:t>
      </w:r>
    </w:p>
    <w:p w14:paraId="2861AE5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28.5.2 超出政府采购法定期限的质疑。</w:t>
      </w:r>
    </w:p>
    <w:p w14:paraId="466A1DB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28.5.3 以传真、电子邮件等方式递交的非原件形式的质疑。</w:t>
      </w:r>
    </w:p>
    <w:p w14:paraId="7002D4B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28.5.4未参加投标活动的供应商或在投标活动中自身权益未受到损害的供应商所提出的质疑。</w:t>
      </w:r>
    </w:p>
    <w:p w14:paraId="37A7452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28.5.5供应商组成联合体参加投标，联合体中任何一方或多方未按要求签字、盖章、加盖公章的质疑。</w:t>
      </w:r>
    </w:p>
    <w:p w14:paraId="2714A689">
      <w:pPr>
        <w:spacing w:line="480" w:lineRule="exact"/>
        <w:ind w:firstLine="468"/>
        <w:rPr>
          <w:rFonts w:hint="eastAsia" w:ascii="仿宋" w:hAnsi="仿宋" w:eastAsia="仿宋" w:cs="仿宋"/>
          <w:sz w:val="28"/>
          <w:szCs w:val="28"/>
        </w:rPr>
      </w:pPr>
      <w:r>
        <w:rPr>
          <w:rFonts w:hint="eastAsia" w:ascii="仿宋" w:hAnsi="仿宋" w:eastAsia="仿宋" w:cs="仿宋"/>
          <w:sz w:val="24"/>
          <w:szCs w:val="24"/>
        </w:rPr>
        <w:t>28.6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E45A68A">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29、中标通知书</w:t>
      </w:r>
    </w:p>
    <w:p w14:paraId="3112F4FE">
      <w:pPr>
        <w:spacing w:line="480" w:lineRule="exact"/>
        <w:ind w:firstLine="600"/>
        <w:rPr>
          <w:rFonts w:hint="eastAsia" w:ascii="仿宋" w:hAnsi="仿宋" w:eastAsia="仿宋" w:cs="仿宋"/>
          <w:sz w:val="24"/>
          <w:szCs w:val="24"/>
        </w:rPr>
      </w:pPr>
      <w:r>
        <w:rPr>
          <w:rFonts w:hint="eastAsia" w:ascii="仿宋" w:hAnsi="仿宋" w:eastAsia="仿宋" w:cs="仿宋"/>
          <w:sz w:val="24"/>
          <w:szCs w:val="24"/>
        </w:rPr>
        <w:t>29.l中标结果确定后，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3F4D8D97">
      <w:pPr>
        <w:pStyle w:val="32"/>
        <w:spacing w:before="0" w:beforeAutospacing="0" w:after="0" w:afterAutospacing="0" w:line="480" w:lineRule="exact"/>
        <w:ind w:firstLine="480"/>
        <w:rPr>
          <w:rFonts w:hint="eastAsia" w:ascii="仿宋" w:hAnsi="仿宋" w:eastAsia="仿宋" w:cs="仿宋"/>
        </w:rPr>
      </w:pPr>
      <w:r>
        <w:rPr>
          <w:rFonts w:hint="eastAsia" w:ascii="仿宋" w:hAnsi="仿宋" w:eastAsia="仿宋" w:cs="仿宋"/>
        </w:rPr>
        <w:t>29.2中标通知书将是合同的一个组成部分。对采购人和中标人均具有法律效力。中标通知书发出后，采购人改变中标结果的，或者中标人放弃中标项目的，应当依法承担法律责任。</w:t>
      </w:r>
    </w:p>
    <w:p w14:paraId="1D3DA11D">
      <w:pPr>
        <w:keepNext/>
        <w:keepLines/>
        <w:spacing w:before="145" w:after="145" w:line="400" w:lineRule="exact"/>
        <w:ind w:firstLine="421"/>
        <w:outlineLvl w:val="1"/>
        <w:rPr>
          <w:rFonts w:hint="eastAsia" w:ascii="仿宋" w:hAnsi="仿宋" w:eastAsia="仿宋" w:cs="仿宋"/>
          <w:b/>
          <w:bCs/>
          <w:sz w:val="32"/>
          <w:szCs w:val="32"/>
        </w:rPr>
      </w:pPr>
      <w:bookmarkStart w:id="173" w:name="_Toc20823308"/>
      <w:bookmarkStart w:id="174" w:name="_Toc120614220"/>
      <w:bookmarkStart w:id="175" w:name="_Toc513029236"/>
      <w:bookmarkStart w:id="176" w:name="_Toc16938552"/>
      <w:r>
        <w:rPr>
          <w:rFonts w:hint="eastAsia" w:ascii="仿宋" w:hAnsi="仿宋" w:eastAsia="仿宋" w:cs="仿宋"/>
          <w:b/>
          <w:bCs/>
          <w:sz w:val="32"/>
          <w:szCs w:val="32"/>
        </w:rPr>
        <w:t>七、授予合同</w:t>
      </w:r>
      <w:bookmarkEnd w:id="173"/>
      <w:bookmarkEnd w:id="174"/>
      <w:bookmarkEnd w:id="175"/>
      <w:bookmarkEnd w:id="176"/>
    </w:p>
    <w:p w14:paraId="605AA568">
      <w:pPr>
        <w:keepNext/>
        <w:keepLines/>
        <w:spacing w:line="400" w:lineRule="exact"/>
        <w:ind w:firstLine="422"/>
        <w:rPr>
          <w:rFonts w:hint="eastAsia" w:ascii="仿宋" w:hAnsi="仿宋" w:eastAsia="仿宋" w:cs="仿宋"/>
          <w:b/>
          <w:bCs/>
          <w:sz w:val="28"/>
          <w:szCs w:val="28"/>
        </w:rPr>
      </w:pPr>
      <w:bookmarkStart w:id="177" w:name="_Toc20823309"/>
      <w:bookmarkStart w:id="178" w:name="_Toc16938553"/>
      <w:bookmarkStart w:id="179" w:name="_Toc513029237"/>
      <w:r>
        <w:rPr>
          <w:rFonts w:hint="eastAsia" w:ascii="仿宋" w:hAnsi="仿宋" w:eastAsia="仿宋" w:cs="仿宋"/>
          <w:b/>
          <w:bCs/>
          <w:sz w:val="28"/>
          <w:szCs w:val="28"/>
        </w:rPr>
        <w:t>30、 签订合同</w:t>
      </w:r>
    </w:p>
    <w:p w14:paraId="108878C0">
      <w:pPr>
        <w:spacing w:line="480" w:lineRule="exact"/>
        <w:ind w:firstLine="600"/>
        <w:rPr>
          <w:rFonts w:hint="eastAsia" w:ascii="仿宋" w:hAnsi="仿宋" w:eastAsia="仿宋" w:cs="仿宋"/>
          <w:sz w:val="24"/>
          <w:szCs w:val="24"/>
        </w:rPr>
      </w:pPr>
      <w:r>
        <w:rPr>
          <w:rFonts w:hint="eastAsia" w:ascii="仿宋" w:hAnsi="仿宋" w:eastAsia="仿宋" w:cs="仿宋"/>
          <w:bCs/>
          <w:sz w:val="24"/>
          <w:szCs w:val="24"/>
        </w:rPr>
        <w:t>30</w:t>
      </w:r>
      <w:r>
        <w:rPr>
          <w:rFonts w:hint="eastAsia" w:ascii="仿宋" w:hAnsi="仿宋" w:eastAsia="仿宋" w:cs="仿宋"/>
          <w:sz w:val="24"/>
          <w:szCs w:val="24"/>
        </w:rPr>
        <w:t>.l中标人应当在中标通知书发出之日起三十日内，按照招标文件确定的事项与采购人签订政府采购合同。</w:t>
      </w:r>
      <w:r>
        <w:rPr>
          <w:rFonts w:hint="eastAsia" w:ascii="仿宋" w:hAnsi="仿宋" w:eastAsia="仿宋" w:cs="仿宋"/>
          <w:b/>
          <w:bCs/>
          <w:sz w:val="24"/>
          <w:szCs w:val="24"/>
        </w:rPr>
        <w:t>中标</w:t>
      </w:r>
      <w:r>
        <w:rPr>
          <w:rFonts w:hint="eastAsia" w:ascii="仿宋" w:hAnsi="仿宋" w:eastAsia="仿宋" w:cs="仿宋"/>
          <w:b/>
          <w:bCs/>
          <w:sz w:val="24"/>
          <w:szCs w:val="24"/>
          <w:lang w:val="zh-CN"/>
        </w:rPr>
        <w:t>人应在中标结果公告之日起五个工作日内向</w:t>
      </w:r>
      <w:r>
        <w:rPr>
          <w:rFonts w:hint="eastAsia" w:ascii="仿宋" w:hAnsi="仿宋" w:eastAsia="仿宋" w:cs="仿宋"/>
          <w:b/>
          <w:bCs/>
          <w:sz w:val="24"/>
          <w:szCs w:val="24"/>
        </w:rPr>
        <w:t>代理机构提供三份纸质版投标文件</w:t>
      </w:r>
      <w:r>
        <w:rPr>
          <w:rFonts w:hint="eastAsia" w:ascii="仿宋" w:hAnsi="仿宋" w:eastAsia="仿宋" w:cs="仿宋"/>
          <w:b/>
          <w:bCs/>
          <w:sz w:val="24"/>
          <w:szCs w:val="24"/>
          <w:lang w:val="zh-CN"/>
        </w:rPr>
        <w:t>（须与上传电子档内容一致）</w:t>
      </w:r>
      <w:r>
        <w:rPr>
          <w:rFonts w:hint="eastAsia" w:ascii="仿宋" w:hAnsi="仿宋" w:eastAsia="仿宋" w:cs="仿宋"/>
          <w:b/>
          <w:bCs/>
          <w:sz w:val="24"/>
          <w:szCs w:val="24"/>
        </w:rPr>
        <w:t>，否则不予签订合同。</w:t>
      </w:r>
    </w:p>
    <w:p w14:paraId="5E8D1BCA">
      <w:pPr>
        <w:spacing w:line="480" w:lineRule="exact"/>
        <w:ind w:firstLine="600"/>
        <w:rPr>
          <w:rFonts w:hint="eastAsia" w:ascii="仿宋" w:hAnsi="仿宋" w:eastAsia="仿宋" w:cs="仿宋"/>
          <w:sz w:val="24"/>
          <w:szCs w:val="24"/>
        </w:rPr>
      </w:pPr>
      <w:r>
        <w:rPr>
          <w:rFonts w:hint="eastAsia" w:ascii="仿宋" w:hAnsi="仿宋" w:eastAsia="仿宋" w:cs="仿宋"/>
          <w:sz w:val="24"/>
          <w:szCs w:val="24"/>
        </w:rPr>
        <w:t>30.2招标文件、中标人的投标文件及招标过程中有关澄清、承诺文件均应作为合同附件。</w:t>
      </w:r>
    </w:p>
    <w:p w14:paraId="666FFD81">
      <w:pPr>
        <w:spacing w:line="480" w:lineRule="exact"/>
        <w:ind w:firstLine="600"/>
        <w:rPr>
          <w:rFonts w:hint="eastAsia" w:ascii="仿宋" w:hAnsi="仿宋" w:eastAsia="仿宋" w:cs="仿宋"/>
          <w:sz w:val="24"/>
          <w:szCs w:val="24"/>
        </w:rPr>
      </w:pPr>
      <w:r>
        <w:rPr>
          <w:rFonts w:hint="eastAsia" w:ascii="仿宋" w:hAnsi="仿宋" w:eastAsia="仿宋" w:cs="仿宋"/>
          <w:sz w:val="24"/>
          <w:szCs w:val="24"/>
        </w:rPr>
        <w:t>30.3签订合同后，中标人不得将合同标的进行转包。未经采购人同意，中标人也不得采用分包的形式履行合同，否则采购人有权终止合同。转包造成采购人损失的，中标人应承担相应赔偿责任。</w:t>
      </w:r>
    </w:p>
    <w:p w14:paraId="715D37FE">
      <w:pPr>
        <w:keepNext/>
        <w:keepLines/>
        <w:spacing w:line="400" w:lineRule="exact"/>
        <w:ind w:firstLine="422"/>
        <w:rPr>
          <w:rFonts w:hint="eastAsia" w:ascii="仿宋" w:hAnsi="仿宋" w:eastAsia="仿宋" w:cs="仿宋"/>
          <w:b/>
          <w:bCs/>
          <w:sz w:val="28"/>
          <w:szCs w:val="28"/>
        </w:rPr>
      </w:pPr>
      <w:r>
        <w:rPr>
          <w:rFonts w:hint="eastAsia" w:ascii="仿宋" w:hAnsi="仿宋" w:eastAsia="仿宋" w:cs="仿宋"/>
          <w:b/>
          <w:bCs/>
          <w:sz w:val="28"/>
          <w:szCs w:val="28"/>
        </w:rPr>
        <w:t>31、服务（包含与服务相关的货物）的追加、减少</w:t>
      </w:r>
    </w:p>
    <w:p w14:paraId="203A0E53">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6E445426">
      <w:pPr>
        <w:spacing w:line="500" w:lineRule="exact"/>
        <w:ind w:firstLine="480"/>
        <w:rPr>
          <w:rFonts w:hint="eastAsia" w:ascii="仿宋" w:hAnsi="仿宋" w:eastAsia="仿宋" w:cs="仿宋"/>
        </w:rPr>
      </w:pPr>
      <w:r>
        <w:rPr>
          <w:rFonts w:hint="eastAsia" w:ascii="仿宋" w:hAnsi="仿宋" w:eastAsia="仿宋" w:cs="仿宋"/>
          <w:sz w:val="24"/>
          <w:szCs w:val="24"/>
        </w:rPr>
        <w:t>31.2采购结束后，采购人若由于各种客观原因，必须对采购项目所牵涉的服务进行适当的减少时，在双方协商一致的前提下，可以按照招标采购时的价格水平做相应的调减，并据此签订补充合同。</w:t>
      </w:r>
      <w:bookmarkEnd w:id="177"/>
      <w:bookmarkEnd w:id="178"/>
      <w:bookmarkEnd w:id="179"/>
    </w:p>
    <w:p w14:paraId="4E5D3961">
      <w:pPr>
        <w:keepNext/>
        <w:keepLines/>
        <w:spacing w:line="400" w:lineRule="exact"/>
        <w:ind w:firstLine="422"/>
        <w:rPr>
          <w:rFonts w:hint="eastAsia" w:ascii="仿宋" w:hAnsi="仿宋" w:eastAsia="仿宋" w:cs="仿宋"/>
          <w:b/>
          <w:bCs/>
          <w:sz w:val="28"/>
          <w:szCs w:val="28"/>
        </w:rPr>
      </w:pPr>
      <w:bookmarkStart w:id="180" w:name="_Toc20823314"/>
      <w:bookmarkStart w:id="181" w:name="_Toc120614221"/>
      <w:bookmarkStart w:id="182" w:name="_Toc513029242"/>
      <w:bookmarkStart w:id="183" w:name="_Toc479757207"/>
      <w:bookmarkStart w:id="184" w:name="_Toc16938558"/>
      <w:r>
        <w:rPr>
          <w:rFonts w:hint="eastAsia" w:ascii="仿宋" w:hAnsi="仿宋" w:eastAsia="仿宋" w:cs="仿宋"/>
          <w:b/>
          <w:bCs/>
          <w:sz w:val="28"/>
          <w:szCs w:val="28"/>
        </w:rPr>
        <w:t>32、政府采购履约资金扶持政策</w:t>
      </w:r>
    </w:p>
    <w:p w14:paraId="696F1694">
      <w:pPr>
        <w:spacing w:line="480" w:lineRule="exact"/>
        <w:rPr>
          <w:rFonts w:hint="eastAsia" w:ascii="仿宋" w:hAnsi="仿宋" w:eastAsia="仿宋" w:cs="仿宋"/>
          <w:sz w:val="24"/>
          <w:szCs w:val="24"/>
        </w:rPr>
      </w:pPr>
      <w:r>
        <w:rPr>
          <w:rFonts w:hint="eastAsia" w:ascii="仿宋" w:hAnsi="仿宋" w:eastAsia="仿宋" w:cs="仿宋"/>
          <w:sz w:val="24"/>
          <w:szCs w:val="24"/>
        </w:rPr>
        <w:t xml:space="preserve">  32.1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省政府采购网-政采贷专栏。</w:t>
      </w:r>
    </w:p>
    <w:p w14:paraId="65C20B8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 xml:space="preserve">  32.2本项目履约保证金</w:t>
      </w:r>
      <w:r>
        <w:rPr>
          <w:rFonts w:hint="eastAsia" w:ascii="仿宋" w:hAnsi="仿宋" w:eastAsia="仿宋" w:cs="仿宋"/>
          <w:sz w:val="24"/>
          <w:szCs w:val="24"/>
          <w:u w:val="single"/>
        </w:rPr>
        <w:t>伍拾万元</w:t>
      </w:r>
      <w:r>
        <w:rPr>
          <w:rFonts w:hint="eastAsia" w:ascii="仿宋" w:hAnsi="仿宋" w:eastAsia="仿宋" w:cs="仿宋"/>
          <w:sz w:val="24"/>
          <w:szCs w:val="24"/>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6040F2C3">
      <w:pPr>
        <w:pStyle w:val="2"/>
      </w:pPr>
    </w:p>
    <w:p w14:paraId="36AE0FF0"/>
    <w:p w14:paraId="4EA62FA5">
      <w:pPr>
        <w:pStyle w:val="2"/>
      </w:pPr>
    </w:p>
    <w:p w14:paraId="587EB564"/>
    <w:p w14:paraId="10019F1D">
      <w:pPr>
        <w:pStyle w:val="2"/>
      </w:pPr>
    </w:p>
    <w:bookmarkEnd w:id="180"/>
    <w:bookmarkEnd w:id="181"/>
    <w:bookmarkEnd w:id="182"/>
    <w:bookmarkEnd w:id="183"/>
    <w:bookmarkEnd w:id="184"/>
    <w:p w14:paraId="2941D096">
      <w:pPr>
        <w:rPr>
          <w:rFonts w:hint="eastAsia" w:ascii="仿宋" w:hAnsi="仿宋" w:eastAsia="仿宋" w:cs="仿宋"/>
          <w:b/>
          <w:sz w:val="44"/>
        </w:rPr>
      </w:pPr>
      <w:bookmarkStart w:id="185" w:name="_Toc120614244"/>
      <w:bookmarkStart w:id="186" w:name="_Toc186493269"/>
      <w:bookmarkStart w:id="187" w:name="_Toc20823346"/>
      <w:bookmarkStart w:id="188" w:name="_Toc16938590"/>
      <w:bookmarkStart w:id="189" w:name="_Toc479757211"/>
      <w:bookmarkStart w:id="190" w:name="_Toc462564139"/>
      <w:r>
        <w:rPr>
          <w:rFonts w:hint="eastAsia" w:ascii="仿宋" w:hAnsi="仿宋" w:eastAsia="仿宋" w:cs="仿宋"/>
          <w:b/>
          <w:sz w:val="44"/>
        </w:rPr>
        <w:br w:type="page"/>
      </w:r>
    </w:p>
    <w:p w14:paraId="5CEBD50B">
      <w:pPr>
        <w:jc w:val="center"/>
        <w:rPr>
          <w:rFonts w:hint="eastAsia" w:ascii="仿宋" w:hAnsi="仿宋" w:eastAsia="仿宋" w:cs="仿宋"/>
          <w:b/>
          <w:sz w:val="44"/>
        </w:rPr>
      </w:pPr>
      <w:r>
        <w:rPr>
          <w:rFonts w:hint="eastAsia" w:ascii="仿宋" w:hAnsi="仿宋" w:eastAsia="仿宋" w:cs="仿宋"/>
          <w:b/>
          <w:sz w:val="44"/>
        </w:rPr>
        <w:t>第三章 合同文本</w:t>
      </w:r>
    </w:p>
    <w:p w14:paraId="5E58FCEF">
      <w:pPr>
        <w:rPr>
          <w:rFonts w:hint="eastAsia" w:ascii="宋体" w:hAnsi="宋体" w:cs="宋体"/>
        </w:rPr>
      </w:pPr>
      <w:bookmarkStart w:id="191" w:name="_Hlt16619350"/>
    </w:p>
    <w:p w14:paraId="16EC32EB">
      <w:pPr>
        <w:pStyle w:val="78"/>
        <w:ind w:firstLine="0"/>
        <w:rPr>
          <w:rFonts w:hint="eastAsia" w:ascii="宋体" w:hAnsi="宋体" w:cs="宋体"/>
          <w:sz w:val="24"/>
        </w:rPr>
      </w:pPr>
    </w:p>
    <w:bookmarkEnd w:id="191"/>
    <w:p w14:paraId="7E6A2FE4">
      <w:pPr>
        <w:spacing w:line="560" w:lineRule="exact"/>
        <w:jc w:val="center"/>
        <w:rPr>
          <w:rFonts w:hint="eastAsia" w:ascii="仿宋" w:hAnsi="仿宋" w:eastAsia="仿宋" w:cs="仿宋"/>
          <w:b/>
          <w:bCs/>
          <w:sz w:val="30"/>
          <w:szCs w:val="30"/>
        </w:rPr>
      </w:pPr>
      <w:r>
        <w:rPr>
          <w:rFonts w:hint="eastAsia" w:ascii="仿宋" w:hAnsi="仿宋" w:eastAsia="仿宋" w:cs="仿宋"/>
          <w:b/>
          <w:bCs/>
          <w:sz w:val="30"/>
          <w:szCs w:val="30"/>
        </w:rPr>
        <w:t>如东县大豫镇环境卫生长效管护项目承包合同</w:t>
      </w:r>
    </w:p>
    <w:p w14:paraId="4ABC4BD1">
      <w:pPr>
        <w:spacing w:line="560" w:lineRule="exact"/>
        <w:ind w:firstLine="480" w:firstLineChars="200"/>
        <w:rPr>
          <w:rFonts w:hint="eastAsia" w:ascii="仿宋" w:hAnsi="仿宋" w:eastAsia="仿宋" w:cs="仿宋"/>
          <w:sz w:val="24"/>
          <w:szCs w:val="24"/>
        </w:rPr>
      </w:pPr>
    </w:p>
    <w:p w14:paraId="34B572D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甲方：如东县大豫镇人民政府</w:t>
      </w:r>
    </w:p>
    <w:p w14:paraId="300424E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w:t>
      </w:r>
    </w:p>
    <w:p w14:paraId="2A08C0F5">
      <w:pPr>
        <w:spacing w:line="5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为推进社会主义新农村建设，创造和谐社会环境，围绕农村环境卫生长效管护工作要求，结合我镇实际，甲乙双方本着诚实信用、平等互利的原则，自愿达成保洁承包协议如下：</w:t>
      </w:r>
    </w:p>
    <w:p w14:paraId="2CDF475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一、承包项目</w:t>
      </w:r>
    </w:p>
    <w:p w14:paraId="0CC0309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（一）项目名称：如东县大豫镇环境卫生长效管护项目</w:t>
      </w:r>
    </w:p>
    <w:p w14:paraId="4413F65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（二）项目范围及内容：</w:t>
      </w:r>
    </w:p>
    <w:p w14:paraId="4CDEC61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范围：大豫镇全区域整体环境卫生长效管护项目外包服务，具体包括：（1）18个行政村（含镇属用地范围）；（2）三个镇区（含公厕保洁）及新老S334、S222、S221、G328、X203、X111、X257、大白线等沿线环卫。兵房镇区：保洁全覆盖，约6平方公里，人口4900人，公厕12座;（如泰运河以北四贯河以西：东西三至四贯，向北至兵北八横河；如泰运河以北四贯河以东：东西四贯河向东400米，向北至兵北八横河河北东西路；如泰运河以南四贯河以西：东西三至四贯，向南至兵中桥；如泰运河以南四贯河以东：东西四贯河向东600米，向南至兵中桥。）老大豫镇区：以张謇铜像为中心，北至茂青桥，南至立交桥，东至幼儿园（小学门口），西至3贯路。人口1200人，公厕1座;丁家店镇区：以丁家店桥为中心，向南500米，向北800米，东至5贯路，西至幼儿园。人口1200人，公厕2座。（3）东凌工业集中区、兵房工业园区、张謇工业园区。（4）根据上级部署要求的其它区域。</w:t>
      </w:r>
    </w:p>
    <w:p w14:paraId="19615F2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内容：（1）垃圾〔包括但不限于生活垃圾、农业生产垃圾（秸秆除外）、大件垃圾（含旧马桶、废弃家具等）、一般工业垃圾等。“下同”〕的清扫、捡拾、分类、收集、清运等收运处置以及垃圾设施的管护，同时配合村（社区）做好建筑垃圾和修缮装修垃圾的收运处置；（2）道路、桥梁保洁；（3）三、四级河道长效保洁管护（含芦苇和芦竹清理）；（4）道路两侧及镇区绿化的保洁；（5）三个镇区所有公共厕所保洁；（6）环境卫生管理中心、易腐垃圾处理中心及村级中转站的运营、维护和保洁；（7）全力做好各类突发公共事件、突击检查创建、重大活动、重大节日等垃圾量高峰期间的环卫保障，服从相关具体工作安排。（详见《大豫镇环境卫生长效管护项目考核细则》，以下简称《考核细则》）</w:t>
      </w:r>
    </w:p>
    <w:p w14:paraId="478D3BD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（三）服务标准和管理要求：</w:t>
      </w:r>
    </w:p>
    <w:p w14:paraId="103E19B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详见县农村人居环境长效管护考核要求、县“河长制”实施方案、县“路长制”实施办法、全县水环境整治工作要求和《大豫镇环境卫生长效管护项目考核细则》等规定。</w:t>
      </w:r>
    </w:p>
    <w:p w14:paraId="396DADE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二、合同期限：</w:t>
      </w:r>
    </w:p>
    <w:p w14:paraId="3FB4DBF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服务期限：三年【2026年 月 日-2029年 月 日】</w:t>
      </w:r>
    </w:p>
    <w:p w14:paraId="18669DC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三、合同价款及支付方式</w:t>
      </w:r>
      <w:r>
        <w:rPr>
          <w:rFonts w:hint="eastAsia" w:ascii="仿宋" w:hAnsi="仿宋" w:eastAsia="仿宋" w:cs="仿宋"/>
          <w:sz w:val="24"/>
          <w:szCs w:val="24"/>
        </w:rPr>
        <w:tab/>
      </w:r>
    </w:p>
    <w:p w14:paraId="33BF53A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（一）合同价款：</w:t>
      </w:r>
    </w:p>
    <w:p w14:paraId="4DF8F347">
      <w:pPr>
        <w:spacing w:line="560" w:lineRule="exact"/>
        <w:ind w:left="210" w:leftChars="100" w:firstLine="240" w:firstLineChars="100"/>
        <w:rPr>
          <w:rFonts w:hint="eastAsia" w:ascii="仿宋" w:hAnsi="仿宋" w:eastAsia="仿宋" w:cs="仿宋"/>
          <w:sz w:val="24"/>
          <w:szCs w:val="24"/>
        </w:rPr>
      </w:pPr>
      <w:r>
        <w:rPr>
          <w:rFonts w:hint="eastAsia" w:ascii="仿宋" w:hAnsi="仿宋" w:eastAsia="仿宋" w:cs="仿宋"/>
          <w:sz w:val="24"/>
          <w:szCs w:val="24"/>
        </w:rPr>
        <w:t>合同价款人民币     元/年（大写：                   /年，含税价），最终服务费按考核实绩结算，并经审计后确定。</w:t>
      </w:r>
    </w:p>
    <w:p w14:paraId="6299BAD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（二）支付方式：</w:t>
      </w:r>
    </w:p>
    <w:p w14:paraId="3EA0BD7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按照月度进行考核计算并按季度支付给乙方，每季度结束后次月付款（其中生活垃圾收运服务费用由各村支付其50%，镇按照实际中标价格，测算分割到各村，村级费用由各村年底一次性支付给乙方）。乙方与甲方结算时，乙方均需足额向甲方出具合法票据及该季度乙方向其职员发放工资的发放银行流水账单作为付款的前提。价款除本合同约定和依照《考核细则》扣款外，任何一方不得擅自改变。</w:t>
      </w:r>
    </w:p>
    <w:p w14:paraId="37915A6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（三）考核奖惩方式：</w:t>
      </w:r>
    </w:p>
    <w:p w14:paraId="5E45983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1.绩效考核结果与合同价款相挂钩，按甲方对乙方月度绩效考核来确定，实行百分制，其中甲方考核结果占50%，各村（社区）运行管理考核结果占40%，其他减分项结果占10%。具体操作如下：</w:t>
      </w:r>
    </w:p>
    <w:p w14:paraId="2EECCF9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（1）在甲方月度绩效考核中得分为90分（含90分）至100分的，按当月基本价款的100%结算；</w:t>
      </w:r>
    </w:p>
    <w:p w14:paraId="4DE5BA3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（2）在甲方月度绩效考核中得分为85分（含85分）至90分的，按当月基本价款的95%结算；</w:t>
      </w:r>
    </w:p>
    <w:p w14:paraId="012687D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（3）在甲方月度绩效考核中得分为80分（含80分）至85分的，按当月基本价款的90%结算；</w:t>
      </w:r>
    </w:p>
    <w:p w14:paraId="3E35CFC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（4）在甲方月度绩效考核中实际得分为80分以下的，每减少n分按当月基本价款（90%-2%*n）结算。注：n=80-实际得分</w:t>
      </w:r>
    </w:p>
    <w:p w14:paraId="317086C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2.设村（社区）月度专项考核扣款。根据各村（社区）月度运行管理考核得分，实行分档扣款：考核得分低于90分（含 80分至89.9分），每村扣减资金3000 元；考核得分低于80分（含60分至79.9分），每村扣减资金5000元；考核得分低于60分，每村扣减资金8000元。上述考核扣款经汇总核定后，统一计入当月基本价款予以结算。</w:t>
      </w:r>
    </w:p>
    <w:p w14:paraId="44EFF0F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环境卫生管理中心单独考核，考核结果与合同款相挂钩，镇五位一体办按环境卫生管理中心月度绩效考核评分组织月度考评，得分在90分（不含90分）以下的，具体得分在80-90（含80分），每减少0.1分，在月度合同款结算价的基础上减少0.2%的基础价款；得分在80分（不含80分）以下的，每减少0.1分，在月度合同款结算价的基础上减少0.5%的基础价款。</w:t>
      </w:r>
    </w:p>
    <w:p w14:paraId="43FBF7B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3.结果运用：</w:t>
      </w:r>
    </w:p>
    <w:p w14:paraId="345A117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月度结算支付款=每月甲方绩效考核结果-日常巡查考核扣款（含后装式压缩车清运频次专项考核）-管理运行考核扣款（含人员配备、不适岗专项考核）-来信来访考核扣款-村（社区）月度专项考核扣款-环境卫生管理中心运行考核扣款。</w:t>
      </w:r>
    </w:p>
    <w:p w14:paraId="7E5D366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四、履约保证金</w:t>
      </w:r>
    </w:p>
    <w:p w14:paraId="58FE143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为保证本合同的有效履行，乙方需一次性缴纳50万元的履约保证金。本合同期满或提前终止后，乙方在完全履行合同义务且未发生本合同第八条约定的甲方有权扣除履约保证金之情形的，甲方在乙方办理完毕全部交接手续后30日内，将履约保证金（不计利息）全额返还给乙方。 </w:t>
      </w:r>
    </w:p>
    <w:p w14:paraId="265B792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五、无产权瑕疵条款</w:t>
      </w:r>
    </w:p>
    <w:p w14:paraId="1E436C7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乙方保证所提供的服务设施、设备所有权完全属于乙方且无任何抵押、查封等产权瑕疵。如有产权瑕疵，视为乙方主违约。乙方应负担由此产生的相关损失。</w:t>
      </w:r>
    </w:p>
    <w:p w14:paraId="1BA5CE6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六、设备的配备和使用</w:t>
      </w:r>
    </w:p>
    <w:p w14:paraId="42EC1AD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甲方无偿提供乙方项目服务办公场所，乙方需要按照甲方要求增购的车辆、工具等设备，均需为全新购置未曾使用设备。乙方提供所有设备的使用必须证照齐全，安全性能达标，缴纳设备保险，乙方承担设备使用过程中的一切费用和风险。</w:t>
      </w:r>
    </w:p>
    <w:p w14:paraId="76CE604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塑料垃圾桶（240L）移交给乙方使用，以移交清单为准，仅服务甲方区域内生活垃圾清运，不得挪至甲方以外区域使用或者挪作其他用途，如因挪用产生的相关损失由乙方负担。废弃垃圾桶必须运至甲方指定区域，乙方不得擅自处理。合同执行期内因各种原因导致塑料垃圾桶（240L）数量不足，无法满足服务需求，由乙方负责添购。</w:t>
      </w:r>
    </w:p>
    <w:p w14:paraId="66506A2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农户两分类垃圾小桶由乙方按照村（社区）统计的数量在合同签订后一个月内添购到位。乙方应严格按照招标文件约定的产品规格、技术要求组织供货，不得擅自变更。乙方供货时须随货提供产品原厂检测报告、合格证明文件等相关质量证明资料，资料须真实、有效、完整。甲方有权对到货产品进行外观、规格、数量及技术参数验收，必要时可委托第三方机构检测。经检验或检测，产品不符合规格、技术要求、质量标准或与提供的检测报告不一致的，甲方有权无条件退货，乙方须在甲方要求的时限内完成退换货。因产品不合格、退货、换货产生的运输费、装卸费、检测费、工期延误损失等一切费用与责任，均由乙方自行承担。若乙方多次提供不合格产品，或拒不配合退换货，甲方有权中止合同、扣除相应款项，并追究乙方违约责任。</w:t>
      </w:r>
    </w:p>
    <w:p w14:paraId="3604EC1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七、双方权利义务</w:t>
      </w:r>
    </w:p>
    <w:p w14:paraId="75E17E8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（一）甲方的权利义务：</w:t>
      </w:r>
    </w:p>
    <w:p w14:paraId="66C0C56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1.建立专业机构，按长效管理要求正常做好督查考核工作；</w:t>
      </w:r>
    </w:p>
    <w:p w14:paraId="0C620D1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2.负责与各村的协调，加强社会宣传，为乙方营造良好的工作环境；</w:t>
      </w:r>
    </w:p>
    <w:p w14:paraId="289BCFF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3.严格按照本合同第三条规定，向乙方支付服务费用；</w:t>
      </w:r>
    </w:p>
    <w:p w14:paraId="7C86168F">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4.及时传达、通报上级精神，并按精神要求指导乙方工作。</w:t>
      </w:r>
    </w:p>
    <w:p w14:paraId="3F1C785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（二）乙方的权利义务：</w:t>
      </w:r>
    </w:p>
    <w:p w14:paraId="424270E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1.依法具备独立法人资格，有必要的独立财产，有自己的名称、组织机构和场所，能够独立承担民事责任；</w:t>
      </w:r>
    </w:p>
    <w:p w14:paraId="09F26E6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2.按要求组织实施，按照法律规定享受权利、承担义务；</w:t>
      </w:r>
    </w:p>
    <w:p w14:paraId="3482B53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建立健全安全责任制。建立安全生产管理系统，创建安全生产、文明生产的氛围，定期进行安全教育和检查。所有工作人员必须按规定穿戴防护用品，并持证上岗。本合同履行期间，乙方必须加强安全管理工作，确保不发生任何人身、财产安全事故，如若发生人身、财产安全事故的，由乙方负责妥善处理并承担由此产生的一切责任；</w:t>
      </w:r>
    </w:p>
    <w:p w14:paraId="156E0D1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合同签订后一个月内乙方应与从事服务工作的员工签订用工合同（劳动、劳务合同），明确工作职责、范围、时间、标准等内容，明确内部考核奖惩制度按合同附件中承诺的人员、设备按时进场。合同期内所有设备摊销期满需全新购置，摊销期满后一个月内购置到位，原有设备由乙方自行处理。</w:t>
      </w:r>
    </w:p>
    <w:p w14:paraId="39F9019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5.严格按照《考核细则》确保“用工人数、用工质量、工资标准”三到位。依法用工，及时缴纳相关社会保险、商业保险，按时发放工资；符合职工参保年龄人员工资实际发放不得低于如东县职工工资</w:t>
      </w:r>
      <w:r>
        <w:rPr>
          <w:rFonts w:hint="eastAsia" w:ascii="仿宋" w:hAnsi="仿宋" w:eastAsia="仿宋" w:cs="仿宋"/>
          <w:sz w:val="24"/>
          <w:szCs w:val="24"/>
          <w:highlight w:val="none"/>
        </w:rPr>
        <w:t>最低标准。各岗位实际发放工资不得低于投标分项报价中的人工单价。</w:t>
      </w:r>
    </w:p>
    <w:p w14:paraId="20BF270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承担因保洁所需发生的工人工资、福利、保险、交通、设备、办公等经费。承担镇环境卫生管理中心及易腐垃圾处置中心日常维护费用；涉及设备维修和更换的，由乙方提出申请，经甲方批准后方可实施，费用凭票报支。</w:t>
      </w:r>
    </w:p>
    <w:p w14:paraId="6049B061">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7.合同执行期内，无条件接受关于垃圾分类相关工作部署，严格按照上级明确的垃圾分类行业标准、工艺、要求组织人员、设施落实到位，不得提出增加服务费的要求；</w:t>
      </w:r>
    </w:p>
    <w:p w14:paraId="06005BD9">
      <w:pPr>
        <w:spacing w:line="560" w:lineRule="exact"/>
        <w:ind w:left="210" w:leftChars="100" w:firstLine="240" w:firstLineChars="100"/>
        <w:rPr>
          <w:rFonts w:hint="eastAsia" w:ascii="仿宋" w:hAnsi="仿宋" w:eastAsia="仿宋" w:cs="仿宋"/>
          <w:sz w:val="24"/>
          <w:szCs w:val="24"/>
        </w:rPr>
      </w:pPr>
      <w:r>
        <w:rPr>
          <w:rFonts w:hint="eastAsia" w:ascii="仿宋" w:hAnsi="仿宋" w:eastAsia="仿宋" w:cs="仿宋"/>
          <w:sz w:val="24"/>
          <w:szCs w:val="24"/>
        </w:rPr>
        <w:t>8.服从甲方管理，接受甲方“五位一体”办公室和甲方所</w:t>
      </w:r>
    </w:p>
    <w:p w14:paraId="56D048CE">
      <w:pPr>
        <w:spacing w:line="560" w:lineRule="exact"/>
        <w:rPr>
          <w:rFonts w:hint="eastAsia" w:ascii="仿宋" w:hAnsi="仿宋" w:eastAsia="仿宋" w:cs="仿宋"/>
          <w:sz w:val="24"/>
          <w:szCs w:val="24"/>
        </w:rPr>
      </w:pPr>
      <w:r>
        <w:rPr>
          <w:rFonts w:hint="eastAsia" w:ascii="仿宋" w:hAnsi="仿宋" w:eastAsia="仿宋" w:cs="仿宋"/>
          <w:sz w:val="24"/>
          <w:szCs w:val="24"/>
        </w:rPr>
        <w:t>辖村（社区）的监督、检查、指导和考核，完成交办的临时性、突击性任务，对甲方提出的意见及时采纳并采取相应整改措施；提供服务过程中与单位或个人产生的矛盾纠纷应及时妥善处理，无法处理的应根据实际情况向甲方“五位一体”办公室或村汇报。</w:t>
      </w:r>
    </w:p>
    <w:p w14:paraId="0F85F0C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9.根据相关要求、实际情况《考核细则》进行相应调整或增加内容的，乙方必须服从。</w:t>
      </w:r>
    </w:p>
    <w:p w14:paraId="207322B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10.乙方必须在15天内与原服务单位做好交接工作。</w:t>
      </w:r>
    </w:p>
    <w:p w14:paraId="7C079C3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八、违约责任</w:t>
      </w:r>
    </w:p>
    <w:p w14:paraId="4B00229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乙方不得擅自更换项目负责人，否则甲方有权终止合同，并有权将乙方的履约保证金作为违约金处理，且不予以退还。如出现特殊情况确需更换的，应当由乙方提出申请（更换的项目负责人其工作经验、业绩、管理能力等必须满足《考核细则》中的相应要求）并提供必要的证明文件报甲方审核批准后方可更换。</w:t>
      </w:r>
    </w:p>
    <w:p w14:paraId="5F3B3758">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（二）乙方不得超过自己履约能力接受该项任务，该工作不允许转包或分包，若发现有转包或分包的行为，甲方有权解除合同，并有权将乙方的履约保证金作为违约金处理，且不予以退还。</w:t>
      </w:r>
    </w:p>
    <w:p w14:paraId="7DC711EB">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（三）乙方人员配备不能满足甲方《考核细则》中人员配备，片长及以上管理人员每少1人的，每月按月度结算支付款3%扣罚，一般人员每少1人的每月按月度结算支付款1%扣罚。</w:t>
      </w:r>
    </w:p>
    <w:p w14:paraId="5907543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合同执行期内，摊销期满设备在期满后一个月内未购置到位，甲方有权要求乙方限期整改，逾期未整改的，每月按月度结算支付款的2%扣罚；本合同签订后一个月内未按照本项目承包范围及内容完成一次全面大清理的按年度合同款的2%扣罚。</w:t>
      </w:r>
    </w:p>
    <w:p w14:paraId="0937895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（五）乙方未给所用员工缴纳相关社会保险、商业保险的发现一例扣罚10000元，并及时补交到位；符合职工参保年龄人员工资实际发放不得低于如东县职工工资最低标准。</w:t>
      </w:r>
      <w:r>
        <w:rPr>
          <w:rFonts w:hint="eastAsia" w:ascii="仿宋" w:hAnsi="仿宋" w:eastAsia="仿宋" w:cs="仿宋"/>
          <w:sz w:val="24"/>
          <w:szCs w:val="24"/>
          <w:highlight w:val="none"/>
        </w:rPr>
        <w:t>各岗位实际发放工资不得低于投标分项报价中的人工单价，不得</w:t>
      </w:r>
      <w:r>
        <w:rPr>
          <w:rFonts w:hint="eastAsia" w:ascii="仿宋" w:hAnsi="仿宋" w:eastAsia="仿宋" w:cs="仿宋"/>
          <w:sz w:val="24"/>
          <w:szCs w:val="24"/>
        </w:rPr>
        <w:t>拖欠工人工资，以上情况发现一例扣罚10000元，并及时补足相应工资。</w:t>
      </w:r>
    </w:p>
    <w:p w14:paraId="329CBF0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因乙方管理不善或操作不当等原因发生的事故并对甲方、乙方或第三方造成人身、财产等损害的，由乙方负责妥善处理并承担由此产生的一切责任，造成甲方经济损失的，乙方应给予甲方经济赔偿。如若发生人身、财产安全事故的，由乙方妥善处理并承担由此产生的一切责任的，如若乙方不妥善处理，甲方有权解除本合同，并有权将乙方的履约保证金作为违约金处理，且不予以退还。</w:t>
      </w:r>
    </w:p>
    <w:p w14:paraId="4258282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（七）因乙方由于管理或劳资纠纷引起赴县及以上单位上访的，有一例扣除当月金额10000元。</w:t>
      </w:r>
    </w:p>
    <w:p w14:paraId="4B09797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（八）被县及以上部门曝光通报的，对不称职人员不予清退的（乙方对缺岗、工作不到位的保洁人员进行教育，对累计被甲方、村三次处罚的人员予以清退），甲方将在本合同价款中扣除每次每人每月10000元。</w:t>
      </w:r>
    </w:p>
    <w:p w14:paraId="4585E2D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（九）根据相关要求、实际情况,《考核细则》进行相应调整或增加内容的，乙方若不服从的，甲方有权解除本合同，并有权将乙方的履约保证金作为违约金处理，且不予以退还。</w:t>
      </w:r>
    </w:p>
    <w:p w14:paraId="3C5CEBD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乙方有因保洁作业项目被媒体曝光、上级批评或发生群体事件，造成恶劣影响的；全年在甲方月度考核累计三次低于80分的；对甲方就同一类问题发出书面整改通知三次以上未能整改的；乙方违反劳动法律、法规或规章，不能妥善平息与乙方员工之间劳资争议的；因重大节日或重大活动乙方对甲方交办的突击性工作不能按时完成，造成恶劣影响等上述情形之一的，甲方有权解除合同，并有权将乙方的履约保证金作为违约金处理，且不予以退还。</w:t>
      </w:r>
    </w:p>
    <w:p w14:paraId="53D04962">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九、其他：</w:t>
      </w:r>
    </w:p>
    <w:p w14:paraId="789C09DE">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（一）合同价为本合同期内对应服务范围、服务内容的总包干费用，乙方不得以任何理由提出增加服务费用的要求。</w:t>
      </w:r>
    </w:p>
    <w:p w14:paraId="15337E9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（二）合同执行期间，如遇不可抗力，致使本合同无法履行时，双方应按有关法律规定及时协商处理。</w:t>
      </w:r>
    </w:p>
    <w:p w14:paraId="738D155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（三）合同执行期间，所增补的所有项目不再增加任何费用。</w:t>
      </w:r>
    </w:p>
    <w:p w14:paraId="06788F5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（四）合同执行期间，如遇市、县及甲方各级管理体制改革要求，不再实行外包服务的，甲方有权终止本合同。</w:t>
      </w:r>
    </w:p>
    <w:p w14:paraId="5A1EA85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甲乙双方共同确认本合同书首部所载明的住所地，为甲乙双方方在履行本合同过程中向对方发出书面函件的有效送达地址，如发生变更应及时书面通知对方，否则按本合同书所约定的住所地向对方发出书面函件无论出现拒收、无法送达、迁移新址不详等均视为已送达，对此甲乙双方均无异议。</w:t>
      </w:r>
    </w:p>
    <w:p w14:paraId="652CAE87">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十、争议的解决办法：</w:t>
      </w:r>
    </w:p>
    <w:p w14:paraId="7E304F3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（一）任何一方因违约或其他问题而引起的纠纷，双方首先应按照友好的原则力求通过协商解决，必要时可请上级机关调解解决。</w:t>
      </w:r>
    </w:p>
    <w:p w14:paraId="1E5C4A4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（二）协商或调解未果时，可向甲方所在地人民法院提起诉讼，因此产生的诉讼费、差旅费、律师费等均由违约方承担。</w:t>
      </w:r>
    </w:p>
    <w:p w14:paraId="559A2FF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十一、合同自乙方机械设备及人员全部到位，经甲方验收合格后生效。</w:t>
      </w:r>
    </w:p>
    <w:p w14:paraId="172F6DC7">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十二、本合同文件的组成：</w:t>
      </w:r>
    </w:p>
    <w:p w14:paraId="11932A9C">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1.下列文件应视为构成并作为阅读和理解本合同书的组成部分：</w:t>
      </w:r>
    </w:p>
    <w:p w14:paraId="55D668CE">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 本合同书</w:t>
      </w:r>
    </w:p>
    <w:p w14:paraId="1D7F8147">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 大豫镇环境卫生长效管护项目考核细则</w:t>
      </w:r>
    </w:p>
    <w:p w14:paraId="3F8F3D7C">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 大豫镇环境卫生长效管护项目需服务单位投入设备—最低标准明细表</w:t>
      </w:r>
    </w:p>
    <w:p w14:paraId="75369CD4">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2.上述文件将互为补充，如有歧义或不一致之处，应以主合同条款的规定为准，但附件中对主合同条款的进一步明确和细化除外。</w:t>
      </w:r>
    </w:p>
    <w:p w14:paraId="4B2B689A">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十三、本合同未尽事宜，经双方协商确认后签订补充合同。</w:t>
      </w:r>
    </w:p>
    <w:p w14:paraId="5B58B1E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本合同一式玖份，甲、乙双方各贰份，甲方“五位一体”办公室、甲方财政所各执壹份，留档壹份。</w:t>
      </w:r>
    </w:p>
    <w:p w14:paraId="74AD386A">
      <w:pPr>
        <w:spacing w:line="560" w:lineRule="exact"/>
        <w:ind w:firstLine="480" w:firstLineChars="200"/>
        <w:rPr>
          <w:rFonts w:hint="eastAsia" w:ascii="仿宋" w:hAnsi="仿宋" w:eastAsia="仿宋" w:cs="仿宋"/>
          <w:sz w:val="24"/>
          <w:szCs w:val="24"/>
        </w:rPr>
      </w:pPr>
    </w:p>
    <w:p w14:paraId="345A2A60">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甲方：如东县大豫镇人民政府      </w:t>
      </w:r>
    </w:p>
    <w:p w14:paraId="02188610">
      <w:pPr>
        <w:spacing w:line="560" w:lineRule="exact"/>
        <w:ind w:firstLine="480" w:firstLineChars="200"/>
        <w:rPr>
          <w:rFonts w:hint="eastAsia" w:ascii="仿宋" w:hAnsi="仿宋" w:eastAsia="仿宋" w:cs="仿宋"/>
          <w:sz w:val="24"/>
          <w:szCs w:val="24"/>
        </w:rPr>
      </w:pPr>
    </w:p>
    <w:p w14:paraId="01DBB77C">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乙方： </w:t>
      </w:r>
    </w:p>
    <w:p w14:paraId="651AAED8">
      <w:pPr>
        <w:spacing w:line="56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签订日期    年   月   日</w:t>
      </w:r>
    </w:p>
    <w:p w14:paraId="4BB2780B">
      <w:pPr>
        <w:pStyle w:val="19"/>
        <w:spacing w:before="120" w:after="120" w:line="0" w:lineRule="atLeast"/>
        <w:ind w:firstLine="2650"/>
        <w:outlineLvl w:val="0"/>
        <w:rPr>
          <w:rFonts w:hint="eastAsia" w:ascii="仿宋" w:hAnsi="仿宋" w:eastAsia="仿宋" w:cs="仿宋"/>
          <w:b/>
          <w:sz w:val="44"/>
        </w:rPr>
      </w:pPr>
    </w:p>
    <w:p w14:paraId="18B41F8E">
      <w:pPr>
        <w:rPr>
          <w:rFonts w:hint="eastAsia" w:ascii="仿宋" w:hAnsi="仿宋" w:eastAsia="仿宋" w:cs="仿宋"/>
          <w:b/>
          <w:sz w:val="44"/>
        </w:rPr>
      </w:pPr>
      <w:r>
        <w:rPr>
          <w:rFonts w:hint="eastAsia" w:ascii="仿宋" w:hAnsi="仿宋" w:eastAsia="仿宋" w:cs="仿宋"/>
          <w:b/>
          <w:sz w:val="44"/>
        </w:rPr>
        <w:br w:type="page"/>
      </w:r>
    </w:p>
    <w:p w14:paraId="512B5118">
      <w:pPr>
        <w:pStyle w:val="19"/>
        <w:spacing w:before="120" w:after="120" w:line="0" w:lineRule="atLeast"/>
        <w:ind w:firstLine="2650"/>
        <w:outlineLvl w:val="0"/>
        <w:rPr>
          <w:rFonts w:hint="eastAsia" w:ascii="仿宋" w:hAnsi="仿宋" w:eastAsia="仿宋" w:cs="仿宋"/>
          <w:b/>
          <w:sz w:val="44"/>
        </w:rPr>
      </w:pPr>
      <w:r>
        <w:rPr>
          <w:rFonts w:hint="eastAsia" w:ascii="仿宋" w:hAnsi="仿宋" w:eastAsia="仿宋" w:cs="仿宋"/>
          <w:b/>
          <w:sz w:val="44"/>
        </w:rPr>
        <w:t>第四章  采购需求</w:t>
      </w:r>
      <w:bookmarkEnd w:id="185"/>
      <w:bookmarkEnd w:id="186"/>
      <w:bookmarkEnd w:id="187"/>
      <w:bookmarkEnd w:id="188"/>
    </w:p>
    <w:p w14:paraId="05D2DCA4">
      <w:pPr>
        <w:spacing w:line="360" w:lineRule="auto"/>
        <w:rPr>
          <w:rFonts w:hint="eastAsia" w:ascii="仿宋" w:hAnsi="仿宋" w:eastAsia="仿宋" w:cs="仿宋"/>
          <w:b/>
          <w:bCs/>
          <w:sz w:val="24"/>
          <w:szCs w:val="24"/>
        </w:rPr>
      </w:pPr>
      <w:bookmarkStart w:id="192" w:name="_Toc120614281"/>
      <w:bookmarkStart w:id="193" w:name="_Toc26554093"/>
      <w:bookmarkStart w:id="194" w:name="_Toc49090575"/>
      <w:r>
        <w:rPr>
          <w:rFonts w:hint="eastAsia" w:ascii="仿宋" w:hAnsi="仿宋" w:eastAsia="仿宋" w:cs="仿宋"/>
          <w:b/>
          <w:bCs/>
          <w:sz w:val="24"/>
          <w:szCs w:val="24"/>
        </w:rPr>
        <w:t>一、项目内容</w:t>
      </w:r>
    </w:p>
    <w:p w14:paraId="056727AB">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（一）具体服务范围</w:t>
      </w:r>
    </w:p>
    <w:p w14:paraId="6169856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1、18个行政村及镇属用地；</w:t>
      </w:r>
    </w:p>
    <w:p w14:paraId="2830197D">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2、三个镇区（含公厕保洁）及新老S334、S222、S221、G328、X203、X111、X257、大白线沿线环卫。</w:t>
      </w:r>
    </w:p>
    <w:p w14:paraId="584E8C0D">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兵房镇区：保洁全覆盖，约6平方公里，人口4900人，公厕12座;（如泰运河以北四贯河以西：东西三至四贯，向北至兵北八横河；如泰运河以北四贯河以东：东西四贯河向东400米，向北至兵北八横河河北东西路；如泰运河以南四贯河以西：东西三至四贯，向南至兵中桥；如泰运河以南四贯河以东：东西四贯河向东600米，向南至兵中桥。）</w:t>
      </w:r>
    </w:p>
    <w:p w14:paraId="585FBF0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老大豫镇区：以张謇铜像为中心，北至茂青桥，南至立交桥，东至幼儿园（小学门口），西至3贯路。人口1300人，公厕1座;</w:t>
      </w:r>
    </w:p>
    <w:p w14:paraId="6C30C72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丁家店镇区：以丁家店桥为中心，向南600米，向北800米，东至5贯路，西至幼儿园。人口1300人，公厕2座。</w:t>
      </w:r>
    </w:p>
    <w:p w14:paraId="26564D2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3、东凌工业集中区、兵房工业园区、张謇工业园区。</w:t>
      </w:r>
    </w:p>
    <w:p w14:paraId="57DA0351">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4、根据上级部署要求的其它区域。</w:t>
      </w:r>
    </w:p>
    <w:p w14:paraId="61BE1ED4">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（二）服务内容</w:t>
      </w:r>
    </w:p>
    <w:p w14:paraId="55B1942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垃圾〔包括但不限于生活垃圾、农业生产垃圾（含零星废瓜、藤、秸秆等）、大件垃圾（含旧马桶、废弃家具等）、一般工业垃圾等。“下同”〕的清扫、捡拾、分类、收集、清运等收运处置，以及垃圾设施的管护，同时配合村（社区）做好建筑垃圾和修缮装修垃圾的收运处置；</w:t>
      </w:r>
    </w:p>
    <w:p w14:paraId="188CFCD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2、道路、桥梁保洁；</w:t>
      </w:r>
    </w:p>
    <w:p w14:paraId="73CCED8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3、三、四级河道长效管护（含芦苇和芦竹清理）；</w:t>
      </w:r>
    </w:p>
    <w:p w14:paraId="17C0D53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4、道路两侧及镇区绿化的保洁；</w:t>
      </w:r>
    </w:p>
    <w:p w14:paraId="5BC181C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5、三个镇区所有公共厕所保洁；</w:t>
      </w:r>
    </w:p>
    <w:p w14:paraId="299C18AB">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6、环境卫生管理中心、易腐垃圾处理中心及村级生活垃圾中转房的运营、维护和保洁；</w:t>
      </w:r>
    </w:p>
    <w:p w14:paraId="646B112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7、全力做好各类突发公共事件、突击检查创建、重大活动、重大节日等垃圾量高峰期间的环卫保障，服从相关具体工作安排。</w:t>
      </w:r>
    </w:p>
    <w:p w14:paraId="7A7D74AE">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二、全镇整体区域环境卫生长效管护外包服务的项目标准要求</w:t>
      </w:r>
    </w:p>
    <w:p w14:paraId="39F238EA">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（一）垃圾收运处置</w:t>
      </w:r>
    </w:p>
    <w:p w14:paraId="1C7E2CAC">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负责镇域服务范围内垃圾实行常态化、全方位、无死角的清扫、捡拾、分类、收集、清运，确保不发生垃圾散落遍地和堆积积存，若要进行垃圾分类，则根据上级要求执行。</w:t>
      </w:r>
    </w:p>
    <w:p w14:paraId="2F8476C9">
      <w:pPr>
        <w:spacing w:line="360" w:lineRule="auto"/>
        <w:ind w:left="643"/>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1、垃圾保洁</w:t>
      </w:r>
    </w:p>
    <w:p w14:paraId="07CDCE9F">
      <w:pPr>
        <w:spacing w:line="360" w:lineRule="auto"/>
        <w:ind w:firstLine="471" w:firstLineChars="196"/>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（1）保洁网格：</w:t>
      </w:r>
      <w:r>
        <w:rPr>
          <w:rFonts w:hint="eastAsia" w:ascii="华文仿宋" w:hAnsi="华文仿宋" w:eastAsia="华文仿宋" w:cs="华文仿宋"/>
          <w:sz w:val="24"/>
          <w:szCs w:val="24"/>
        </w:rPr>
        <w:t>全镇18个行政村范围内，按每350户左右划分网格，每个网格配1名保洁人员，负责该网格范围内的所有保洁任务。（附村级保洁人员配备表。）</w:t>
      </w:r>
    </w:p>
    <w:p w14:paraId="7D7C55D1">
      <w:pPr>
        <w:spacing w:line="360" w:lineRule="auto"/>
        <w:ind w:firstLine="505" w:firstLineChars="21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（2）保洁任务：</w:t>
      </w:r>
      <w:r>
        <w:rPr>
          <w:rFonts w:hint="eastAsia" w:ascii="华文仿宋" w:hAnsi="华文仿宋" w:eastAsia="华文仿宋" w:cs="华文仿宋"/>
          <w:sz w:val="24"/>
          <w:szCs w:val="24"/>
        </w:rPr>
        <w:t>负责及时将责任区域内的垃圾，清扫捡拾收集到垃圾设施内；负责及时保洁垃圾设施，清扫作业场地，把垃圾设施摆正复位。</w:t>
      </w:r>
    </w:p>
    <w:p w14:paraId="25F52BA3">
      <w:pPr>
        <w:spacing w:line="360" w:lineRule="auto"/>
        <w:ind w:firstLine="505" w:firstLineChars="210"/>
        <w:rPr>
          <w:rFonts w:hint="eastAsia" w:ascii="华文仿宋" w:hAnsi="华文仿宋" w:eastAsia="华文仿宋" w:cs="华文仿宋"/>
          <w:sz w:val="24"/>
          <w:szCs w:val="24"/>
        </w:rPr>
      </w:pPr>
      <w:r>
        <w:rPr>
          <w:rFonts w:hint="eastAsia" w:ascii="华文仿宋" w:hAnsi="华文仿宋" w:eastAsia="华文仿宋" w:cs="华文仿宋"/>
          <w:b/>
          <w:sz w:val="24"/>
          <w:szCs w:val="24"/>
        </w:rPr>
        <w:t>（3）保洁标准：</w:t>
      </w:r>
      <w:r>
        <w:rPr>
          <w:rFonts w:hint="eastAsia" w:ascii="华文仿宋" w:hAnsi="华文仿宋" w:eastAsia="华文仿宋" w:cs="华文仿宋"/>
          <w:sz w:val="24"/>
          <w:szCs w:val="24"/>
        </w:rPr>
        <w:t>责任区域内无散落垃圾堆积；垃圾桶边无飘散外溢垃圾，无积水，无明显恶臭；要保持区域整体环境清洁，垃圾设施及周边保持干净，摆放整齐。</w:t>
      </w:r>
    </w:p>
    <w:p w14:paraId="4997D7AB">
      <w:pPr>
        <w:spacing w:line="360" w:lineRule="auto"/>
        <w:ind w:firstLine="505" w:firstLineChars="210"/>
        <w:rPr>
          <w:rFonts w:hint="eastAsia" w:ascii="华文仿宋" w:hAnsi="华文仿宋" w:eastAsia="华文仿宋" w:cs="华文仿宋"/>
          <w:sz w:val="24"/>
          <w:szCs w:val="24"/>
        </w:rPr>
      </w:pPr>
      <w:r>
        <w:rPr>
          <w:rFonts w:hint="eastAsia" w:ascii="华文仿宋" w:hAnsi="华文仿宋" w:eastAsia="华文仿宋" w:cs="华文仿宋"/>
          <w:b/>
          <w:sz w:val="24"/>
          <w:szCs w:val="24"/>
        </w:rPr>
        <w:t>（4）保洁频次：</w:t>
      </w:r>
      <w:r>
        <w:rPr>
          <w:rFonts w:hint="eastAsia" w:ascii="华文仿宋" w:hAnsi="华文仿宋" w:eastAsia="华文仿宋" w:cs="华文仿宋"/>
          <w:sz w:val="24"/>
          <w:szCs w:val="24"/>
        </w:rPr>
        <w:t>在区域范围内负责每天巡回清扫和重点打扫一次，根据需求增加频次保持环境干净整洁，用每个网格区域的干净整洁，保证全镇总范围的干净整洁。</w:t>
      </w:r>
    </w:p>
    <w:p w14:paraId="61399196">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2、垃圾清运</w:t>
      </w:r>
    </w:p>
    <w:p w14:paraId="789318DB">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（1）清运体系：</w:t>
      </w:r>
      <w:r>
        <w:rPr>
          <w:rFonts w:hint="eastAsia" w:ascii="华文仿宋" w:hAnsi="华文仿宋" w:eastAsia="华文仿宋" w:cs="华文仿宋"/>
          <w:bCs/>
          <w:sz w:val="24"/>
          <w:szCs w:val="24"/>
        </w:rPr>
        <w:t>根据实际需要构建两级全覆盖的高效清运体系，即由90辆电动三轮车组成的“一级清运”，由6辆压缩车组成“二级清运”。</w:t>
      </w:r>
    </w:p>
    <w:p w14:paraId="3E2D82F1">
      <w:pPr>
        <w:spacing w:line="360" w:lineRule="auto"/>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
          <w:sz w:val="24"/>
          <w:szCs w:val="24"/>
        </w:rPr>
        <w:t>（2）清运网格：</w:t>
      </w:r>
      <w:r>
        <w:rPr>
          <w:rFonts w:hint="eastAsia" w:ascii="华文仿宋" w:hAnsi="华文仿宋" w:eastAsia="华文仿宋" w:cs="华文仿宋"/>
          <w:bCs/>
          <w:sz w:val="24"/>
          <w:szCs w:val="24"/>
        </w:rPr>
        <w:t>全镇范围内，按每350户组成一个清运网络，合计90名清运收集工，实行生活垃圾上门收集模式，分网格进行入户收集。</w:t>
      </w:r>
    </w:p>
    <w:p w14:paraId="73053B47">
      <w:pPr>
        <w:spacing w:line="360" w:lineRule="auto"/>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
          <w:sz w:val="24"/>
          <w:szCs w:val="24"/>
        </w:rPr>
        <w:t>（3）分级清运：</w:t>
      </w:r>
      <w:r>
        <w:rPr>
          <w:rFonts w:hint="eastAsia" w:ascii="华文仿宋" w:hAnsi="华文仿宋" w:eastAsia="华文仿宋" w:cs="华文仿宋"/>
          <w:bCs/>
          <w:sz w:val="24"/>
          <w:szCs w:val="24"/>
        </w:rPr>
        <w:t>分级清运：“一级清运”小车负责对网格内农户每日实行上门收集，将农户两分类垃圾小桶内生活垃圾转运至垃圾中转房，同时做好农户周边垃圾捡拾及抛弃的沙发、家具等杂物收运处置以及对道路沿线的垃圾进行收集。“二级清运”大车负责将垃圾中转房、重点区域垃圾桶垃圾压缩清运至天楹（或镇垃圾中转站）。</w:t>
      </w:r>
    </w:p>
    <w:p w14:paraId="2AC009EE">
      <w:pPr>
        <w:spacing w:line="360" w:lineRule="auto"/>
        <w:ind w:firstLine="471" w:firstLineChars="196"/>
        <w:rPr>
          <w:rFonts w:hint="eastAsia" w:ascii="华文仿宋" w:hAnsi="华文仿宋" w:eastAsia="华文仿宋" w:cs="华文仿宋"/>
          <w:sz w:val="24"/>
          <w:szCs w:val="24"/>
        </w:rPr>
      </w:pPr>
      <w:r>
        <w:rPr>
          <w:rFonts w:hint="eastAsia" w:ascii="华文仿宋" w:hAnsi="华文仿宋" w:eastAsia="华文仿宋" w:cs="华文仿宋"/>
          <w:b/>
          <w:sz w:val="24"/>
          <w:szCs w:val="24"/>
        </w:rPr>
        <w:t>（4）清运管理：</w:t>
      </w:r>
      <w:r>
        <w:rPr>
          <w:rFonts w:hint="eastAsia" w:ascii="华文仿宋" w:hAnsi="华文仿宋" w:eastAsia="华文仿宋" w:cs="华文仿宋"/>
          <w:sz w:val="24"/>
          <w:szCs w:val="24"/>
        </w:rPr>
        <w:t>公司法人（或授权驻镇总经理）要强化管理调度，要明确一名主管牵头负责带领全体片长加强清运体系的管理，按垃圾流向明确分工、落实责任、采取措施，确保清运体系正常运行。</w:t>
      </w:r>
    </w:p>
    <w:p w14:paraId="2449C21C">
      <w:pPr>
        <w:spacing w:line="360" w:lineRule="auto"/>
        <w:ind w:firstLine="471" w:firstLineChars="196"/>
        <w:rPr>
          <w:rFonts w:hint="eastAsia" w:ascii="华文仿宋" w:hAnsi="华文仿宋" w:eastAsia="华文仿宋" w:cs="华文仿宋"/>
          <w:sz w:val="24"/>
          <w:szCs w:val="24"/>
        </w:rPr>
      </w:pPr>
      <w:r>
        <w:rPr>
          <w:rFonts w:hint="eastAsia" w:ascii="华文仿宋" w:hAnsi="华文仿宋" w:eastAsia="华文仿宋" w:cs="华文仿宋"/>
          <w:b/>
          <w:sz w:val="24"/>
          <w:szCs w:val="24"/>
        </w:rPr>
        <w:t>①“二级清运”。</w:t>
      </w:r>
      <w:r>
        <w:rPr>
          <w:rFonts w:hint="eastAsia" w:ascii="华文仿宋" w:hAnsi="华文仿宋" w:eastAsia="华文仿宋" w:cs="华文仿宋"/>
          <w:sz w:val="24"/>
          <w:szCs w:val="24"/>
        </w:rPr>
        <w:t>对垃圾出镇的管理：牵头主管要重点负责做好每天全镇压缩车辆的清运范围、时间、车次、吨位、效果、安全等工作调度，最大限度地推动垃圾出镇，确保垃圾中转房满载垃圾桶能得到及时清运，不得留置垃圾过夜，确保“一级清运”不受阻。</w:t>
      </w:r>
    </w:p>
    <w:p w14:paraId="3CA86D0F">
      <w:pPr>
        <w:spacing w:line="360" w:lineRule="auto"/>
        <w:ind w:firstLine="471" w:firstLineChars="196"/>
        <w:rPr>
          <w:rFonts w:hint="eastAsia" w:ascii="华文仿宋" w:hAnsi="华文仿宋" w:eastAsia="华文仿宋" w:cs="华文仿宋"/>
          <w:sz w:val="24"/>
          <w:szCs w:val="24"/>
        </w:rPr>
      </w:pPr>
      <w:r>
        <w:rPr>
          <w:rFonts w:hint="eastAsia" w:ascii="华文仿宋" w:hAnsi="华文仿宋" w:eastAsia="华文仿宋" w:cs="华文仿宋"/>
          <w:b/>
          <w:sz w:val="24"/>
          <w:szCs w:val="24"/>
        </w:rPr>
        <w:t>②“一级清运”。</w:t>
      </w:r>
      <w:r>
        <w:rPr>
          <w:rFonts w:hint="eastAsia" w:ascii="华文仿宋" w:hAnsi="华文仿宋" w:eastAsia="华文仿宋" w:cs="华文仿宋"/>
          <w:sz w:val="24"/>
          <w:szCs w:val="24"/>
        </w:rPr>
        <w:t>对垃圾入房和垃圾入桶的管理：各片片长要重点负责做好每天各片清运小车的清运范围、时间、效果、安全等工作调度，最大限度的推动垃圾进中转房及时转运。对于群众红白喜事等垃圾高峰期，需提前与农户沟通放置足够数量的垃圾大桶，确保群众投放垃圾不受影响，</w:t>
      </w:r>
    </w:p>
    <w:p w14:paraId="246CBDD4">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(5)清运频次：</w:t>
      </w:r>
      <w:r>
        <w:rPr>
          <w:rFonts w:hint="eastAsia" w:ascii="华文仿宋" w:hAnsi="华文仿宋" w:eastAsia="华文仿宋" w:cs="华文仿宋"/>
          <w:sz w:val="24"/>
          <w:szCs w:val="24"/>
        </w:rPr>
        <w:t>所有清运车辆要按区域分工负责，确保全镇群众投放垃圾入桶不受影响，确保全镇垃圾尽快清运出镇。</w:t>
      </w:r>
    </w:p>
    <w:p w14:paraId="7ABB3EA3">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①压缩车（5T）。正常情况下，4辆压缩车（5T）每天外运车次不少于16车次（每天固定车次考核，隔日不换算，计量以天楹或镇环境卫生管理中心当天实际记录为准）。强化调度管理，保证垃圾中转房内满载垃圾桶及时清运出镇，不得留置垃圾过夜，满足各片电动三轮的清运要求，不得影响整体垃圾清运效率。</w:t>
      </w:r>
    </w:p>
    <w:p w14:paraId="7C5EDE22">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②压缩车（3T）。正常情况下，1辆压缩车（3T）每天外运车次不少于4车次（每天固定车次考核，隔日不换算，计量以天楹或镇环境卫生管理中心当天实际记录为准）。3个镇区（含公厕保洁）及相关企事业单位、学校、医院等重点区域清运频次做到日产日清。</w:t>
      </w:r>
    </w:p>
    <w:p w14:paraId="5E7CC658">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③清运小车。全镇90辆电动三轮车及时入户分类收运生活垃圾清运至各村垃圾中转房，做到日产日清无积存，不得出现信访。</w:t>
      </w:r>
    </w:p>
    <w:p w14:paraId="73D211E1">
      <w:pPr>
        <w:spacing w:line="360" w:lineRule="auto"/>
        <w:ind w:firstLine="504" w:firstLineChars="210"/>
        <w:rPr>
          <w:rFonts w:hint="eastAsia" w:ascii="华文仿宋" w:hAnsi="华文仿宋" w:eastAsia="华文仿宋" w:cs="华文仿宋"/>
          <w:sz w:val="24"/>
          <w:szCs w:val="24"/>
        </w:rPr>
      </w:pPr>
      <w:r>
        <w:rPr>
          <w:rFonts w:hint="eastAsia" w:ascii="华文仿宋" w:hAnsi="华文仿宋" w:eastAsia="华文仿宋" w:cs="华文仿宋"/>
          <w:sz w:val="24"/>
          <w:szCs w:val="24"/>
        </w:rPr>
        <w:t>④频次调整。公司要管理到</w:t>
      </w:r>
      <w:r>
        <w:rPr>
          <w:rFonts w:hint="eastAsia" w:ascii="华文仿宋" w:hAnsi="华文仿宋" w:eastAsia="华文仿宋" w:cs="华文仿宋"/>
          <w:bCs/>
          <w:sz w:val="24"/>
          <w:szCs w:val="24"/>
        </w:rPr>
        <w:t>每辆车每天的路线和运输车次</w:t>
      </w:r>
      <w:r>
        <w:rPr>
          <w:rFonts w:hint="eastAsia" w:ascii="华文仿宋" w:hAnsi="华文仿宋" w:eastAsia="华文仿宋" w:cs="华文仿宋"/>
          <w:b/>
          <w:sz w:val="24"/>
          <w:szCs w:val="24"/>
        </w:rPr>
        <w:t>，</w:t>
      </w:r>
      <w:r>
        <w:rPr>
          <w:rFonts w:hint="eastAsia" w:ascii="华文仿宋" w:hAnsi="华文仿宋" w:eastAsia="华文仿宋" w:cs="华文仿宋"/>
          <w:sz w:val="24"/>
          <w:szCs w:val="24"/>
        </w:rPr>
        <w:t>确保全镇垃圾收运正常不受限制。同时，根据具体情况加以预见预判，尤其是夏季、重大节假日、群众红白喜事等垃圾高峰期，适时增加运输车辆及清运频次，确保垃圾不积压滞留。</w:t>
      </w:r>
    </w:p>
    <w:p w14:paraId="5D04E4DD">
      <w:pPr>
        <w:spacing w:line="360" w:lineRule="auto"/>
        <w:ind w:firstLine="504" w:firstLineChars="210"/>
        <w:rPr>
          <w:rFonts w:hint="eastAsia" w:ascii="华文仿宋" w:hAnsi="华文仿宋" w:eastAsia="华文仿宋" w:cs="华文仿宋"/>
          <w:sz w:val="24"/>
          <w:szCs w:val="24"/>
        </w:rPr>
      </w:pPr>
      <w:r>
        <w:rPr>
          <w:rFonts w:hint="eastAsia" w:ascii="华文仿宋" w:hAnsi="华文仿宋" w:eastAsia="华文仿宋" w:cs="华文仿宋"/>
          <w:sz w:val="24"/>
          <w:szCs w:val="24"/>
        </w:rPr>
        <w:t>⑤检查考核。镇“五位一体”办公室将检查每辆车每天的清运车次和数量等具体情况，看是否符合清运频次和数量要求并进行专项考核。同时，将根据季节及垃圾量适时增加考核车次（以书面形式通知），确保垃圾不积压。</w:t>
      </w:r>
    </w:p>
    <w:p w14:paraId="1FCCE381">
      <w:pPr>
        <w:spacing w:line="360" w:lineRule="auto"/>
        <w:ind w:firstLine="505" w:firstLineChars="210"/>
        <w:rPr>
          <w:rFonts w:hint="eastAsia" w:ascii="华文仿宋" w:hAnsi="华文仿宋" w:eastAsia="华文仿宋" w:cs="华文仿宋"/>
          <w:sz w:val="24"/>
          <w:szCs w:val="24"/>
        </w:rPr>
      </w:pPr>
      <w:r>
        <w:rPr>
          <w:rFonts w:hint="eastAsia" w:ascii="华文仿宋" w:hAnsi="华文仿宋" w:eastAsia="华文仿宋" w:cs="华文仿宋"/>
          <w:b/>
          <w:sz w:val="24"/>
          <w:szCs w:val="24"/>
        </w:rPr>
        <w:t>(6)其他清运：</w:t>
      </w:r>
      <w:r>
        <w:rPr>
          <w:rFonts w:hint="eastAsia" w:ascii="华文仿宋" w:hAnsi="华文仿宋" w:eastAsia="华文仿宋" w:cs="华文仿宋"/>
          <w:sz w:val="24"/>
          <w:szCs w:val="24"/>
        </w:rPr>
        <w:t>农业生产垃圾、大件垃圾等其他垃圾运至各村（社区）指定堆场。</w:t>
      </w:r>
    </w:p>
    <w:p w14:paraId="124090F3">
      <w:pPr>
        <w:spacing w:line="360" w:lineRule="auto"/>
        <w:ind w:firstLine="505" w:firstLineChars="21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3、垃圾设施管护</w:t>
      </w:r>
    </w:p>
    <w:p w14:paraId="52057FE3">
      <w:pPr>
        <w:pStyle w:val="2"/>
        <w:spacing w:line="360" w:lineRule="auto"/>
        <w:ind w:left="601" w:right="6"/>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（1）管护标准：</w:t>
      </w:r>
    </w:p>
    <w:p w14:paraId="3807F77D">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①收集设施应美观、适用，与周围环境协调，完好率应不低于98%；</w:t>
      </w:r>
    </w:p>
    <w:p w14:paraId="24AE4FF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②收集设施置放点及周围应整洁，无蝇、无臭；</w:t>
      </w:r>
    </w:p>
    <w:p w14:paraId="4E3DF97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③收集设施内的垃圾应及时清除、无满溢和散落；</w:t>
      </w:r>
    </w:p>
    <w:p w14:paraId="3A97279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④及时扶正、摆好塑料垃圾桶不跨道；</w:t>
      </w:r>
    </w:p>
    <w:p w14:paraId="53D58C0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 5 \* GB3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⑤</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t>定时清洗箱体，每天清运人员需对垃圾中转房内塑料垃圾桶进行清洗，正常保持其外壁清洁状态。</w:t>
      </w:r>
    </w:p>
    <w:p w14:paraId="426A357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（2）禁止损坏：</w:t>
      </w:r>
      <w:r>
        <w:rPr>
          <w:rFonts w:hint="eastAsia" w:ascii="华文仿宋" w:hAnsi="华文仿宋" w:eastAsia="华文仿宋" w:cs="华文仿宋"/>
          <w:sz w:val="24"/>
          <w:szCs w:val="24"/>
        </w:rPr>
        <w:t>加强对一线保洁人员教育管理，落实责任，调动工作积极性。禁止一切破坏垃圾设施的行为，发现其他人员损坏、偷拿、移位、他用等情况要及时制止并报告，主管、片长及村保洁队长要及时对接，共同追究当事人损坏赔偿责任。</w:t>
      </w:r>
    </w:p>
    <w:p w14:paraId="7F9234A0">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4、运输车辆管护</w:t>
      </w:r>
    </w:p>
    <w:p w14:paraId="26F9DDE1">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所有车辆必须持证驾驶、证件齐全、定期年检、保险齐全，必须车容整洁、正常检修、车况良好、密闭运输，运输过程中不得撒落造成二次污染，发生撒落及时清理干净；做好消杀工作，严格做到每天上午10:00左右消杀一次，下午4:00左右消杀一次，视垃圾产量及垃圾成份等具体情况可适当增加消杀次数，严禁苍蝇产生。</w:t>
      </w:r>
    </w:p>
    <w:p w14:paraId="5AC1CF09">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5、清运禁止行为</w:t>
      </w:r>
    </w:p>
    <w:p w14:paraId="5830855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不得接收和收运承包区域以外垃圾，禁止不及时收集，禁止任意倾倒、抛洒或堆放垃圾，禁止焚烧垃圾，禁止运输途中丢弃、遗撒垃圾。</w:t>
      </w:r>
      <w:r>
        <w:rPr>
          <w:rFonts w:hint="eastAsia" w:ascii="华文仿宋" w:hAnsi="华文仿宋" w:eastAsia="华文仿宋" w:cs="华文仿宋"/>
          <w:b/>
          <w:sz w:val="24"/>
          <w:szCs w:val="24"/>
        </w:rPr>
        <w:t>个人不得私自签约收运单位废弃物</w:t>
      </w:r>
      <w:r>
        <w:rPr>
          <w:rFonts w:hint="eastAsia" w:ascii="华文仿宋" w:hAnsi="华文仿宋" w:eastAsia="华文仿宋" w:cs="华文仿宋"/>
          <w:sz w:val="24"/>
          <w:szCs w:val="24"/>
        </w:rPr>
        <w:t>。</w:t>
      </w:r>
    </w:p>
    <w:p w14:paraId="5878BBEA">
      <w:pPr>
        <w:spacing w:line="360" w:lineRule="auto"/>
        <w:ind w:firstLine="505" w:firstLineChars="21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6、垃圾有序分类</w:t>
      </w:r>
    </w:p>
    <w:p w14:paraId="2ACDE144">
      <w:pPr>
        <w:spacing w:line="360" w:lineRule="auto"/>
        <w:ind w:firstLine="504" w:firstLineChars="210"/>
        <w:rPr>
          <w:rFonts w:hint="eastAsia" w:ascii="华文仿宋" w:hAnsi="华文仿宋" w:eastAsia="华文仿宋" w:cs="华文仿宋"/>
          <w:sz w:val="24"/>
          <w:szCs w:val="24"/>
        </w:rPr>
      </w:pPr>
      <w:r>
        <w:rPr>
          <w:rFonts w:hint="eastAsia" w:ascii="华文仿宋" w:hAnsi="华文仿宋" w:eastAsia="华文仿宋" w:cs="华文仿宋"/>
          <w:sz w:val="24"/>
          <w:szCs w:val="24"/>
        </w:rPr>
        <w:t>积极组织人员参与垃圾分类工作，严格按照分类标准有序分类、规范清运。经分类的可腐垃圾要及时清运到专业处理点，其他生活垃圾必须高效送达天楹电厂，生产垃圾、大件废弃物运至甲方指定地点按要求有序堆放或填埋。</w:t>
      </w:r>
    </w:p>
    <w:p w14:paraId="3747BEB4">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（二）道路、桥梁保洁管护</w:t>
      </w:r>
    </w:p>
    <w:p w14:paraId="566BC06D">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Cs/>
          <w:sz w:val="24"/>
          <w:szCs w:val="24"/>
        </w:rPr>
        <w:t>全镇配备25名道路专项管护员，</w:t>
      </w:r>
      <w:r>
        <w:rPr>
          <w:rFonts w:hint="eastAsia" w:ascii="华文仿宋" w:hAnsi="华文仿宋" w:eastAsia="华文仿宋" w:cs="华文仿宋"/>
          <w:b/>
          <w:sz w:val="24"/>
          <w:szCs w:val="24"/>
        </w:rPr>
        <w:t>负责镇域范围道路及其沿线公共区域和桥梁的常态化、全方位、无死角保洁</w:t>
      </w:r>
    </w:p>
    <w:p w14:paraId="7EC208E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1、路面路边保洁要求：</w:t>
      </w:r>
      <w:r>
        <w:rPr>
          <w:rFonts w:hint="eastAsia" w:ascii="华文仿宋" w:hAnsi="华文仿宋" w:eastAsia="华文仿宋" w:cs="华文仿宋"/>
          <w:sz w:val="24"/>
          <w:szCs w:val="24"/>
        </w:rPr>
        <w:t>路面（桥面）干净整洁，无散落垃圾、无堆积抛洒物，路边线杆、墙面上无小广告。</w:t>
      </w:r>
    </w:p>
    <w:p w14:paraId="74DCC16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2、路肩保洁要求：</w:t>
      </w:r>
      <w:r>
        <w:rPr>
          <w:rFonts w:hint="eastAsia" w:ascii="华文仿宋" w:hAnsi="华文仿宋" w:eastAsia="华文仿宋" w:cs="华文仿宋"/>
          <w:sz w:val="24"/>
          <w:szCs w:val="24"/>
        </w:rPr>
        <w:t>路肩边坡及沿线公共区域无散落垃圾、无堆放占用，零星农业生产垃圾、大件垃圾要及时清理。保证路肩(坡)无15cm以上高草现象，不得化除。每年4-11月份的5-13日为割草日，四好农路和大小循环线路年割草不低于10次/年，庄排线道路割草不低于8次/年，路坡割至路田分界沟或路田分界处，割草后的路面及时保洁。及时清理路边2米范围内的加拿大一枝黄花（不含农田及居民场所）。</w:t>
      </w:r>
    </w:p>
    <w:p w14:paraId="53F3DEC9">
      <w:pPr>
        <w:spacing w:line="360" w:lineRule="auto"/>
        <w:ind w:firstLine="480" w:firstLineChars="200"/>
        <w:rPr>
          <w:rFonts w:hint="eastAsia" w:ascii="华文仿宋" w:hAnsi="华文仿宋" w:eastAsia="华文仿宋" w:cs="华文仿宋"/>
          <w:bCs/>
          <w:sz w:val="24"/>
          <w:szCs w:val="24"/>
        </w:rPr>
      </w:pPr>
      <w:r>
        <w:rPr>
          <w:rFonts w:hint="eastAsia" w:ascii="华文仿宋" w:hAnsi="华文仿宋" w:eastAsia="华文仿宋" w:cs="华文仿宋"/>
          <w:b/>
          <w:sz w:val="24"/>
          <w:szCs w:val="24"/>
        </w:rPr>
        <w:t>3、重点路段保洁：</w:t>
      </w:r>
      <w:r>
        <w:rPr>
          <w:rFonts w:hint="eastAsia" w:ascii="华文仿宋" w:hAnsi="华文仿宋" w:eastAsia="华文仿宋" w:cs="华文仿宋"/>
          <w:bCs/>
          <w:sz w:val="24"/>
          <w:szCs w:val="24"/>
        </w:rPr>
        <w:t>新老S334、S222、S221、G328、X203、X111、X257、大白线等国、省、县道路面人流繁忙，充分体现镇容镇貌，在县级保洁的基础上，服务公司必须每天重点进行巡查清理保洁并正常保持干净清洁。</w:t>
      </w:r>
    </w:p>
    <w:p w14:paraId="4DB6AD8B">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（三）河道保洁管护</w:t>
      </w:r>
    </w:p>
    <w:p w14:paraId="742C963E">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负责镇域范围内三、四级河道及其沿线边坡公共区域实行常态化、全方位、无死角保洁。三、四级河道一般按3m、2m设定公共区域，特殊情形另定。</w:t>
      </w:r>
    </w:p>
    <w:p w14:paraId="6D8CC62D">
      <w:pPr>
        <w:numPr>
          <w:ilvl w:val="0"/>
          <w:numId w:val="2"/>
        </w:numPr>
        <w:spacing w:line="360" w:lineRule="auto"/>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明确分工</w:t>
      </w:r>
    </w:p>
    <w:p w14:paraId="4C9B9DB7">
      <w:pPr>
        <w:spacing w:line="360" w:lineRule="auto"/>
        <w:ind w:firstLine="470" w:firstLineChars="196"/>
        <w:rPr>
          <w:rFonts w:hint="eastAsia" w:ascii="华文仿宋" w:hAnsi="华文仿宋" w:eastAsia="华文仿宋" w:cs="华文仿宋"/>
          <w:sz w:val="24"/>
          <w:szCs w:val="24"/>
        </w:rPr>
      </w:pPr>
      <w:r>
        <w:rPr>
          <w:rFonts w:hint="eastAsia" w:ascii="华文仿宋" w:hAnsi="华文仿宋" w:eastAsia="华文仿宋" w:cs="华文仿宋"/>
          <w:sz w:val="24"/>
          <w:szCs w:val="24"/>
        </w:rPr>
        <w:t>所有河道任务分工要明确到人。</w:t>
      </w:r>
    </w:p>
    <w:p w14:paraId="08FE4894">
      <w:pPr>
        <w:spacing w:line="360" w:lineRule="auto"/>
        <w:ind w:firstLine="470" w:firstLineChars="196"/>
        <w:rPr>
          <w:rFonts w:hint="eastAsia" w:ascii="华文仿宋" w:hAnsi="华文仿宋" w:eastAsia="华文仿宋" w:cs="华文仿宋"/>
          <w:sz w:val="24"/>
          <w:szCs w:val="24"/>
        </w:rPr>
      </w:pPr>
      <w:r>
        <w:rPr>
          <w:rFonts w:hint="eastAsia" w:ascii="华文仿宋" w:hAnsi="华文仿宋" w:eastAsia="华文仿宋" w:cs="华文仿宋"/>
          <w:sz w:val="24"/>
          <w:szCs w:val="24"/>
        </w:rPr>
        <w:t>（1）通航的三、四级河河面和河坡的保洁要专人负责，用机动船进行保洁。与如泰运河相通的贯河上选择固定点位设置飘浮物的拦截处和清运点，及时清理清运。</w:t>
      </w:r>
    </w:p>
    <w:p w14:paraId="1E331A1A">
      <w:pPr>
        <w:spacing w:line="360" w:lineRule="auto"/>
        <w:ind w:firstLine="470" w:firstLineChars="196"/>
        <w:rPr>
          <w:rFonts w:hint="eastAsia" w:ascii="华文仿宋" w:hAnsi="华文仿宋" w:eastAsia="华文仿宋" w:cs="华文仿宋"/>
          <w:sz w:val="24"/>
          <w:szCs w:val="24"/>
        </w:rPr>
      </w:pPr>
      <w:r>
        <w:rPr>
          <w:rFonts w:hint="eastAsia" w:ascii="华文仿宋" w:hAnsi="华文仿宋" w:eastAsia="华文仿宋" w:cs="华文仿宋"/>
          <w:sz w:val="24"/>
          <w:szCs w:val="24"/>
        </w:rPr>
        <w:t>（2）不通航的三、四级河道、沟塘、渠道的河坡及河面由河道长效保洁队员和区域保洁员负责，用非机动船进行清理。</w:t>
      </w:r>
    </w:p>
    <w:p w14:paraId="297D241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（3）生态河道的河坡、河面及绿化保洁由河道长效保洁员负责，定期修整河坡草坪，根据河坡绿化的树况及时采取扶正、踏实等措施。</w:t>
      </w:r>
    </w:p>
    <w:p w14:paraId="40DEA5F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（4）生态缓冲区内设计、建设和清理过的河道及泯沟参照生态河标准进行保洁。</w:t>
      </w:r>
    </w:p>
    <w:p w14:paraId="3891576F">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2、人员配备。</w:t>
      </w:r>
      <w:r>
        <w:rPr>
          <w:rFonts w:hint="eastAsia" w:ascii="华文仿宋" w:hAnsi="华文仿宋" w:eastAsia="华文仿宋" w:cs="华文仿宋"/>
          <w:bCs/>
          <w:sz w:val="24"/>
          <w:szCs w:val="24"/>
        </w:rPr>
        <w:t>全镇配备40名河道长效保洁员，分四个组，每组十人，每组设一名组长，负责组织现场保洁作业</w:t>
      </w:r>
      <w:r>
        <w:rPr>
          <w:rFonts w:hint="eastAsia" w:ascii="华文仿宋" w:hAnsi="华文仿宋" w:eastAsia="华文仿宋" w:cs="华文仿宋"/>
          <w:b/>
          <w:sz w:val="24"/>
          <w:szCs w:val="24"/>
        </w:rPr>
        <w:t>。</w:t>
      </w:r>
      <w:r>
        <w:rPr>
          <w:rFonts w:hint="eastAsia" w:ascii="华文仿宋" w:hAnsi="华文仿宋" w:eastAsia="华文仿宋" w:cs="华文仿宋"/>
          <w:sz w:val="24"/>
          <w:szCs w:val="24"/>
        </w:rPr>
        <w:t>机动船配一名船长（驾驶员）和两名保洁员，驾驶员要有相应的上岗证书。非机动船在保洁过程中必须两人以上共同参与，不得单人作业。</w:t>
      </w:r>
    </w:p>
    <w:p w14:paraId="3AD41657">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3、保洁内容</w:t>
      </w:r>
    </w:p>
    <w:p w14:paraId="7569D95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河坡：保持河道的坡岸清洁，河坡及公共区域内无散落飘浮垃圾、无堆积丢弃杂物，等级河道蓝线范围内要无垦坡种植、无杂枝倒树，发现要及时清理。生态河河坡绿化修剪要规范、整洁，河坡草坪可视范围内保持无高草，在3月到11月份每20天割草一次，其他时间根据需要清理。</w:t>
      </w:r>
    </w:p>
    <w:p w14:paraId="78C4320D">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河面：河道水面保持清洁，河面河边及转角等无漂浮垃圾，无水花生、无水葫芦、无大面积浮萍等恶性水生作物，定期清理河面及河坡芦竹和芦苇。每年年初要对镇域范围内所有三、四级河道及生态河道内芦竹和芦苇清理到位，镇五位一体办将于每年1月中旬组织人员专项督查，清理不到位将严格按照《考核细则》重点扣罚。</w:t>
      </w:r>
    </w:p>
    <w:p w14:paraId="19C10D58">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（3）桥头：所有桥头坝梗的周边保持清洁，无垃圾杂物堆积，所有区域无动物尸体。</w:t>
      </w:r>
    </w:p>
    <w:p w14:paraId="1E299CB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（4）泯沟头：泯沟和道路交界处要保持清洁，无垃圾杂物堆积，零星秸秆、破旧家具等要及时清运至各村指定堆场。</w:t>
      </w:r>
    </w:p>
    <w:p w14:paraId="3D6F129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4、保洁频次。</w:t>
      </w:r>
      <w:r>
        <w:rPr>
          <w:rFonts w:hint="eastAsia" w:ascii="华文仿宋" w:hAnsi="华文仿宋" w:eastAsia="华文仿宋" w:cs="华文仿宋"/>
          <w:bCs/>
          <w:sz w:val="24"/>
          <w:szCs w:val="24"/>
        </w:rPr>
        <w:t>河道保洁充分体现镇域环境，服务项目的标准要求相对更高，因此单独列出进行明确。服务</w:t>
      </w:r>
      <w:r>
        <w:rPr>
          <w:rFonts w:hint="eastAsia" w:ascii="华文仿宋" w:hAnsi="华文仿宋" w:eastAsia="华文仿宋" w:cs="华文仿宋"/>
          <w:sz w:val="24"/>
          <w:szCs w:val="24"/>
        </w:rPr>
        <w:t>公司要明确一名主管牵头负责，按河道区域明确分工、落实责任、采取措施，确保河道保洁体系正常运行。</w:t>
      </w:r>
      <w:r>
        <w:rPr>
          <w:rFonts w:hint="eastAsia" w:ascii="华文仿宋" w:hAnsi="华文仿宋" w:eastAsia="华文仿宋" w:cs="华文仿宋"/>
          <w:bCs/>
          <w:sz w:val="24"/>
          <w:szCs w:val="24"/>
        </w:rPr>
        <w:t>河道长效保洁员工作以河道保洁为主，除重大创建活动等不得用于其它项目的保洁。每周一制定本周工作计划交镇五位一体办,镇五位一体办将对工作完成情况进行跟踪督察，无正当理由未及时完成将发出书面整改通知，接通知后规定时间内仍未完成的将严格按照《考核细则》进行重点扣罚。</w:t>
      </w:r>
    </w:p>
    <w:p w14:paraId="692833F1">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（四）绿化保洁管护</w:t>
      </w:r>
    </w:p>
    <w:p w14:paraId="465D9AA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1、全面覆盖。</w:t>
      </w:r>
      <w:r>
        <w:rPr>
          <w:rFonts w:hint="eastAsia" w:ascii="华文仿宋" w:hAnsi="华文仿宋" w:eastAsia="华文仿宋" w:cs="华文仿宋"/>
          <w:sz w:val="24"/>
          <w:szCs w:val="24"/>
        </w:rPr>
        <w:t>明确每条道路、河坡边的绿化保洁责任，把每一棵绿化、每一处草坪的保洁任务明确到具体保洁员。</w:t>
      </w:r>
    </w:p>
    <w:p w14:paraId="1002433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2、日常保洁。</w:t>
      </w:r>
      <w:r>
        <w:rPr>
          <w:rFonts w:hint="eastAsia" w:ascii="华文仿宋" w:hAnsi="华文仿宋" w:eastAsia="华文仿宋" w:cs="华文仿宋"/>
          <w:sz w:val="24"/>
          <w:szCs w:val="24"/>
        </w:rPr>
        <w:t>道路、河坡两侧绿化、草坪正常健壮生长，所有道路(省、县道除外，三个镇区沿街绿化带列入保洁范围)两侧树木每年采取涂白一次。</w:t>
      </w:r>
    </w:p>
    <w:p w14:paraId="41DA8E2B">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3、地面卫生。</w:t>
      </w:r>
      <w:r>
        <w:rPr>
          <w:rFonts w:hint="eastAsia" w:ascii="华文仿宋" w:hAnsi="华文仿宋" w:eastAsia="华文仿宋" w:cs="华文仿宋"/>
          <w:sz w:val="24"/>
          <w:szCs w:val="24"/>
        </w:rPr>
        <w:t>绿化下无高杆及游藤作物、无散落暴露飘浮垃圾、无乱扔乱丢。</w:t>
      </w:r>
    </w:p>
    <w:p w14:paraId="788CEFFE">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4、保洁频次。</w:t>
      </w:r>
      <w:r>
        <w:rPr>
          <w:rFonts w:hint="eastAsia" w:ascii="华文仿宋" w:hAnsi="华文仿宋" w:eastAsia="华文仿宋" w:cs="华文仿宋"/>
          <w:sz w:val="24"/>
          <w:szCs w:val="24"/>
        </w:rPr>
        <w:t>整体面上显眼问题每天</w:t>
      </w:r>
      <w:r>
        <w:rPr>
          <w:rFonts w:hint="eastAsia" w:ascii="华文仿宋" w:hAnsi="华文仿宋" w:eastAsia="华文仿宋" w:cs="华文仿宋"/>
          <w:b/>
          <w:sz w:val="24"/>
          <w:szCs w:val="24"/>
        </w:rPr>
        <w:t>巡查重点</w:t>
      </w:r>
      <w:r>
        <w:rPr>
          <w:rFonts w:hint="eastAsia" w:ascii="华文仿宋" w:hAnsi="华文仿宋" w:eastAsia="华文仿宋" w:cs="华文仿宋"/>
          <w:sz w:val="24"/>
          <w:szCs w:val="24"/>
        </w:rPr>
        <w:t>巡查清理保洁一轮，全面保洁按内容要求控制在2天以内，整体彻底清理保洁一轮。</w:t>
      </w:r>
    </w:p>
    <w:p w14:paraId="51DFE473">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三、三个镇区（含公厕保洁）及新老S334、S222、S221、G328、X203、X111、X257、大白线等沿线重点区域“五位一体”外包服务项目的标准要求</w:t>
      </w:r>
    </w:p>
    <w:p w14:paraId="154BEF50">
      <w:pPr>
        <w:pStyle w:val="224"/>
        <w:spacing w:line="360" w:lineRule="auto"/>
        <w:ind w:left="0"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因重点区域人员密度高，充分体现镇容镇貌，服务项目的标准要求相对更高，因此单独列出进行明确。公司要单独组织队伍进行管理运行，推行机械化作业新模式，降低环卫工人劳动强度，提高工作标准，大幅度改善服务效果，推动镇区等重点区域的卫生水平走在全县前列。</w:t>
      </w:r>
    </w:p>
    <w:p w14:paraId="1D289A3E">
      <w:pPr>
        <w:pStyle w:val="224"/>
        <w:spacing w:line="360" w:lineRule="auto"/>
        <w:ind w:left="0"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机械化作业新模式，可利用洗扫车、洒水车、高压冲洗车等具备不同功能的机械化作业车辆，与电瓶保洁车、人工清扫保洁结合全方位进</w:t>
      </w:r>
      <w:r>
        <w:rPr>
          <w:rFonts w:hint="eastAsia" w:ascii="华文仿宋" w:hAnsi="华文仿宋" w:eastAsia="华文仿宋" w:cs="华文仿宋"/>
          <w:spacing w:val="-10"/>
          <w:sz w:val="24"/>
          <w:szCs w:val="24"/>
        </w:rPr>
        <w:t>行道路清扫保洁作业，最终实现人机有效结合，即以机械化为主，人工保洁为辅，</w:t>
      </w:r>
      <w:r>
        <w:rPr>
          <w:rFonts w:hint="eastAsia" w:ascii="华文仿宋" w:hAnsi="华文仿宋" w:eastAsia="华文仿宋" w:cs="华文仿宋"/>
          <w:sz w:val="24"/>
          <w:szCs w:val="24"/>
        </w:rPr>
        <w:t>而作业能效超越两者自身的“1+1＞2”的高效作业模式。</w:t>
      </w:r>
    </w:p>
    <w:p w14:paraId="39B20F9F">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（一）环卫保洁</w:t>
      </w:r>
    </w:p>
    <w:p w14:paraId="7F0E0B18">
      <w:pPr>
        <w:tabs>
          <w:tab w:val="left" w:pos="6435"/>
        </w:tabs>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sz w:val="24"/>
          <w:szCs w:val="24"/>
        </w:rPr>
        <w:t>1、</w:t>
      </w:r>
      <w:r>
        <w:rPr>
          <w:rFonts w:hint="eastAsia" w:ascii="华文仿宋" w:hAnsi="华文仿宋" w:eastAsia="华文仿宋" w:cs="华文仿宋"/>
          <w:b/>
          <w:sz w:val="24"/>
          <w:szCs w:val="24"/>
        </w:rPr>
        <w:t>保洁范围</w:t>
      </w:r>
    </w:p>
    <w:p w14:paraId="58CC8ABC">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按区域分工负责做好区域内道路、桥梁、公共广场、公共绿地、公共厕所等公共区域、内街巷等保洁工作。</w:t>
      </w:r>
    </w:p>
    <w:p w14:paraId="39F3213E">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2、保洁要求</w:t>
      </w:r>
    </w:p>
    <w:p w14:paraId="3F4F244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①环卫标准：</w:t>
      </w:r>
      <w:r>
        <w:rPr>
          <w:rFonts w:hint="eastAsia" w:ascii="华文仿宋" w:hAnsi="华文仿宋" w:eastAsia="华文仿宋" w:cs="华文仿宋"/>
          <w:sz w:val="24"/>
          <w:szCs w:val="24"/>
        </w:rPr>
        <w:t>桥梁、街道、道路等设施整洁完好，道路和桥梁上设置的隔离墩、防护栏、排水等设施整洁完好。保洁范围内（含路边停放的车辆下方）要达到“六不六净”要求，“六不”指不见积水、不见沉积灰尘、不见纸屑果皮烟头、不漏收垃圾堆、不见牛皮癣、不见杂物；“六净”指路面净、路沿净、人行道净、树桩墙边净、垃圾桶净、雨水斗净。</w:t>
      </w:r>
    </w:p>
    <w:p w14:paraId="5A2FD969">
      <w:pPr>
        <w:spacing w:line="360" w:lineRule="auto"/>
        <w:ind w:firstLine="471" w:firstLineChars="196"/>
        <w:rPr>
          <w:rFonts w:hint="eastAsia" w:ascii="华文仿宋" w:hAnsi="华文仿宋" w:eastAsia="华文仿宋" w:cs="华文仿宋"/>
          <w:sz w:val="24"/>
          <w:szCs w:val="24"/>
        </w:rPr>
      </w:pPr>
      <w:r>
        <w:rPr>
          <w:rFonts w:hint="eastAsia" w:ascii="华文仿宋" w:hAnsi="华文仿宋" w:eastAsia="华文仿宋" w:cs="华文仿宋"/>
          <w:b/>
          <w:sz w:val="24"/>
          <w:szCs w:val="24"/>
        </w:rPr>
        <w:t>②巡管要求：</w:t>
      </w:r>
      <w:r>
        <w:rPr>
          <w:rFonts w:hint="eastAsia" w:ascii="华文仿宋" w:hAnsi="华文仿宋" w:eastAsia="华文仿宋" w:cs="华文仿宋"/>
          <w:sz w:val="24"/>
          <w:szCs w:val="24"/>
        </w:rPr>
        <w:t>发现道路、路牙以及在道路、广场以及其他公共场地设置的交通、电信、邮政、电力、环境卫生、消防、供水、燃气等各类设施出现问题的及时报告。</w:t>
      </w:r>
    </w:p>
    <w:p w14:paraId="78B489A0">
      <w:pPr>
        <w:spacing w:line="360" w:lineRule="auto"/>
        <w:ind w:firstLine="471" w:firstLineChars="196"/>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3、作业频次及时间</w:t>
      </w:r>
    </w:p>
    <w:p w14:paraId="4110C253">
      <w:pPr>
        <w:spacing w:line="360" w:lineRule="auto"/>
        <w:ind w:firstLine="471" w:firstLineChars="196"/>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①机械作业</w:t>
      </w:r>
    </w:p>
    <w:p w14:paraId="3AFBC617">
      <w:pPr>
        <w:spacing w:line="360" w:lineRule="auto"/>
        <w:rPr>
          <w:rFonts w:hint="eastAsia" w:ascii="华文仿宋" w:hAnsi="华文仿宋" w:eastAsia="华文仿宋" w:cs="华文仿宋"/>
          <w:b/>
          <w:sz w:val="24"/>
          <w:szCs w:val="24"/>
        </w:rPr>
      </w:pPr>
    </w:p>
    <w:tbl>
      <w:tblPr>
        <w:tblStyle w:val="36"/>
        <w:tblW w:w="9679" w:type="dxa"/>
        <w:tblInd w:w="5" w:type="dxa"/>
        <w:tblLayout w:type="fixed"/>
        <w:tblCellMar>
          <w:top w:w="0" w:type="dxa"/>
          <w:left w:w="0" w:type="dxa"/>
          <w:bottom w:w="0" w:type="dxa"/>
          <w:right w:w="0" w:type="dxa"/>
        </w:tblCellMar>
      </w:tblPr>
      <w:tblGrid>
        <w:gridCol w:w="1458"/>
        <w:gridCol w:w="1701"/>
        <w:gridCol w:w="1984"/>
        <w:gridCol w:w="1417"/>
        <w:gridCol w:w="1418"/>
        <w:gridCol w:w="1701"/>
      </w:tblGrid>
      <w:tr w14:paraId="330FF721">
        <w:tblPrEx>
          <w:tblCellMar>
            <w:top w:w="0" w:type="dxa"/>
            <w:left w:w="0" w:type="dxa"/>
            <w:bottom w:w="0" w:type="dxa"/>
            <w:right w:w="0" w:type="dxa"/>
          </w:tblCellMar>
        </w:tblPrEx>
        <w:trPr>
          <w:trHeight w:val="466" w:hRule="exact"/>
        </w:trPr>
        <w:tc>
          <w:tcPr>
            <w:tcW w:w="1458" w:type="dxa"/>
            <w:tcBorders>
              <w:top w:val="single" w:color="000000" w:sz="4" w:space="0"/>
              <w:left w:val="single" w:color="000000" w:sz="4" w:space="0"/>
              <w:bottom w:val="single" w:color="auto" w:sz="4" w:space="0"/>
              <w:right w:val="single" w:color="000000" w:sz="4" w:space="0"/>
            </w:tcBorders>
          </w:tcPr>
          <w:p w14:paraId="67EB3552">
            <w:pPr>
              <w:pStyle w:val="211"/>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作业类别</w:t>
            </w:r>
          </w:p>
        </w:tc>
        <w:tc>
          <w:tcPr>
            <w:tcW w:w="1701" w:type="dxa"/>
            <w:tcBorders>
              <w:top w:val="single" w:color="000000" w:sz="4" w:space="0"/>
              <w:left w:val="single" w:color="000000" w:sz="4" w:space="0"/>
              <w:bottom w:val="single" w:color="auto" w:sz="4" w:space="0"/>
              <w:right w:val="single" w:color="000000" w:sz="4" w:space="0"/>
            </w:tcBorders>
          </w:tcPr>
          <w:p w14:paraId="45698A3E">
            <w:pPr>
              <w:pStyle w:val="211"/>
              <w:spacing w:line="360" w:lineRule="auto"/>
              <w:ind w:left="103" w:firstLine="360" w:firstLineChars="150"/>
              <w:rPr>
                <w:rFonts w:hint="eastAsia" w:ascii="华文仿宋" w:hAnsi="华文仿宋" w:eastAsia="华文仿宋" w:cs="华文仿宋"/>
                <w:sz w:val="24"/>
                <w:szCs w:val="24"/>
              </w:rPr>
            </w:pPr>
            <w:r>
              <w:rPr>
                <w:rFonts w:hint="eastAsia" w:ascii="华文仿宋" w:hAnsi="华文仿宋" w:eastAsia="华文仿宋" w:cs="华文仿宋"/>
                <w:sz w:val="24"/>
                <w:szCs w:val="24"/>
              </w:rPr>
              <w:t>车道类型</w:t>
            </w:r>
          </w:p>
        </w:tc>
        <w:tc>
          <w:tcPr>
            <w:tcW w:w="1984" w:type="dxa"/>
            <w:tcBorders>
              <w:top w:val="single" w:color="000000" w:sz="4" w:space="0"/>
              <w:left w:val="single" w:color="000000" w:sz="4" w:space="0"/>
              <w:bottom w:val="single" w:color="auto" w:sz="4" w:space="0"/>
              <w:right w:val="single" w:color="000000" w:sz="4" w:space="0"/>
            </w:tcBorders>
          </w:tcPr>
          <w:p w14:paraId="7CE9453C">
            <w:pPr>
              <w:pStyle w:val="211"/>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洗扫</w:t>
            </w:r>
          </w:p>
        </w:tc>
        <w:tc>
          <w:tcPr>
            <w:tcW w:w="1417" w:type="dxa"/>
            <w:tcBorders>
              <w:top w:val="single" w:color="000000" w:sz="4" w:space="0"/>
              <w:left w:val="single" w:color="000000" w:sz="4" w:space="0"/>
              <w:bottom w:val="single" w:color="auto" w:sz="4" w:space="0"/>
              <w:right w:val="single" w:color="000000" w:sz="4" w:space="0"/>
            </w:tcBorders>
          </w:tcPr>
          <w:p w14:paraId="1C121166">
            <w:pPr>
              <w:pStyle w:val="211"/>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洒水</w:t>
            </w:r>
          </w:p>
        </w:tc>
        <w:tc>
          <w:tcPr>
            <w:tcW w:w="1418" w:type="dxa"/>
            <w:tcBorders>
              <w:top w:val="single" w:color="000000" w:sz="4" w:space="0"/>
              <w:left w:val="single" w:color="000000" w:sz="4" w:space="0"/>
              <w:bottom w:val="single" w:color="auto" w:sz="4" w:space="0"/>
              <w:right w:val="single" w:color="000000" w:sz="4" w:space="0"/>
            </w:tcBorders>
          </w:tcPr>
          <w:p w14:paraId="7C32409B">
            <w:pPr>
              <w:pStyle w:val="211"/>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冲洗</w:t>
            </w:r>
          </w:p>
        </w:tc>
        <w:tc>
          <w:tcPr>
            <w:tcW w:w="1701" w:type="dxa"/>
            <w:tcBorders>
              <w:top w:val="single" w:color="000000" w:sz="4" w:space="0"/>
              <w:left w:val="single" w:color="000000" w:sz="4" w:space="0"/>
              <w:bottom w:val="single" w:color="auto" w:sz="4" w:space="0"/>
              <w:right w:val="single" w:color="000000" w:sz="4" w:space="0"/>
            </w:tcBorders>
          </w:tcPr>
          <w:p w14:paraId="2EE5703F">
            <w:pPr>
              <w:pStyle w:val="211"/>
              <w:tabs>
                <w:tab w:val="left" w:pos="628"/>
              </w:tabs>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备</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t>注</w:t>
            </w:r>
          </w:p>
        </w:tc>
      </w:tr>
      <w:tr w14:paraId="0F0AE7B1">
        <w:tblPrEx>
          <w:tblCellMar>
            <w:top w:w="0" w:type="dxa"/>
            <w:left w:w="0" w:type="dxa"/>
            <w:bottom w:w="0" w:type="dxa"/>
            <w:right w:w="0" w:type="dxa"/>
          </w:tblCellMar>
        </w:tblPrEx>
        <w:trPr>
          <w:trHeight w:val="2490" w:hRule="exact"/>
        </w:trPr>
        <w:tc>
          <w:tcPr>
            <w:tcW w:w="1458" w:type="dxa"/>
            <w:vMerge w:val="restart"/>
            <w:tcBorders>
              <w:top w:val="single" w:color="auto" w:sz="4" w:space="0"/>
              <w:left w:val="single" w:color="auto" w:sz="4" w:space="0"/>
              <w:right w:val="single" w:color="auto" w:sz="4" w:space="0"/>
            </w:tcBorders>
            <w:textDirection w:val="tbRlV"/>
          </w:tcPr>
          <w:p w14:paraId="06888974">
            <w:pPr>
              <w:pStyle w:val="211"/>
              <w:spacing w:line="360" w:lineRule="auto"/>
              <w:ind w:left="103" w:right="84"/>
              <w:rPr>
                <w:rFonts w:hint="eastAsia" w:ascii="华文仿宋" w:hAnsi="华文仿宋" w:eastAsia="华文仿宋" w:cs="华文仿宋"/>
                <w:spacing w:val="13"/>
                <w:sz w:val="24"/>
                <w:szCs w:val="24"/>
              </w:rPr>
            </w:pPr>
          </w:p>
          <w:p w14:paraId="3F0DE029">
            <w:pPr>
              <w:pStyle w:val="211"/>
              <w:spacing w:line="360" w:lineRule="auto"/>
              <w:ind w:left="103" w:right="84"/>
              <w:jc w:val="center"/>
              <w:rPr>
                <w:rFonts w:hint="eastAsia" w:ascii="华文仿宋" w:hAnsi="华文仿宋" w:eastAsia="华文仿宋" w:cs="华文仿宋"/>
                <w:sz w:val="24"/>
                <w:szCs w:val="24"/>
              </w:rPr>
            </w:pPr>
            <w:r>
              <w:rPr>
                <w:rFonts w:hint="eastAsia" w:ascii="华文仿宋" w:hAnsi="华文仿宋" w:eastAsia="华文仿宋" w:cs="华文仿宋"/>
                <w:spacing w:val="13"/>
                <w:sz w:val="24"/>
                <w:szCs w:val="24"/>
              </w:rPr>
              <w:t>机械化作业</w:t>
            </w:r>
          </w:p>
        </w:tc>
        <w:tc>
          <w:tcPr>
            <w:tcW w:w="1701" w:type="dxa"/>
            <w:tcBorders>
              <w:top w:val="single" w:color="auto" w:sz="4" w:space="0"/>
              <w:left w:val="single" w:color="auto" w:sz="4" w:space="0"/>
              <w:bottom w:val="single" w:color="auto" w:sz="4" w:space="0"/>
              <w:right w:val="single" w:color="auto" w:sz="4" w:space="0"/>
            </w:tcBorders>
          </w:tcPr>
          <w:p w14:paraId="125D6781">
            <w:pPr>
              <w:pStyle w:val="211"/>
              <w:spacing w:line="360" w:lineRule="auto"/>
              <w:rPr>
                <w:rFonts w:hint="eastAsia" w:ascii="华文仿宋" w:hAnsi="华文仿宋" w:eastAsia="华文仿宋" w:cs="华文仿宋"/>
                <w:b/>
                <w:bCs/>
                <w:sz w:val="24"/>
                <w:szCs w:val="24"/>
              </w:rPr>
            </w:pPr>
          </w:p>
          <w:p w14:paraId="245874D7">
            <w:pPr>
              <w:pStyle w:val="211"/>
              <w:spacing w:line="360" w:lineRule="auto"/>
              <w:rPr>
                <w:rFonts w:hint="eastAsia" w:ascii="华文仿宋" w:hAnsi="华文仿宋" w:eastAsia="华文仿宋" w:cs="华文仿宋"/>
                <w:bCs/>
                <w:sz w:val="24"/>
                <w:szCs w:val="24"/>
              </w:rPr>
            </w:pPr>
            <w:r>
              <w:rPr>
                <w:rFonts w:hint="eastAsia" w:ascii="华文仿宋" w:hAnsi="华文仿宋" w:eastAsia="华文仿宋" w:cs="华文仿宋"/>
                <w:bCs/>
                <w:sz w:val="24"/>
                <w:szCs w:val="24"/>
              </w:rPr>
              <w:t>集镇区主干道</w:t>
            </w:r>
          </w:p>
        </w:tc>
        <w:tc>
          <w:tcPr>
            <w:tcW w:w="1984" w:type="dxa"/>
            <w:tcBorders>
              <w:top w:val="single" w:color="auto" w:sz="4" w:space="0"/>
              <w:left w:val="single" w:color="auto" w:sz="4" w:space="0"/>
              <w:bottom w:val="single" w:color="auto" w:sz="4" w:space="0"/>
              <w:right w:val="single" w:color="auto" w:sz="4" w:space="0"/>
            </w:tcBorders>
          </w:tcPr>
          <w:p w14:paraId="70871FB0">
            <w:pPr>
              <w:pStyle w:val="211"/>
              <w:spacing w:line="360" w:lineRule="auto"/>
              <w:ind w:right="176" w:firstLine="120" w:firstLineChars="50"/>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2次/日 </w:t>
            </w:r>
          </w:p>
          <w:p w14:paraId="0AD79D00">
            <w:pPr>
              <w:pStyle w:val="211"/>
              <w:spacing w:line="360" w:lineRule="auto"/>
              <w:ind w:left="102" w:right="176"/>
              <w:rPr>
                <w:rFonts w:hint="eastAsia" w:ascii="华文仿宋" w:hAnsi="华文仿宋" w:eastAsia="华文仿宋" w:cs="华文仿宋"/>
                <w:sz w:val="24"/>
                <w:szCs w:val="24"/>
              </w:rPr>
            </w:pPr>
            <w:r>
              <w:rPr>
                <w:rFonts w:hint="eastAsia" w:ascii="华文仿宋" w:hAnsi="华文仿宋" w:eastAsia="华文仿宋" w:cs="华文仿宋"/>
                <w:sz w:val="24"/>
                <w:szCs w:val="24"/>
              </w:rPr>
              <w:t>分别于6:30前、14:30前完成 重点区域增加一次</w:t>
            </w:r>
          </w:p>
        </w:tc>
        <w:tc>
          <w:tcPr>
            <w:tcW w:w="1417" w:type="dxa"/>
            <w:tcBorders>
              <w:top w:val="single" w:color="auto" w:sz="4" w:space="0"/>
              <w:left w:val="single" w:color="auto" w:sz="4" w:space="0"/>
              <w:bottom w:val="single" w:color="auto" w:sz="4" w:space="0"/>
              <w:right w:val="single" w:color="auto" w:sz="4" w:space="0"/>
            </w:tcBorders>
          </w:tcPr>
          <w:p w14:paraId="0CAEB86F">
            <w:pPr>
              <w:pStyle w:val="211"/>
              <w:spacing w:line="360" w:lineRule="auto"/>
              <w:ind w:left="102" w:right="176"/>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1次/日   夏季两次 </w:t>
            </w:r>
            <w:r>
              <w:rPr>
                <w:rFonts w:hint="eastAsia" w:ascii="华文仿宋" w:hAnsi="华文仿宋" w:eastAsia="华文仿宋" w:cs="华文仿宋"/>
                <w:spacing w:val="13"/>
                <w:sz w:val="24"/>
                <w:szCs w:val="24"/>
              </w:rPr>
              <w:t>分别于6时、14时前完成</w:t>
            </w:r>
          </w:p>
        </w:tc>
        <w:tc>
          <w:tcPr>
            <w:tcW w:w="1418" w:type="dxa"/>
            <w:tcBorders>
              <w:top w:val="single" w:color="auto" w:sz="4" w:space="0"/>
              <w:left w:val="single" w:color="auto" w:sz="4" w:space="0"/>
              <w:bottom w:val="single" w:color="auto" w:sz="4" w:space="0"/>
              <w:right w:val="single" w:color="auto" w:sz="4" w:space="0"/>
            </w:tcBorders>
          </w:tcPr>
          <w:p w14:paraId="25E62CFA">
            <w:pPr>
              <w:pStyle w:val="211"/>
              <w:spacing w:line="360" w:lineRule="auto"/>
              <w:ind w:firstLine="120" w:firstLineChars="50"/>
              <w:rPr>
                <w:rFonts w:hint="eastAsia" w:ascii="华文仿宋" w:hAnsi="华文仿宋" w:eastAsia="华文仿宋" w:cs="华文仿宋"/>
                <w:sz w:val="24"/>
                <w:szCs w:val="24"/>
              </w:rPr>
            </w:pPr>
            <w:r>
              <w:rPr>
                <w:rFonts w:hint="eastAsia" w:ascii="华文仿宋" w:hAnsi="华文仿宋" w:eastAsia="华文仿宋" w:cs="华文仿宋"/>
                <w:sz w:val="24"/>
                <w:szCs w:val="24"/>
              </w:rPr>
              <w:t>2次/周</w:t>
            </w:r>
          </w:p>
          <w:p w14:paraId="0A584492">
            <w:pPr>
              <w:pStyle w:val="211"/>
              <w:spacing w:line="360" w:lineRule="auto"/>
              <w:ind w:left="103"/>
              <w:rPr>
                <w:rFonts w:hint="eastAsia" w:ascii="华文仿宋" w:hAnsi="华文仿宋" w:eastAsia="华文仿宋" w:cs="华文仿宋"/>
                <w:sz w:val="24"/>
                <w:szCs w:val="24"/>
              </w:rPr>
            </w:pPr>
            <w:r>
              <w:rPr>
                <w:rFonts w:hint="eastAsia" w:ascii="华文仿宋" w:hAnsi="华文仿宋" w:eastAsia="华文仿宋" w:cs="华文仿宋"/>
                <w:sz w:val="24"/>
                <w:szCs w:val="24"/>
              </w:rPr>
              <w:t>22:00-次日早6:00时段，在机扫作业前进行</w:t>
            </w:r>
          </w:p>
        </w:tc>
        <w:tc>
          <w:tcPr>
            <w:tcW w:w="1701" w:type="dxa"/>
            <w:vMerge w:val="restart"/>
            <w:tcBorders>
              <w:top w:val="single" w:color="auto" w:sz="4" w:space="0"/>
              <w:left w:val="single" w:color="auto" w:sz="4" w:space="0"/>
              <w:bottom w:val="single" w:color="auto" w:sz="4" w:space="0"/>
              <w:right w:val="single" w:color="auto" w:sz="4" w:space="0"/>
            </w:tcBorders>
          </w:tcPr>
          <w:p w14:paraId="774B4F08">
            <w:pPr>
              <w:pStyle w:val="211"/>
              <w:numPr>
                <w:ilvl w:val="0"/>
                <w:numId w:val="3"/>
              </w:numPr>
              <w:spacing w:before="74" w:line="300" w:lineRule="exact"/>
              <w:ind w:left="102" w:right="96"/>
              <w:rPr>
                <w:rFonts w:hint="eastAsia" w:ascii="仿宋" w:hAnsi="仿宋" w:eastAsia="仿宋" w:cs="仿宋"/>
                <w:sz w:val="24"/>
                <w:szCs w:val="24"/>
              </w:rPr>
            </w:pPr>
            <w:r>
              <w:rPr>
                <w:rFonts w:ascii="仿宋" w:hAnsi="仿宋" w:eastAsia="仿宋" w:cs="仿宋"/>
                <w:spacing w:val="9"/>
                <w:sz w:val="24"/>
                <w:szCs w:val="24"/>
              </w:rPr>
              <w:t>普扫时间：</w:t>
            </w:r>
            <w:r>
              <w:rPr>
                <w:rFonts w:hint="eastAsia" w:ascii="仿宋" w:hAnsi="仿宋" w:eastAsia="仿宋" w:cs="仿宋"/>
                <w:spacing w:val="9"/>
                <w:sz w:val="24"/>
                <w:szCs w:val="24"/>
              </w:rPr>
              <w:t>6</w:t>
            </w:r>
            <w:r>
              <w:rPr>
                <w:rFonts w:ascii="仿宋" w:hAnsi="仿宋" w:eastAsia="仿宋" w:cs="仿宋"/>
                <w:spacing w:val="9"/>
                <w:sz w:val="24"/>
                <w:szCs w:val="24"/>
              </w:rPr>
              <w:t>:30</w:t>
            </w:r>
            <w:r>
              <w:rPr>
                <w:rFonts w:ascii="仿宋" w:hAnsi="仿宋" w:eastAsia="仿宋" w:cs="仿宋"/>
                <w:sz w:val="24"/>
                <w:szCs w:val="24"/>
              </w:rPr>
              <w:t>前;</w:t>
            </w:r>
          </w:p>
          <w:p w14:paraId="1F23D660">
            <w:pPr>
              <w:pStyle w:val="211"/>
              <w:numPr>
                <w:ilvl w:val="0"/>
                <w:numId w:val="3"/>
              </w:numPr>
              <w:spacing w:before="74" w:line="300" w:lineRule="exact"/>
              <w:ind w:left="102" w:right="96"/>
              <w:rPr>
                <w:rFonts w:hint="eastAsia" w:ascii="仿宋" w:hAnsi="仿宋" w:eastAsia="仿宋" w:cs="仿宋"/>
                <w:sz w:val="24"/>
                <w:szCs w:val="24"/>
              </w:rPr>
            </w:pPr>
            <w:r>
              <w:rPr>
                <w:rFonts w:ascii="仿宋" w:hAnsi="仿宋" w:eastAsia="仿宋" w:cs="仿宋"/>
                <w:spacing w:val="10"/>
                <w:sz w:val="24"/>
                <w:szCs w:val="24"/>
              </w:rPr>
              <w:t>冬季低于</w:t>
            </w:r>
            <w:r>
              <w:rPr>
                <w:rFonts w:ascii="仿宋" w:hAnsi="仿宋" w:eastAsia="仿宋" w:cs="仿宋"/>
                <w:spacing w:val="13"/>
                <w:sz w:val="24"/>
                <w:szCs w:val="24"/>
              </w:rPr>
              <w:t>2℃冲</w:t>
            </w:r>
            <w:r>
              <w:rPr>
                <w:rFonts w:ascii="仿宋" w:hAnsi="仿宋" w:eastAsia="仿宋" w:cs="仿宋"/>
                <w:sz w:val="24"/>
                <w:szCs w:val="24"/>
              </w:rPr>
              <w:t>洗、洒水进行停止作</w:t>
            </w:r>
            <w:r>
              <w:rPr>
                <w:rFonts w:hint="eastAsia" w:ascii="仿宋" w:hAnsi="仿宋" w:eastAsia="仿宋" w:cs="仿宋"/>
                <w:sz w:val="24"/>
                <w:szCs w:val="24"/>
              </w:rPr>
              <w:t>业；</w:t>
            </w:r>
          </w:p>
          <w:p w14:paraId="3CE3ED14">
            <w:pPr>
              <w:pStyle w:val="211"/>
              <w:spacing w:line="360" w:lineRule="auto"/>
              <w:ind w:right="98" w:firstLine="120" w:firstLineChars="50"/>
              <w:rPr>
                <w:rFonts w:hint="eastAsia" w:ascii="华文仿宋" w:hAnsi="华文仿宋" w:eastAsia="华文仿宋" w:cs="华文仿宋"/>
                <w:sz w:val="24"/>
                <w:szCs w:val="24"/>
              </w:rPr>
            </w:pPr>
            <w:r>
              <w:rPr>
                <w:rFonts w:hint="eastAsia" w:ascii="仿宋" w:hAnsi="仿宋" w:eastAsia="仿宋" w:cs="仿宋"/>
                <w:sz w:val="24"/>
                <w:szCs w:val="24"/>
              </w:rPr>
              <w:t>3、如遇特殊情况各作业类别必需增加频次，确保路牙边无积土。</w:t>
            </w:r>
          </w:p>
        </w:tc>
      </w:tr>
      <w:tr w14:paraId="53FA76D1">
        <w:tblPrEx>
          <w:tblCellMar>
            <w:top w:w="0" w:type="dxa"/>
            <w:left w:w="0" w:type="dxa"/>
            <w:bottom w:w="0" w:type="dxa"/>
            <w:right w:w="0" w:type="dxa"/>
          </w:tblCellMar>
        </w:tblPrEx>
        <w:trPr>
          <w:trHeight w:val="1690" w:hRule="exact"/>
        </w:trPr>
        <w:tc>
          <w:tcPr>
            <w:tcW w:w="1458" w:type="dxa"/>
            <w:vMerge w:val="continue"/>
            <w:tcBorders>
              <w:left w:val="single" w:color="auto" w:sz="4" w:space="0"/>
              <w:bottom w:val="single" w:color="auto" w:sz="4" w:space="0"/>
              <w:right w:val="single" w:color="auto" w:sz="4" w:space="0"/>
            </w:tcBorders>
          </w:tcPr>
          <w:p w14:paraId="30673975">
            <w:pPr>
              <w:pStyle w:val="211"/>
              <w:spacing w:line="360" w:lineRule="auto"/>
              <w:ind w:left="103" w:right="84"/>
              <w:rPr>
                <w:rFonts w:hint="eastAsia" w:ascii="华文仿宋" w:hAnsi="华文仿宋" w:eastAsia="华文仿宋" w:cs="华文仿宋"/>
                <w:spacing w:val="13"/>
                <w:sz w:val="24"/>
                <w:szCs w:val="24"/>
              </w:rPr>
            </w:pPr>
          </w:p>
        </w:tc>
        <w:tc>
          <w:tcPr>
            <w:tcW w:w="1701" w:type="dxa"/>
            <w:tcBorders>
              <w:top w:val="single" w:color="auto" w:sz="4" w:space="0"/>
              <w:left w:val="single" w:color="auto" w:sz="4" w:space="0"/>
              <w:bottom w:val="single" w:color="auto" w:sz="4" w:space="0"/>
              <w:right w:val="single" w:color="auto" w:sz="4" w:space="0"/>
            </w:tcBorders>
          </w:tcPr>
          <w:p w14:paraId="03141446">
            <w:pPr>
              <w:pStyle w:val="211"/>
              <w:spacing w:line="360" w:lineRule="auto"/>
              <w:ind w:left="103" w:right="84"/>
              <w:rPr>
                <w:rFonts w:hint="eastAsia" w:ascii="华文仿宋" w:hAnsi="华文仿宋" w:eastAsia="华文仿宋" w:cs="华文仿宋"/>
                <w:spacing w:val="13"/>
                <w:sz w:val="24"/>
                <w:szCs w:val="24"/>
              </w:rPr>
            </w:pPr>
            <w:r>
              <w:rPr>
                <w:rFonts w:hint="eastAsia" w:ascii="华文仿宋" w:hAnsi="华文仿宋" w:eastAsia="华文仿宋" w:cs="华文仿宋"/>
                <w:spacing w:val="13"/>
                <w:sz w:val="24"/>
                <w:szCs w:val="24"/>
              </w:rPr>
              <w:t>县乡道、过境公路</w:t>
            </w:r>
          </w:p>
        </w:tc>
        <w:tc>
          <w:tcPr>
            <w:tcW w:w="1984" w:type="dxa"/>
            <w:tcBorders>
              <w:top w:val="single" w:color="auto" w:sz="4" w:space="0"/>
              <w:left w:val="single" w:color="auto" w:sz="4" w:space="0"/>
              <w:bottom w:val="single" w:color="auto" w:sz="4" w:space="0"/>
              <w:right w:val="single" w:color="auto" w:sz="4" w:space="0"/>
            </w:tcBorders>
          </w:tcPr>
          <w:p w14:paraId="345A81F2">
            <w:pPr>
              <w:pStyle w:val="211"/>
              <w:spacing w:line="360" w:lineRule="auto"/>
              <w:ind w:left="103" w:right="84"/>
              <w:rPr>
                <w:rFonts w:hint="eastAsia" w:ascii="华文仿宋" w:hAnsi="华文仿宋" w:eastAsia="华文仿宋" w:cs="华文仿宋"/>
                <w:spacing w:val="13"/>
                <w:sz w:val="24"/>
                <w:szCs w:val="24"/>
              </w:rPr>
            </w:pPr>
            <w:r>
              <w:rPr>
                <w:rFonts w:hint="eastAsia" w:ascii="华文仿宋" w:hAnsi="华文仿宋" w:eastAsia="华文仿宋" w:cs="华文仿宋"/>
                <w:sz w:val="24"/>
                <w:szCs w:val="24"/>
              </w:rPr>
              <w:t>2次/周</w:t>
            </w:r>
          </w:p>
        </w:tc>
        <w:tc>
          <w:tcPr>
            <w:tcW w:w="1417" w:type="dxa"/>
            <w:tcBorders>
              <w:top w:val="single" w:color="auto" w:sz="4" w:space="0"/>
              <w:left w:val="single" w:color="auto" w:sz="4" w:space="0"/>
              <w:bottom w:val="single" w:color="auto" w:sz="4" w:space="0"/>
              <w:right w:val="single" w:color="auto" w:sz="4" w:space="0"/>
            </w:tcBorders>
          </w:tcPr>
          <w:p w14:paraId="0F37E375">
            <w:pPr>
              <w:pStyle w:val="211"/>
              <w:spacing w:line="360" w:lineRule="auto"/>
              <w:ind w:left="103" w:right="84"/>
              <w:rPr>
                <w:rFonts w:hint="eastAsia" w:ascii="华文仿宋" w:hAnsi="华文仿宋" w:eastAsia="华文仿宋" w:cs="华文仿宋"/>
                <w:spacing w:val="13"/>
                <w:sz w:val="24"/>
                <w:szCs w:val="24"/>
              </w:rPr>
            </w:pPr>
            <w:r>
              <w:rPr>
                <w:rFonts w:hint="eastAsia" w:ascii="华文仿宋" w:hAnsi="华文仿宋" w:eastAsia="华文仿宋" w:cs="华文仿宋"/>
                <w:sz w:val="24"/>
                <w:szCs w:val="24"/>
              </w:rPr>
              <w:t>2次/周</w:t>
            </w:r>
          </w:p>
        </w:tc>
        <w:tc>
          <w:tcPr>
            <w:tcW w:w="1418" w:type="dxa"/>
            <w:tcBorders>
              <w:top w:val="single" w:color="auto" w:sz="4" w:space="0"/>
              <w:left w:val="single" w:color="auto" w:sz="4" w:space="0"/>
              <w:bottom w:val="single" w:color="auto" w:sz="4" w:space="0"/>
              <w:right w:val="single" w:color="auto" w:sz="4" w:space="0"/>
            </w:tcBorders>
          </w:tcPr>
          <w:p w14:paraId="6E1DAF02">
            <w:pPr>
              <w:pStyle w:val="211"/>
              <w:spacing w:line="360" w:lineRule="auto"/>
              <w:rPr>
                <w:rFonts w:hint="eastAsia" w:ascii="华文仿宋" w:hAnsi="华文仿宋" w:eastAsia="华文仿宋" w:cs="华文仿宋"/>
                <w:b/>
                <w:bCs/>
                <w:sz w:val="24"/>
                <w:szCs w:val="24"/>
              </w:rPr>
            </w:pPr>
            <w:r>
              <w:rPr>
                <w:rFonts w:hint="eastAsia" w:ascii="华文仿宋" w:hAnsi="华文仿宋" w:eastAsia="华文仿宋" w:cs="华文仿宋"/>
                <w:sz w:val="24"/>
                <w:szCs w:val="24"/>
              </w:rPr>
              <w:t>2次/周</w:t>
            </w:r>
          </w:p>
        </w:tc>
        <w:tc>
          <w:tcPr>
            <w:tcW w:w="1701" w:type="dxa"/>
            <w:vMerge w:val="continue"/>
            <w:tcBorders>
              <w:top w:val="single" w:color="auto" w:sz="4" w:space="0"/>
              <w:left w:val="single" w:color="auto" w:sz="4" w:space="0"/>
              <w:bottom w:val="single" w:color="auto" w:sz="4" w:space="0"/>
              <w:right w:val="single" w:color="auto" w:sz="4" w:space="0"/>
            </w:tcBorders>
          </w:tcPr>
          <w:p w14:paraId="03CFBFB7">
            <w:pPr>
              <w:spacing w:line="360" w:lineRule="auto"/>
              <w:rPr>
                <w:rFonts w:hint="eastAsia" w:ascii="华文仿宋" w:hAnsi="华文仿宋" w:eastAsia="华文仿宋" w:cs="华文仿宋"/>
                <w:sz w:val="24"/>
                <w:szCs w:val="24"/>
              </w:rPr>
            </w:pPr>
          </w:p>
        </w:tc>
      </w:tr>
    </w:tbl>
    <w:p w14:paraId="4AAD17A0">
      <w:pPr>
        <w:spacing w:line="360" w:lineRule="auto"/>
        <w:ind w:firstLine="471" w:firstLineChars="196"/>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②人工清扫保洁</w:t>
      </w:r>
    </w:p>
    <w:p w14:paraId="6D703DF2">
      <w:pPr>
        <w:pStyle w:val="224"/>
        <w:spacing w:line="360" w:lineRule="auto"/>
        <w:ind w:left="0"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镇区人工清扫保洁作业内容包括：路沿石杂草清除、漂浮垃圾捡拾、店铺墙边清扫、公交站台清扫、后街里巷清扫、广场清扫、桥梁清扫等。每天不少于8小时作业。5:00-11:00（7点前完成清扫，7:00-8:00轮流吃早饭，确保道路有人），14:00-17:00，学校、超市等人流量大的地段划为重点区域，需增加一次普扫。巡回、检查保洁作业时间：11:00-14:00,17:00-19:00。</w:t>
      </w:r>
    </w:p>
    <w:p w14:paraId="0605718A">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（二）垃圾清运</w:t>
      </w:r>
    </w:p>
    <w:p w14:paraId="19E18218">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1、清运频次：每天上午下午各清运一次，确保及时清运到位，不发生垃圾外溢外露情形。</w:t>
      </w:r>
    </w:p>
    <w:p w14:paraId="7B4886B7">
      <w:pPr>
        <w:pStyle w:val="224"/>
        <w:spacing w:line="360" w:lineRule="auto"/>
        <w:ind w:left="0"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清运要求：对区域道路两侧的垃圾桶、生活小区门口垃圾集中堆放点的垃圾采用后装压缩车直接运至如东天楹环保能源有限公司或镇环境卫生管理中心；对于有物业小区由物业管理人员将垃圾桶定时定点拖至小区集中点，后街里巷由保洁员负责将垃圾运至主干道垃圾集中点，再由后装压缩车进行收运。</w:t>
      </w:r>
    </w:p>
    <w:p w14:paraId="28651CEF">
      <w:pPr>
        <w:pStyle w:val="224"/>
        <w:spacing w:line="360" w:lineRule="auto"/>
        <w:ind w:firstLine="1680" w:firstLineChars="700"/>
        <w:rPr>
          <w:rFonts w:hint="eastAsia" w:ascii="华文仿宋" w:hAnsi="华文仿宋" w:eastAsia="华文仿宋" w:cs="华文仿宋"/>
          <w:sz w:val="24"/>
          <w:szCs w:val="24"/>
        </w:rPr>
      </w:pPr>
      <w:r>
        <w:rPr>
          <w:rFonts w:hint="eastAsia" w:ascii="华文仿宋" w:hAnsi="华文仿宋" w:eastAsia="华文仿宋" w:cs="华文仿宋"/>
          <w:sz w:val="24"/>
          <w:szCs w:val="24"/>
        </w:rPr>
        <w:t xml:space="preserve"> 垃圾收运时间安排表</w:t>
      </w:r>
    </w:p>
    <w:tbl>
      <w:tblPr>
        <w:tblStyle w:val="36"/>
        <w:tblW w:w="6282" w:type="dxa"/>
        <w:tblInd w:w="1268" w:type="dxa"/>
        <w:tblLayout w:type="fixed"/>
        <w:tblCellMar>
          <w:top w:w="0" w:type="dxa"/>
          <w:left w:w="0" w:type="dxa"/>
          <w:bottom w:w="0" w:type="dxa"/>
          <w:right w:w="0" w:type="dxa"/>
        </w:tblCellMar>
      </w:tblPr>
      <w:tblGrid>
        <w:gridCol w:w="1176"/>
        <w:gridCol w:w="2624"/>
        <w:gridCol w:w="2482"/>
      </w:tblGrid>
      <w:tr w14:paraId="28210DEB">
        <w:tblPrEx>
          <w:tblCellMar>
            <w:top w:w="0" w:type="dxa"/>
            <w:left w:w="0" w:type="dxa"/>
            <w:bottom w:w="0" w:type="dxa"/>
            <w:right w:w="0" w:type="dxa"/>
          </w:tblCellMar>
        </w:tblPrEx>
        <w:trPr>
          <w:trHeight w:val="553" w:hRule="exact"/>
        </w:trPr>
        <w:tc>
          <w:tcPr>
            <w:tcW w:w="1176" w:type="dxa"/>
            <w:tcBorders>
              <w:top w:val="single" w:color="000000" w:sz="4" w:space="0"/>
              <w:left w:val="single" w:color="000000" w:sz="4" w:space="0"/>
              <w:bottom w:val="single" w:color="000000" w:sz="4" w:space="0"/>
              <w:right w:val="single" w:color="000000" w:sz="4" w:space="0"/>
            </w:tcBorders>
          </w:tcPr>
          <w:p w14:paraId="4A13B971">
            <w:pPr>
              <w:pStyle w:val="211"/>
              <w:spacing w:line="360" w:lineRule="auto"/>
              <w:ind w:left="362"/>
              <w:rPr>
                <w:rFonts w:hint="eastAsia" w:ascii="华文仿宋" w:hAnsi="华文仿宋" w:eastAsia="华文仿宋" w:cs="华文仿宋"/>
                <w:sz w:val="24"/>
                <w:szCs w:val="24"/>
              </w:rPr>
            </w:pPr>
            <w:r>
              <w:rPr>
                <w:rFonts w:hint="eastAsia" w:ascii="华文仿宋" w:hAnsi="华文仿宋" w:eastAsia="华文仿宋" w:cs="华文仿宋"/>
                <w:b/>
                <w:bCs/>
                <w:sz w:val="24"/>
                <w:szCs w:val="24"/>
              </w:rPr>
              <w:t>序号</w:t>
            </w:r>
          </w:p>
        </w:tc>
        <w:tc>
          <w:tcPr>
            <w:tcW w:w="2624" w:type="dxa"/>
            <w:tcBorders>
              <w:top w:val="single" w:color="000000" w:sz="4" w:space="0"/>
              <w:left w:val="single" w:color="000000" w:sz="4" w:space="0"/>
              <w:bottom w:val="single" w:color="000000" w:sz="4" w:space="0"/>
              <w:right w:val="single" w:color="000000" w:sz="4" w:space="0"/>
            </w:tcBorders>
          </w:tcPr>
          <w:p w14:paraId="71BDFBDD">
            <w:pPr>
              <w:pStyle w:val="211"/>
              <w:spacing w:line="360" w:lineRule="auto"/>
              <w:ind w:left="864"/>
              <w:rPr>
                <w:rFonts w:hint="eastAsia" w:ascii="华文仿宋" w:hAnsi="华文仿宋" w:eastAsia="华文仿宋" w:cs="华文仿宋"/>
                <w:sz w:val="24"/>
                <w:szCs w:val="24"/>
              </w:rPr>
            </w:pPr>
            <w:r>
              <w:rPr>
                <w:rFonts w:hint="eastAsia" w:ascii="华文仿宋" w:hAnsi="华文仿宋" w:eastAsia="华文仿宋" w:cs="华文仿宋"/>
                <w:b/>
                <w:bCs/>
                <w:sz w:val="24"/>
                <w:szCs w:val="24"/>
              </w:rPr>
              <w:t>作业内容</w:t>
            </w:r>
          </w:p>
        </w:tc>
        <w:tc>
          <w:tcPr>
            <w:tcW w:w="2482" w:type="dxa"/>
            <w:tcBorders>
              <w:top w:val="single" w:color="000000" w:sz="4" w:space="0"/>
              <w:left w:val="single" w:color="000000" w:sz="4" w:space="0"/>
              <w:bottom w:val="single" w:color="000000" w:sz="4" w:space="0"/>
              <w:right w:val="single" w:color="000000" w:sz="4" w:space="0"/>
            </w:tcBorders>
          </w:tcPr>
          <w:p w14:paraId="207448FE">
            <w:pPr>
              <w:pStyle w:val="211"/>
              <w:spacing w:line="360" w:lineRule="auto"/>
              <w:ind w:left="794"/>
              <w:rPr>
                <w:rFonts w:hint="eastAsia" w:ascii="华文仿宋" w:hAnsi="华文仿宋" w:eastAsia="华文仿宋" w:cs="华文仿宋"/>
                <w:sz w:val="24"/>
                <w:szCs w:val="24"/>
              </w:rPr>
            </w:pPr>
            <w:r>
              <w:rPr>
                <w:rFonts w:hint="eastAsia" w:ascii="华文仿宋" w:hAnsi="华文仿宋" w:eastAsia="华文仿宋" w:cs="华文仿宋"/>
                <w:b/>
                <w:bCs/>
                <w:sz w:val="24"/>
                <w:szCs w:val="24"/>
              </w:rPr>
              <w:t>作业时间</w:t>
            </w:r>
          </w:p>
        </w:tc>
      </w:tr>
      <w:tr w14:paraId="488EA6B6">
        <w:tblPrEx>
          <w:tblCellMar>
            <w:top w:w="0" w:type="dxa"/>
            <w:left w:w="0" w:type="dxa"/>
            <w:bottom w:w="0" w:type="dxa"/>
            <w:right w:w="0" w:type="dxa"/>
          </w:tblCellMar>
        </w:tblPrEx>
        <w:trPr>
          <w:trHeight w:val="561" w:hRule="exact"/>
        </w:trPr>
        <w:tc>
          <w:tcPr>
            <w:tcW w:w="1176" w:type="dxa"/>
            <w:tcBorders>
              <w:top w:val="single" w:color="000000" w:sz="4" w:space="0"/>
              <w:left w:val="single" w:color="000000" w:sz="4" w:space="0"/>
              <w:bottom w:val="single" w:color="000000" w:sz="4" w:space="0"/>
              <w:right w:val="single" w:color="000000" w:sz="4" w:space="0"/>
            </w:tcBorders>
          </w:tcPr>
          <w:p w14:paraId="171FBB74">
            <w:pPr>
              <w:pStyle w:val="211"/>
              <w:spacing w:line="360" w:lineRule="auto"/>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1</w:t>
            </w:r>
          </w:p>
        </w:tc>
        <w:tc>
          <w:tcPr>
            <w:tcW w:w="2624" w:type="dxa"/>
            <w:tcBorders>
              <w:top w:val="single" w:color="000000" w:sz="4" w:space="0"/>
              <w:left w:val="single" w:color="000000" w:sz="4" w:space="0"/>
              <w:bottom w:val="single" w:color="000000" w:sz="4" w:space="0"/>
              <w:right w:val="single" w:color="000000" w:sz="4" w:space="0"/>
            </w:tcBorders>
          </w:tcPr>
          <w:p w14:paraId="376704C4">
            <w:pPr>
              <w:pStyle w:val="211"/>
              <w:spacing w:line="360" w:lineRule="auto"/>
              <w:ind w:left="535"/>
              <w:rPr>
                <w:rFonts w:hint="eastAsia" w:ascii="华文仿宋" w:hAnsi="华文仿宋" w:eastAsia="华文仿宋" w:cs="华文仿宋"/>
                <w:sz w:val="24"/>
                <w:szCs w:val="24"/>
              </w:rPr>
            </w:pPr>
            <w:r>
              <w:rPr>
                <w:rFonts w:hint="eastAsia" w:ascii="华文仿宋" w:hAnsi="华文仿宋" w:eastAsia="华文仿宋" w:cs="华文仿宋"/>
                <w:sz w:val="24"/>
                <w:szCs w:val="24"/>
              </w:rPr>
              <w:t>收运（第一次）</w:t>
            </w:r>
          </w:p>
        </w:tc>
        <w:tc>
          <w:tcPr>
            <w:tcW w:w="2482" w:type="dxa"/>
            <w:tcBorders>
              <w:top w:val="single" w:color="000000" w:sz="4" w:space="0"/>
              <w:left w:val="single" w:color="000000" w:sz="4" w:space="0"/>
              <w:bottom w:val="single" w:color="000000" w:sz="4" w:space="0"/>
              <w:right w:val="single" w:color="000000" w:sz="4" w:space="0"/>
            </w:tcBorders>
          </w:tcPr>
          <w:p w14:paraId="062EB2D1">
            <w:pPr>
              <w:pStyle w:val="211"/>
              <w:spacing w:line="360" w:lineRule="auto"/>
              <w:ind w:left="631"/>
              <w:rPr>
                <w:rFonts w:hint="eastAsia" w:ascii="华文仿宋" w:hAnsi="华文仿宋" w:eastAsia="华文仿宋" w:cs="华文仿宋"/>
                <w:sz w:val="24"/>
                <w:szCs w:val="24"/>
              </w:rPr>
            </w:pPr>
            <w:r>
              <w:rPr>
                <w:rFonts w:hint="eastAsia" w:ascii="华文仿宋" w:hAnsi="华文仿宋" w:eastAsia="华文仿宋" w:cs="华文仿宋"/>
                <w:sz w:val="24"/>
                <w:szCs w:val="24"/>
              </w:rPr>
              <w:t>04:00-09:00</w:t>
            </w:r>
          </w:p>
        </w:tc>
      </w:tr>
      <w:tr w14:paraId="0CE25BFD">
        <w:tblPrEx>
          <w:tblCellMar>
            <w:top w:w="0" w:type="dxa"/>
            <w:left w:w="0" w:type="dxa"/>
            <w:bottom w:w="0" w:type="dxa"/>
            <w:right w:w="0" w:type="dxa"/>
          </w:tblCellMar>
        </w:tblPrEx>
        <w:trPr>
          <w:trHeight w:val="555" w:hRule="exact"/>
        </w:trPr>
        <w:tc>
          <w:tcPr>
            <w:tcW w:w="1176" w:type="dxa"/>
            <w:tcBorders>
              <w:top w:val="single" w:color="000000" w:sz="4" w:space="0"/>
              <w:left w:val="single" w:color="000000" w:sz="4" w:space="0"/>
              <w:bottom w:val="single" w:color="000000" w:sz="4" w:space="0"/>
              <w:right w:val="single" w:color="000000" w:sz="4" w:space="0"/>
            </w:tcBorders>
          </w:tcPr>
          <w:p w14:paraId="239E6318">
            <w:pPr>
              <w:pStyle w:val="211"/>
              <w:spacing w:line="360" w:lineRule="auto"/>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2</w:t>
            </w:r>
          </w:p>
        </w:tc>
        <w:tc>
          <w:tcPr>
            <w:tcW w:w="2624" w:type="dxa"/>
            <w:tcBorders>
              <w:top w:val="single" w:color="000000" w:sz="4" w:space="0"/>
              <w:left w:val="single" w:color="000000" w:sz="4" w:space="0"/>
              <w:bottom w:val="single" w:color="000000" w:sz="4" w:space="0"/>
              <w:right w:val="single" w:color="000000" w:sz="4" w:space="0"/>
            </w:tcBorders>
          </w:tcPr>
          <w:p w14:paraId="0E4C546E">
            <w:pPr>
              <w:pStyle w:val="211"/>
              <w:spacing w:line="360" w:lineRule="auto"/>
              <w:ind w:left="535"/>
              <w:rPr>
                <w:rFonts w:hint="eastAsia" w:ascii="华文仿宋" w:hAnsi="华文仿宋" w:eastAsia="华文仿宋" w:cs="华文仿宋"/>
                <w:sz w:val="24"/>
                <w:szCs w:val="24"/>
              </w:rPr>
            </w:pPr>
            <w:r>
              <w:rPr>
                <w:rFonts w:hint="eastAsia" w:ascii="华文仿宋" w:hAnsi="华文仿宋" w:eastAsia="华文仿宋" w:cs="华文仿宋"/>
                <w:sz w:val="24"/>
                <w:szCs w:val="24"/>
              </w:rPr>
              <w:t>收运（第二次）</w:t>
            </w:r>
          </w:p>
        </w:tc>
        <w:tc>
          <w:tcPr>
            <w:tcW w:w="2482" w:type="dxa"/>
            <w:tcBorders>
              <w:top w:val="single" w:color="000000" w:sz="4" w:space="0"/>
              <w:left w:val="single" w:color="000000" w:sz="4" w:space="0"/>
              <w:bottom w:val="single" w:color="000000" w:sz="4" w:space="0"/>
              <w:right w:val="single" w:color="000000" w:sz="4" w:space="0"/>
            </w:tcBorders>
          </w:tcPr>
          <w:p w14:paraId="214FC918">
            <w:pPr>
              <w:pStyle w:val="211"/>
              <w:spacing w:line="360" w:lineRule="auto"/>
              <w:ind w:left="631"/>
              <w:rPr>
                <w:rFonts w:hint="eastAsia" w:ascii="华文仿宋" w:hAnsi="华文仿宋" w:eastAsia="华文仿宋" w:cs="华文仿宋"/>
                <w:sz w:val="24"/>
                <w:szCs w:val="24"/>
              </w:rPr>
            </w:pPr>
            <w:r>
              <w:rPr>
                <w:rFonts w:hint="eastAsia" w:ascii="华文仿宋" w:hAnsi="华文仿宋" w:eastAsia="华文仿宋" w:cs="华文仿宋"/>
                <w:sz w:val="24"/>
                <w:szCs w:val="24"/>
              </w:rPr>
              <w:t>14:00-16:00</w:t>
            </w:r>
          </w:p>
        </w:tc>
      </w:tr>
      <w:tr w14:paraId="5D7CDBA7">
        <w:tblPrEx>
          <w:tblCellMar>
            <w:top w:w="0" w:type="dxa"/>
            <w:left w:w="0" w:type="dxa"/>
            <w:bottom w:w="0" w:type="dxa"/>
            <w:right w:w="0" w:type="dxa"/>
          </w:tblCellMar>
        </w:tblPrEx>
        <w:trPr>
          <w:trHeight w:val="437" w:hRule="exact"/>
        </w:trPr>
        <w:tc>
          <w:tcPr>
            <w:tcW w:w="1176" w:type="dxa"/>
            <w:tcBorders>
              <w:top w:val="single" w:color="000000" w:sz="4" w:space="0"/>
              <w:left w:val="single" w:color="000000" w:sz="4" w:space="0"/>
              <w:bottom w:val="single" w:color="000000" w:sz="4" w:space="0"/>
              <w:right w:val="single" w:color="000000" w:sz="4" w:space="0"/>
            </w:tcBorders>
          </w:tcPr>
          <w:p w14:paraId="62EFAA36">
            <w:pPr>
              <w:pStyle w:val="211"/>
              <w:spacing w:line="360" w:lineRule="auto"/>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3</w:t>
            </w:r>
          </w:p>
        </w:tc>
        <w:tc>
          <w:tcPr>
            <w:tcW w:w="2624" w:type="dxa"/>
            <w:tcBorders>
              <w:top w:val="single" w:color="000000" w:sz="4" w:space="0"/>
              <w:left w:val="single" w:color="000000" w:sz="4" w:space="0"/>
              <w:bottom w:val="single" w:color="000000" w:sz="4" w:space="0"/>
              <w:right w:val="single" w:color="000000" w:sz="4" w:space="0"/>
            </w:tcBorders>
          </w:tcPr>
          <w:p w14:paraId="1F61C764">
            <w:pPr>
              <w:pStyle w:val="211"/>
              <w:spacing w:line="360" w:lineRule="auto"/>
              <w:ind w:left="867"/>
              <w:rPr>
                <w:rFonts w:hint="eastAsia" w:ascii="华文仿宋" w:hAnsi="华文仿宋" w:eastAsia="华文仿宋" w:cs="华文仿宋"/>
                <w:sz w:val="24"/>
                <w:szCs w:val="24"/>
              </w:rPr>
            </w:pPr>
            <w:r>
              <w:rPr>
                <w:rFonts w:hint="eastAsia" w:ascii="华文仿宋" w:hAnsi="华文仿宋" w:eastAsia="华文仿宋" w:cs="华文仿宋"/>
                <w:sz w:val="24"/>
                <w:szCs w:val="24"/>
              </w:rPr>
              <w:t>巡回收集</w:t>
            </w:r>
          </w:p>
        </w:tc>
        <w:tc>
          <w:tcPr>
            <w:tcW w:w="2482" w:type="dxa"/>
            <w:tcBorders>
              <w:top w:val="single" w:color="000000" w:sz="4" w:space="0"/>
              <w:left w:val="single" w:color="000000" w:sz="4" w:space="0"/>
              <w:bottom w:val="single" w:color="000000" w:sz="4" w:space="0"/>
              <w:right w:val="single" w:color="000000" w:sz="4" w:space="0"/>
            </w:tcBorders>
          </w:tcPr>
          <w:p w14:paraId="052AFEC7">
            <w:pPr>
              <w:pStyle w:val="211"/>
              <w:spacing w:line="360" w:lineRule="auto"/>
              <w:ind w:left="686"/>
              <w:rPr>
                <w:rFonts w:hint="eastAsia" w:ascii="华文仿宋" w:hAnsi="华文仿宋" w:eastAsia="华文仿宋" w:cs="华文仿宋"/>
                <w:sz w:val="24"/>
                <w:szCs w:val="24"/>
              </w:rPr>
            </w:pPr>
            <w:r>
              <w:rPr>
                <w:rFonts w:hint="eastAsia" w:ascii="华文仿宋" w:hAnsi="华文仿宋" w:eastAsia="华文仿宋" w:cs="华文仿宋"/>
                <w:sz w:val="24"/>
                <w:szCs w:val="24"/>
              </w:rPr>
              <w:t>8:00-17:00</w:t>
            </w:r>
          </w:p>
        </w:tc>
      </w:tr>
    </w:tbl>
    <w:p w14:paraId="1A037AD3">
      <w:pPr>
        <w:pStyle w:val="224"/>
        <w:spacing w:line="360" w:lineRule="auto"/>
        <w:ind w:firstLine="640"/>
        <w:rPr>
          <w:rFonts w:hint="eastAsia" w:ascii="华文仿宋" w:hAnsi="华文仿宋" w:eastAsia="华文仿宋" w:cs="华文仿宋"/>
          <w:sz w:val="24"/>
          <w:szCs w:val="24"/>
        </w:rPr>
      </w:pPr>
    </w:p>
    <w:p w14:paraId="128BAC6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分类处置：建筑垃圾、工程渣土、修缮装修垃圾等不得混入生活垃圾堆放到指定的地点；工业固体废、医疗废物以及其他易燃、易爆、剧毒、放射性等有毒有害废弃物，应当按照国家有关规定单独收集、运输、处置，禁止混入城市生活垃圾，发现外来此类废弃物应依法处置。</w:t>
      </w:r>
    </w:p>
    <w:p w14:paraId="13608970">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（三）公厕保洁</w:t>
      </w:r>
    </w:p>
    <w:p w14:paraId="798547C1">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sz w:val="24"/>
          <w:szCs w:val="24"/>
        </w:rPr>
        <w:t>必须做到“六无六净”。“六无”即无纸屑、无污迹、无堵塞、无积水、无蛆蝇、无积尘；“六净”即地面净、墙壁净、门窗净、蹲位净、隔板净、周围净。</w:t>
      </w:r>
    </w:p>
    <w:p w14:paraId="091EAE8D">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1、地面：安排专人全天候保洁，地面上午下午各间隔打扫2次，总的不少于4次，要保持内部清爽无水渍。</w:t>
      </w:r>
    </w:p>
    <w:p w14:paraId="791B1F6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2、墙面：水池、墙面、板面和隐蔽部位每天清理2次，必须做到无污迹、无蜘蛛、无蛆虫、无黄斑、无小广告、无杂物等，保持卫生清洁空气清香。</w:t>
      </w:r>
    </w:p>
    <w:p w14:paraId="208FA30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3、外部：厕所外部周边无杂物杂草，无垃圾。</w:t>
      </w:r>
    </w:p>
    <w:p w14:paraId="416D446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4、清运：负责清掏粪便的应当及时清掏，不得出现外溢情形；应当密闭运输并倾倒指定消纳场所，不得随意倾倒污染环境。</w:t>
      </w:r>
    </w:p>
    <w:p w14:paraId="17E580CE">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5、消毒：每天上午对公厕内部空间进行一次有效消毒。</w:t>
      </w:r>
    </w:p>
    <w:p w14:paraId="5A8B1575">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6、记录：保洁人员每次打扫要求记录，片长每天进行检查要有评价记录。</w:t>
      </w:r>
    </w:p>
    <w:p w14:paraId="24C3134E">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（四）其它方面</w:t>
      </w:r>
    </w:p>
    <w:p w14:paraId="6AC85D18">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sz w:val="24"/>
          <w:szCs w:val="24"/>
        </w:rPr>
        <w:t>1、里巷保洁：里巷道路及时保洁，做到无垃圾积存，每周一集中巡回清理杂物一次。</w:t>
      </w:r>
    </w:p>
    <w:p w14:paraId="23A83FAE">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垃圾收集设施：清运后将垃圾桶摆放到位，尤其是四分类垃圾桶要严格按照标识进行归位，垃圾桶每周机械冲洗、擦洗1次，每日人工擦洗一次，做到随脏随擦。每天将四分类垃圾收集亭保洁一次，做到无污渍、无小广告。如发现收集亭有任何损坏问题及时上报公司或镇五位一体办公室。</w:t>
      </w:r>
    </w:p>
    <w:p w14:paraId="089FC7A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3、市政设施保洁：公交站台（牌）、公益宣传栏、护栏等设施每天保洁一次，做到无污渍、无小广告。</w:t>
      </w:r>
    </w:p>
    <w:p w14:paraId="74BB62E0">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sz w:val="24"/>
          <w:szCs w:val="24"/>
        </w:rPr>
        <w:t>4、绿化保洁：绿化带内无垃圾、周边无杂物，及时清除杂草、治虫、清理爬藤作物等；每年3-4月对树木剥芽一次，夏季、冬季各修剪一次；草坪在4-10月份每20天割草一次，其他时间根据需要清理，对乔木、灌木的修剪要根据其具体高度及形状。</w:t>
      </w:r>
    </w:p>
    <w:p w14:paraId="53CD2C53">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四、环境卫生管理中心和易腐垃圾处置中心的运营和维护</w:t>
      </w:r>
    </w:p>
    <w:p w14:paraId="012A5D39">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（一）生活垃圾中转</w:t>
      </w:r>
    </w:p>
    <w:p w14:paraId="51470ADB">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1、服务公司负责制定垃圾中转实施方案，保证垃圾运至环境卫生管理中心时有序倒放，不拥堵、无乱倒现象。</w:t>
      </w:r>
    </w:p>
    <w:p w14:paraId="2D78416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2、转运垃圾需全部倒入压缩箱内，不得堆放在地面，倒放过程中出现漏滴时，要第一时间进行处理，确保地面随时干净。</w:t>
      </w:r>
    </w:p>
    <w:p w14:paraId="797233E1">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3、垃圾压缩箱装满后应及时通知驾驶人员运走，不得将装满的箱体压缩后放置于环境卫生管理中心内不处理。</w:t>
      </w:r>
    </w:p>
    <w:p w14:paraId="2D3D3DAB">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4、垃圾压缩过程中产生的渗滤液要及时排放到收集池内，不得污染地面卫生。</w:t>
      </w:r>
    </w:p>
    <w:p w14:paraId="21739793">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(二)垃圾运输</w:t>
      </w:r>
    </w:p>
    <w:p w14:paraId="6A8A9CB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1、垃圾装满后及时清运。</w:t>
      </w:r>
    </w:p>
    <w:p w14:paraId="62AA3EA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2、转运车辆驶离环境卫生管理中心时，必须对车辆（包括箱体）进行冲洗干净后，方可离场；要确保车辆干净、整洁。</w:t>
      </w:r>
    </w:p>
    <w:p w14:paraId="3831FB96">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3、垃圾计量应真实、准确，不得弄虚作假。</w:t>
      </w:r>
    </w:p>
    <w:p w14:paraId="708D737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4、垃圾运输车辆停放时应摆放整齐，车身干净、整洁、无臭味，不得影响环境卫生管理中心容貌或周边环境。</w:t>
      </w:r>
    </w:p>
    <w:p w14:paraId="7D92C0F7">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（三）环境卫生管理中心管理</w:t>
      </w:r>
    </w:p>
    <w:p w14:paraId="0201BAF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1、环境卫生管理中心必须保持24小时有人值班（安排食宿），严禁脱岗等无人管理现象发生。</w:t>
      </w:r>
    </w:p>
    <w:p w14:paraId="176D8918">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2、中心随时清洗，掉落的垃圾及时清理倒入垃圾压缩箱内，保持站场卫生良好。</w:t>
      </w:r>
    </w:p>
    <w:p w14:paraId="60311385">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3、做好中心卫生消杀、防虫、防疫等工作。</w:t>
      </w:r>
    </w:p>
    <w:p w14:paraId="55C6AFD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4、严格按照操作设备规范进行操作，严禁违规使用，杜绝安全事故发生。</w:t>
      </w:r>
    </w:p>
    <w:p w14:paraId="4254420A">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5、值班室保持规范、整洁、卫生，物品有序堆放。</w:t>
      </w:r>
    </w:p>
    <w:p w14:paraId="3576544C">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6、环境卫生管理中心场内严禁出现拾荒人员，严禁中心内堆放废旧回收杂物。</w:t>
      </w:r>
    </w:p>
    <w:p w14:paraId="178CB936">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（四）污水处理</w:t>
      </w:r>
    </w:p>
    <w:p w14:paraId="0CA9F8AE">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1、因垃圾压缩过程中会产生大量渗滤液和污水，严禁直接将污水排入附近的河流、水域和土地内。</w:t>
      </w:r>
    </w:p>
    <w:p w14:paraId="6FB5D731">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2、压缩过程中产生的垃圾渗滤液需及时通知转运部门运送至指定地点处理。</w:t>
      </w:r>
    </w:p>
    <w:p w14:paraId="2E0D648B">
      <w:pPr>
        <w:spacing w:line="360" w:lineRule="auto"/>
        <w:ind w:firstLine="480" w:firstLineChars="200"/>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t>（五）内部管理要求</w:t>
      </w:r>
    </w:p>
    <w:p w14:paraId="52D6F825">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1、建立严格的内部管理制度，包括作业标准、作业流程、安全作业措施及制度、应急工作预案等，中心负责人在服务过程中应当建立相应的工作日志、操作记录等，镇五位一体办定期抽查并提出整改意见。</w:t>
      </w:r>
    </w:p>
    <w:p w14:paraId="1BFA8081">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（2）所有员工统一着装，佩带安全帽，安全作业，操作人员在服务过程中，须合理使用环境卫生管理中心设施设备，定期维护保养，如因工作人员原因造成毁（损）坏的，则由承包方担全部赔偿责任。</w:t>
      </w:r>
    </w:p>
    <w:p w14:paraId="74209F44">
      <w:pPr>
        <w:spacing w:line="360" w:lineRule="auto"/>
        <w:ind w:firstLine="601" w:firstLineChars="25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五、公司管理运行要求</w:t>
      </w:r>
    </w:p>
    <w:p w14:paraId="228ADBB5">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服务公司是政府购买服务，代表政府为辖区内群众做好环境卫保洁服务的。公司要通过宣传教育强化为民情怀、提升服务意识，推动每名工作人员做好环境卫生服务；通过加强内部管理、深入沟通交流，引导每名工作人员高标准完成任务，赢得群众理解和口碑，形成浓厚的共建、共管、共创、共爱的保洁氛围。镇“五位一体”办对管理运行中具体的问题将以书面交办单形式要求公司落实整改。</w:t>
      </w:r>
    </w:p>
    <w:p w14:paraId="441B66BA">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（一）人员岗位的配备管理</w:t>
      </w:r>
    </w:p>
    <w:p w14:paraId="6A40BB58">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充足的工作人员是高质量完成服务任务的关键前提，公司实际用工人数以镇测算人员数为准，不得比测算标准减少、用工质量不得比要求标准降低，必须按镇测算人数和标准配足配齐，负责管理运行和全域保洁。</w:t>
      </w:r>
    </w:p>
    <w:p w14:paraId="50600DA3">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1、岗位配备。</w:t>
      </w:r>
    </w:p>
    <w:p w14:paraId="0FF80AEC">
      <w:pPr>
        <w:spacing w:line="360" w:lineRule="auto"/>
        <w:ind w:firstLine="480" w:firstLineChars="200"/>
        <w:outlineLvl w:val="0"/>
        <w:rPr>
          <w:rFonts w:hint="eastAsia" w:ascii="华文仿宋" w:hAnsi="华文仿宋" w:eastAsia="华文仿宋" w:cs="华文仿宋"/>
          <w:i/>
          <w:iCs/>
          <w:sz w:val="24"/>
          <w:szCs w:val="24"/>
          <w:u w:val="single"/>
        </w:rPr>
      </w:pPr>
      <w:r>
        <w:rPr>
          <w:rFonts w:hint="eastAsia" w:ascii="华文仿宋" w:hAnsi="华文仿宋" w:eastAsia="华文仿宋" w:cs="华文仿宋"/>
          <w:i/>
          <w:iCs/>
          <w:sz w:val="24"/>
          <w:szCs w:val="24"/>
          <w:u w:val="single"/>
        </w:rPr>
        <w:t>结合全镇实际，公司必须按要求进行设岗管理，正常在镇范围内从事运行管理岗位具体有：公司法人（或授权驻镇总经理）1名，项目正主管1名，项目副主管1名，财务人员1名，分片片长5名（镇区1名，农村4名），农村保洁清运人员115名（其中90名为上门收集人员，25名为保洁人员道路专项保洁员），镇区保洁员19名，东凌工业集中区保洁员2名，兵房工业园区保洁员1名，张謇工业园区保洁员1名，河道长效保洁员40名，大型车辆驾驶员8名、辅助工1名、倒桶工12名。环境卫生管理中心设站长1名，统计员1名，操作工2名，辅助工4名。除法人（或授权驻镇总经理）外，其余工作人员应尽可能在本镇范围内选聘，在现有人员中择优录用，除现有人员外，本镇退役军人、残疾人优先考虑。</w:t>
      </w:r>
    </w:p>
    <w:p w14:paraId="39C7B802">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2、人员要求</w:t>
      </w:r>
    </w:p>
    <w:p w14:paraId="3DEAE80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法人（或授权驻镇总经理）：要能够深刻理解“生态振兴和人居环境”工作的要求，要充分认识满足人民群众对美好生活的向往，要配足岗位人员、强化物资保障、科学合理调度、注重运行管理、加强安全生产，不断提升公司运行效率保洁水平。</w:t>
      </w:r>
    </w:p>
    <w:p w14:paraId="77D39946">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2）正、副主管、会计：3名管理人员都要有一定环卫管理经历经验，或农村工作经验、相关企业车间班组长以上的管理经验，要具有较强管理和服务意识，要具有较强沟通和协调能力，能够有效加强人员管理，能够有效推动工作落实，其中主管必须有一名55周岁以下男性。以我镇测算人员数量为准，若管理人员每少1人的，每月按月度结算支付款3%扣罚。</w:t>
      </w:r>
    </w:p>
    <w:p w14:paraId="0BABF8A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3）片长：片长的人员安排公司以发包方推荐为主。镇区1名片长，公司应当选择一名理念先进，能积极学习并运用县级以上城区环卫管理经验的管理人员，专职负责镇的管理。农村片4名片长，男性,应具有丰富的农村工作经验，较强的现场管理和协调能力，责任心强，能够坚持原则。以我镇测算人员数量为准，若片长每少1人的，每月按月度结算支付款3%扣罚。</w:t>
      </w:r>
    </w:p>
    <w:p w14:paraId="5F6E2F66">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保洁清运员和河道长效保洁队：不少于178人，保洁员男性不大于65周岁、女性不大于60周岁年龄（若工作责任心强、能吃苦耐劳、群众认可度高可适当放宽），清运人员和河道长效保洁队须为男性，尽可能在本镇范围内对应的各村选择录用责任心强、能吃苦耐劳、群众认可度高、家庭形象好、年纪轻、身体健康的人员。以我镇测算人员数量为准，若保洁员、道路专项管护员、河道长效保洁队和清运人员每少1人的，每月按月度结算支付款1%扣罚。</w:t>
      </w:r>
    </w:p>
    <w:p w14:paraId="211D400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保洁清运工作强度大，对体力耐力有一定的要求，年龄较大的员工可能在体力上难以长时间维持高强度的工作状态，影响工作效率和质量。要建有到龄退岗机制，原则上男性不大于68周岁，女性不大于65周岁，若工作职责心强，能吃苦耐劳、群众认可度高可适当放宽，严禁男性超过70周岁，女性超过67周岁。</w:t>
      </w:r>
    </w:p>
    <w:p w14:paraId="7A2D7267">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（5）五位一体专干：镇每村安排一名村干任村五位一体专干，负责参与公司在该村范围内的卫生管理和人员调度，加强对本村范围内的清运员和保洁员的管理与考核。</w:t>
      </w:r>
    </w:p>
    <w:p w14:paraId="3C8AC5EA">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sz w:val="24"/>
          <w:szCs w:val="24"/>
        </w:rPr>
        <w:t>（6）人员管理：公司要制定人员工作考评管理制度，对每个人的工作绩效进行考核。正副主管、会计、片长、村五位一体专干等管理人员都要熟悉相应管理区域的每个保洁员、清运员等一线工作人员的基本情况。对考核评价</w:t>
      </w:r>
      <w:r>
        <w:rPr>
          <w:rFonts w:hint="eastAsia" w:ascii="华文仿宋" w:hAnsi="华文仿宋" w:eastAsia="华文仿宋" w:cs="华文仿宋"/>
          <w:b/>
          <w:sz w:val="24"/>
          <w:szCs w:val="24"/>
        </w:rPr>
        <w:t>适岗性差的工作人员，经教育后仍无法满足工作要求的要及时解聘更换。</w:t>
      </w:r>
    </w:p>
    <w:p w14:paraId="32D77C73">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3、考勤管理</w:t>
      </w:r>
    </w:p>
    <w:p w14:paraId="0FCE047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（1）公司必须在镇区有固定的办公场所，法人（或授权驻镇总经理）、正副主管和会计每天到其办公场所指纹签到，镇“五位一体”办公室负责管理，其他人员到岗到位情况由公司负责考勤，镇随时组织抽查。</w:t>
      </w:r>
    </w:p>
    <w:p w14:paraId="6D8E4E60">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（2）公司法人（或授权驻镇总经理）必须在镇总体牵头，亲自参与管理，负责生产调度，每月出勤不少于22个工作日。</w:t>
      </w:r>
    </w:p>
    <w:p w14:paraId="0761B077">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（3）正副主管每人每月出勤不少于25个工作日，会计每月出勤不少于22个工作日。</w:t>
      </w:r>
    </w:p>
    <w:p w14:paraId="49BB74C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（4）片长每月出勤不少于28天。</w:t>
      </w:r>
    </w:p>
    <w:p w14:paraId="377D1027">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（5）在清明、五一、国庆、元旦、春节等节日期间，片长以上管理人员必须每天在镇亲自指挥管理应对各种情况，确保保洁全域整体干净整洁，确保垃圾高峰期清运顺畅，确保不发生社会垃圾滞压乱象。</w:t>
      </w:r>
    </w:p>
    <w:p w14:paraId="53E171AC">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（二）工作运行机制及制度</w:t>
      </w:r>
    </w:p>
    <w:p w14:paraId="0AD2B498">
      <w:pPr>
        <w:spacing w:line="360" w:lineRule="auto"/>
        <w:ind w:firstLine="480" w:firstLineChars="200"/>
        <w:rPr>
          <w:rFonts w:hint="eastAsia" w:ascii="华文仿宋" w:hAnsi="华文仿宋" w:eastAsia="华文仿宋" w:cs="华文仿宋"/>
          <w:sz w:val="24"/>
          <w:szCs w:val="24"/>
          <w:u w:val="single"/>
        </w:rPr>
      </w:pPr>
      <w:r>
        <w:rPr>
          <w:rFonts w:hint="eastAsia" w:ascii="华文仿宋" w:hAnsi="华文仿宋" w:eastAsia="华文仿宋" w:cs="华文仿宋"/>
          <w:b/>
          <w:sz w:val="24"/>
          <w:szCs w:val="24"/>
        </w:rPr>
        <w:t>1、组织机制：</w:t>
      </w:r>
      <w:r>
        <w:rPr>
          <w:rFonts w:hint="eastAsia" w:ascii="华文仿宋" w:hAnsi="华文仿宋" w:eastAsia="华文仿宋" w:cs="华文仿宋"/>
          <w:sz w:val="24"/>
          <w:szCs w:val="24"/>
        </w:rPr>
        <w:t>在足额配全人员的基础上，建立层级分明的管理架构，法人（或授权驻镇总经理）总负责，项目正副主管包片负责同时负责河道长效保洁队工作规划和调度，片长包村负责。</w:t>
      </w:r>
    </w:p>
    <w:p w14:paraId="5066EE47">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2、环卫闭环监管机制：</w:t>
      </w:r>
      <w:r>
        <w:rPr>
          <w:rFonts w:hint="eastAsia" w:ascii="华文仿宋" w:hAnsi="华文仿宋" w:eastAsia="华文仿宋" w:cs="华文仿宋"/>
          <w:sz w:val="24"/>
          <w:szCs w:val="24"/>
        </w:rPr>
        <w:t>公司必须根据大豫镇实际情况建立满足大豫镇“五位一体”现实需要的环卫智能管理平台，对人员、车辆作业路线、作业次数、作业时间实时监控，具备作业里程统计、历史作业轨迹回放、人员违规事件点查询预警、作业规划、考核评价等功能，能够彻底解决人员作业合理规划、作业过程实时监控、作业结果公平考核等管理难题。</w:t>
      </w:r>
    </w:p>
    <w:p w14:paraId="17D0097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3、奖惩机制：</w:t>
      </w:r>
      <w:r>
        <w:rPr>
          <w:rFonts w:hint="eastAsia" w:ascii="华文仿宋" w:hAnsi="华文仿宋" w:eastAsia="华文仿宋" w:cs="华文仿宋"/>
          <w:sz w:val="24"/>
          <w:szCs w:val="24"/>
        </w:rPr>
        <w:t>奖惩机制：</w:t>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 1 \* GB3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①</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t>公司必须制定一套完善的人员考核奖惩机制，考核到级、到岗、到人，与工资发放挂钩，并做好相应台账记录。镇五位一体办公室将随机进行抽查落实情况，并组织考核。</w:t>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 2 \* GB3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②</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t>各村每月对保洁人员进行评价，当月得分最低的保洁人员将予以警告教育，连续两个月评价得分最低的保洁人员责令承包单位予以辞退，不辞退的由镇在承包款中扣除每人每月10000元。</w:t>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 3 \* GB3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③</w:t>
      </w:r>
      <w:r>
        <w:rPr>
          <w:rFonts w:hint="eastAsia" w:ascii="华文仿宋" w:hAnsi="华文仿宋" w:eastAsia="华文仿宋" w:cs="华文仿宋"/>
          <w:sz w:val="24"/>
          <w:szCs w:val="24"/>
        </w:rPr>
        <w:fldChar w:fldCharType="end"/>
      </w:r>
      <w:bookmarkStart w:id="195" w:name="_Hlk135836805"/>
      <w:r>
        <w:rPr>
          <w:rFonts w:hint="eastAsia" w:ascii="华文仿宋" w:hAnsi="华文仿宋" w:eastAsia="华文仿宋" w:cs="华文仿宋"/>
          <w:sz w:val="24"/>
          <w:szCs w:val="24"/>
        </w:rPr>
        <w:t>镇五位一体办每月对河道长效保洁队人员进行评价，当月得分最低的保洁员将予以警告教育，连续两个月得分最低的保洁人员责令承包单位予以辞退，不辞退的由镇在承包款中扣除每个每月10000元。</w:t>
      </w:r>
    </w:p>
    <w:bookmarkEnd w:id="195"/>
    <w:p w14:paraId="2306D9E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4、例会制度：</w:t>
      </w:r>
      <w:r>
        <w:rPr>
          <w:rFonts w:hint="eastAsia" w:ascii="华文仿宋" w:hAnsi="华文仿宋" w:eastAsia="华文仿宋" w:cs="华文仿宋"/>
          <w:sz w:val="24"/>
          <w:szCs w:val="24"/>
        </w:rPr>
        <w:t>公司必须建立健全各层级例会制度，做好相应台账记录。①全体人员会议：每年召开全体保洁员大会（含以片为单位会议）不少于2批次。②全体管理人员会议：镇“五位一体”办公室人员参加的片长以上管理人员的会议每周不少于一次。③村全体保洁队会议：片长主持、包片主管和村五位一体专干参加的全体队员会议每周每村至少召开一次。</w:t>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 4 \* GB3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④</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t>河道长效保洁队会议：项目主管主持、各片片长参加的全体队员会议每周至少召开一次。（必须集中开会，集中点评问题，集中部署工作，形式可灵活机动）。</w:t>
      </w:r>
    </w:p>
    <w:p w14:paraId="58E1CF40">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5、考勤制度：</w:t>
      </w:r>
      <w:r>
        <w:rPr>
          <w:rFonts w:hint="eastAsia" w:ascii="华文仿宋" w:hAnsi="华文仿宋" w:eastAsia="华文仿宋" w:cs="华文仿宋"/>
          <w:sz w:val="24"/>
          <w:szCs w:val="24"/>
        </w:rPr>
        <w:t>公司必须按考勤管理要求建立完善考勤制度。</w:t>
      </w:r>
    </w:p>
    <w:p w14:paraId="69D8B8C4">
      <w:pPr>
        <w:spacing w:line="360" w:lineRule="auto"/>
        <w:ind w:firstLine="480" w:firstLineChars="20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6、保险与工资：</w:t>
      </w:r>
      <w:r>
        <w:rPr>
          <w:rFonts w:hint="eastAsia" w:ascii="华文仿宋" w:hAnsi="华文仿宋" w:eastAsia="华文仿宋" w:cs="华文仿宋"/>
          <w:sz w:val="24"/>
          <w:szCs w:val="24"/>
        </w:rPr>
        <w:t>公司要及时缴纳相关保险，按时足额发放工人工资，养老保险缴纳适龄人员工资发放不得低于如东县职工</w:t>
      </w:r>
      <w:r>
        <w:rPr>
          <w:rFonts w:hint="eastAsia" w:ascii="华文仿宋" w:hAnsi="华文仿宋" w:eastAsia="华文仿宋" w:cs="华文仿宋"/>
          <w:sz w:val="24"/>
          <w:szCs w:val="24"/>
          <w:highlight w:val="none"/>
        </w:rPr>
        <w:t>工资最低标准。各岗位实际发放工资不得低于投标分项报价中的人工单价。</w:t>
      </w:r>
    </w:p>
    <w:p w14:paraId="3A353456">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（三）安全生产责任及管理</w:t>
      </w:r>
    </w:p>
    <w:p w14:paraId="262587C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服务公司对“五位一体”服务安全生产承担主体责任，负责所有安全生产事故的一切责任，负责处理事故所有相关事宜。</w:t>
      </w:r>
    </w:p>
    <w:p w14:paraId="08D5E004">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1、落实责任：</w:t>
      </w:r>
      <w:r>
        <w:rPr>
          <w:rFonts w:hint="eastAsia" w:ascii="华文仿宋" w:hAnsi="华文仿宋" w:eastAsia="华文仿宋" w:cs="华文仿宋"/>
          <w:sz w:val="24"/>
          <w:szCs w:val="24"/>
        </w:rPr>
        <w:t>公司要明确专人任安全员，负责公司的安全生产管理，严格执行安全生产相关规定，把安全生产责任落实到每一个责任人，开展安全培训，组织安全检查，记录安全台账。</w:t>
      </w:r>
    </w:p>
    <w:p w14:paraId="0FFFB852">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2、排查整改：</w:t>
      </w:r>
      <w:r>
        <w:rPr>
          <w:rFonts w:hint="eastAsia" w:ascii="华文仿宋" w:hAnsi="华文仿宋" w:eastAsia="华文仿宋" w:cs="华文仿宋"/>
          <w:sz w:val="24"/>
          <w:szCs w:val="24"/>
        </w:rPr>
        <w:t>要</w:t>
      </w:r>
      <w:r>
        <w:rPr>
          <w:rFonts w:hint="eastAsia" w:ascii="华文仿宋" w:hAnsi="华文仿宋" w:eastAsia="华文仿宋" w:cs="华文仿宋"/>
          <w:b/>
          <w:sz w:val="24"/>
          <w:szCs w:val="24"/>
        </w:rPr>
        <w:t>“</w:t>
      </w:r>
      <w:r>
        <w:rPr>
          <w:rFonts w:hint="eastAsia" w:ascii="华文仿宋" w:hAnsi="华文仿宋" w:eastAsia="华文仿宋" w:cs="华文仿宋"/>
          <w:sz w:val="24"/>
          <w:szCs w:val="24"/>
        </w:rPr>
        <w:t>敬畏生命”，正常组织安全生产检查，开展安全隐患排查，实行安全生产闭环管理，积极开展各项安全生产专项整治行动，高效完成整治任务，杜绝发生安全事故。</w:t>
      </w:r>
    </w:p>
    <w:p w14:paraId="604EE479">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3、车辆安全：</w:t>
      </w:r>
      <w:r>
        <w:rPr>
          <w:rFonts w:hint="eastAsia" w:ascii="华文仿宋" w:hAnsi="华文仿宋" w:eastAsia="华文仿宋" w:cs="华文仿宋"/>
          <w:sz w:val="24"/>
          <w:szCs w:val="24"/>
        </w:rPr>
        <w:t>所有运输车辆及驾驶人员必须证照齐全，年检保险齐全，一旦出现相关证件不全，年检保险不到位的，立即停止该车辆使用。加强专项检查，不得出现驾驶人员疲劳驾驶情况。</w:t>
      </w:r>
    </w:p>
    <w:p w14:paraId="4D9FE91F">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4、人员安全：</w:t>
      </w:r>
      <w:r>
        <w:rPr>
          <w:rFonts w:hint="eastAsia" w:ascii="华文仿宋" w:hAnsi="华文仿宋" w:eastAsia="华文仿宋" w:cs="华文仿宋"/>
          <w:sz w:val="24"/>
          <w:szCs w:val="24"/>
        </w:rPr>
        <w:t>所有人员必须持有健康体检报告，所有保洁人员必须穿着保洁服、保洁帽、救生衣等装备上岗，不得饮酒上岗，注意交通生产安全。</w:t>
      </w:r>
    </w:p>
    <w:p w14:paraId="0ABF2B13">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5、安全培训：</w:t>
      </w:r>
      <w:r>
        <w:rPr>
          <w:rFonts w:hint="eastAsia" w:ascii="华文仿宋" w:hAnsi="华文仿宋" w:eastAsia="华文仿宋" w:cs="华文仿宋"/>
          <w:sz w:val="24"/>
          <w:szCs w:val="24"/>
        </w:rPr>
        <w:t>每月做好安全保洁培训，加强对保洁人员的安全生产教育，警钟常鸣，提高人身防护安全意识，做好安全记录，完善安全台账，确保不发生人身财产安全责任事故。</w:t>
      </w:r>
    </w:p>
    <w:p w14:paraId="62E41F17">
      <w:pPr>
        <w:spacing w:line="360" w:lineRule="auto"/>
        <w:ind w:firstLine="480" w:firstLineChars="200"/>
        <w:outlineLvl w:val="0"/>
        <w:rPr>
          <w:rFonts w:hint="eastAsia" w:ascii="华文仿宋" w:hAnsi="华文仿宋" w:eastAsia="华文仿宋" w:cs="华文仿宋"/>
          <w:b/>
          <w:sz w:val="24"/>
          <w:szCs w:val="24"/>
        </w:rPr>
      </w:pPr>
      <w:r>
        <w:rPr>
          <w:rFonts w:hint="eastAsia" w:ascii="华文仿宋" w:hAnsi="华文仿宋" w:eastAsia="华文仿宋" w:cs="华文仿宋"/>
          <w:b/>
          <w:sz w:val="24"/>
          <w:szCs w:val="24"/>
        </w:rPr>
        <w:t>（四）应急预案</w:t>
      </w:r>
    </w:p>
    <w:p w14:paraId="64898F1E">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服务公司要针对自然灾害，各类突发公共事件，各类所有创建、所有重大活动，春节、国庆、中秋、端午等所有节日，秋季落叶处置等做好环卫作业应急保障方案。</w:t>
      </w:r>
    </w:p>
    <w:p w14:paraId="0C4462F8">
      <w:pPr>
        <w:spacing w:line="360" w:lineRule="auto"/>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b/>
          <w:sz w:val="24"/>
          <w:szCs w:val="24"/>
        </w:rPr>
        <w:t>1、成立应急小组：</w:t>
      </w:r>
      <w:r>
        <w:rPr>
          <w:rFonts w:hint="eastAsia" w:ascii="华文仿宋" w:hAnsi="华文仿宋" w:eastAsia="华文仿宋" w:cs="华文仿宋"/>
          <w:sz w:val="24"/>
          <w:szCs w:val="24"/>
        </w:rPr>
        <w:t>为确保应急保障服务的及时性，服务公司项目经理统筹，担任本项目的应急保障小组组长；正、副主管担任本项目的应急保障小组副组长；安排3名片区管理员、10名一线骨干保洁员为本项目应急小组组员。</w:t>
      </w:r>
    </w:p>
    <w:p w14:paraId="36957B3E">
      <w:pPr>
        <w:spacing w:line="360" w:lineRule="auto"/>
        <w:ind w:firstLine="480" w:firstLineChars="200"/>
        <w:rPr>
          <w:rFonts w:hint="eastAsia" w:ascii="仿宋" w:hAnsi="仿宋" w:eastAsia="仿宋" w:cs="仿宋"/>
          <w:sz w:val="24"/>
          <w:szCs w:val="24"/>
        </w:rPr>
      </w:pPr>
      <w:r>
        <w:rPr>
          <w:rFonts w:hint="eastAsia" w:ascii="华文仿宋" w:hAnsi="华文仿宋" w:eastAsia="华文仿宋" w:cs="华文仿宋"/>
          <w:b/>
          <w:sz w:val="24"/>
          <w:szCs w:val="24"/>
        </w:rPr>
        <w:t>2、配备应急保障物资：</w:t>
      </w:r>
      <w:r>
        <w:rPr>
          <w:rFonts w:hint="eastAsia" w:ascii="华文仿宋" w:hAnsi="华文仿宋" w:eastAsia="华文仿宋" w:cs="华文仿宋"/>
          <w:sz w:val="24"/>
          <w:szCs w:val="24"/>
        </w:rPr>
        <w:t>服务公司要做好人员、车辆、设备、材料防护设施的保障，包括小型垃圾收集车、后装垃圾压缩车、高压冲洗车、警示牌、医药箱等。</w:t>
      </w:r>
    </w:p>
    <w:p w14:paraId="1FA5C76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（五）管护设备配备</w:t>
      </w:r>
    </w:p>
    <w:p w14:paraId="35DE7D26">
      <w:pPr>
        <w:spacing w:line="360" w:lineRule="auto"/>
        <w:ind w:firstLine="482" w:firstLineChars="200"/>
        <w:rPr>
          <w:rFonts w:hint="eastAsia" w:ascii="仿宋" w:hAnsi="仿宋" w:eastAsia="仿宋" w:cs="仿宋"/>
          <w:b/>
          <w:bCs/>
          <w:i/>
          <w:iCs/>
          <w:sz w:val="24"/>
          <w:szCs w:val="24"/>
          <w:u w:val="single"/>
        </w:rPr>
      </w:pPr>
      <w:r>
        <w:rPr>
          <w:rFonts w:hint="eastAsia" w:ascii="仿宋" w:hAnsi="仿宋" w:eastAsia="仿宋" w:cs="仿宋"/>
          <w:b/>
          <w:bCs/>
          <w:i/>
          <w:iCs/>
          <w:sz w:val="24"/>
          <w:szCs w:val="24"/>
          <w:u w:val="single"/>
        </w:rPr>
        <w:t>1.乙方须配备5吨及以上压缩式提桶垃圾车不得少于4辆，3吨及以上压缩式提桶垃圾车不得少于2辆，入户收集六桶电动车不少于90辆，两桶电动保洁车不少于23辆，农用轻型卡车不少于1辆，易腐垃圾平板车不少于1辆，5T以上（含5T）洗扫车不少于1辆，10吨高压冲洗车不少于1辆，1吨高压冲洗车不少于1辆，两分类垃圾小桶（50L/个）不少于28000组（2个/组），机动割草保洁船不少于3艘，电动保洁船不少于6艘，随车吊不少于1辆，小型机具器具（含割草机50台、鼓风机</w:t>
      </w:r>
      <w:r>
        <w:rPr>
          <w:rFonts w:hint="eastAsia" w:ascii="仿宋" w:hAnsi="仿宋" w:eastAsia="仿宋" w:cs="仿宋"/>
          <w:b/>
          <w:bCs/>
          <w:i/>
          <w:iCs/>
          <w:sz w:val="24"/>
          <w:szCs w:val="24"/>
          <w:u w:val="single"/>
        </w:rPr>
        <w:tab/>
      </w:r>
      <w:r>
        <w:rPr>
          <w:rFonts w:hint="eastAsia" w:ascii="仿宋" w:hAnsi="仿宋" w:eastAsia="仿宋" w:cs="仿宋"/>
          <w:b/>
          <w:bCs/>
          <w:i/>
          <w:iCs/>
          <w:sz w:val="24"/>
          <w:szCs w:val="24"/>
          <w:u w:val="single"/>
        </w:rPr>
        <w:t>6台、绿篱剪6把、高枝剪6把）、辅材等满足项目需求，环卫智能管理平台运行及维护。</w:t>
      </w:r>
    </w:p>
    <w:p w14:paraId="3373FB63">
      <w:pPr>
        <w:spacing w:line="360" w:lineRule="auto"/>
        <w:ind w:firstLine="482" w:firstLineChars="200"/>
        <w:rPr>
          <w:rFonts w:hint="eastAsia" w:ascii="仿宋" w:hAnsi="仿宋" w:eastAsia="仿宋" w:cs="仿宋"/>
          <w:b/>
          <w:bCs/>
          <w:i/>
          <w:iCs/>
          <w:sz w:val="24"/>
          <w:szCs w:val="24"/>
          <w:u w:val="single"/>
        </w:rPr>
      </w:pPr>
      <w:r>
        <w:rPr>
          <w:rFonts w:hint="eastAsia" w:ascii="仿宋" w:hAnsi="仿宋" w:eastAsia="仿宋" w:cs="仿宋"/>
          <w:b/>
          <w:bCs/>
          <w:i/>
          <w:iCs/>
          <w:sz w:val="24"/>
          <w:szCs w:val="24"/>
        </w:rPr>
        <w:t>备注：</w:t>
      </w:r>
      <w:r>
        <w:rPr>
          <w:rFonts w:hint="eastAsia" w:ascii="仿宋" w:hAnsi="仿宋" w:eastAsia="仿宋" w:cs="仿宋"/>
          <w:b/>
          <w:bCs/>
          <w:i/>
          <w:iCs/>
          <w:sz w:val="24"/>
          <w:szCs w:val="24"/>
          <w:u w:val="single"/>
        </w:rPr>
        <w:t>两分类垃圾桶必须为全新购置，每组2个(含架子)，颜色均为绿黑配，桶体及桶盖（除配料）采用除必要的颜料和色素外，采用100%高密度聚乙烯全新料一次性注模成型，不得使用回料。单个桶容量≥50L，总重量≥2.4kg，数量最终以各村统计为准，确保每户1组。</w:t>
      </w:r>
    </w:p>
    <w:p w14:paraId="037FE3FA">
      <w:pPr>
        <w:spacing w:line="360" w:lineRule="auto"/>
        <w:ind w:firstLine="482" w:firstLineChars="200"/>
        <w:rPr>
          <w:rFonts w:hint="eastAsia" w:ascii="仿宋" w:hAnsi="仿宋" w:eastAsia="仿宋" w:cs="仿宋"/>
          <w:i/>
          <w:iCs/>
          <w:sz w:val="24"/>
          <w:szCs w:val="24"/>
          <w:u w:val="single"/>
        </w:rPr>
      </w:pPr>
      <w:r>
        <w:rPr>
          <w:rFonts w:hint="eastAsia" w:ascii="仿宋" w:hAnsi="仿宋" w:eastAsia="仿宋" w:cs="仿宋"/>
          <w:b/>
          <w:bCs/>
          <w:i/>
          <w:iCs/>
          <w:sz w:val="24"/>
          <w:szCs w:val="24"/>
          <w:u w:val="single"/>
        </w:rPr>
        <w:t>应急保障设备要求：3吨以上后装压缩车2辆，雾炮车1辆，铲车1辆（可调用，无需定点）。</w:t>
      </w:r>
    </w:p>
    <w:p w14:paraId="5C59AD95">
      <w:pPr>
        <w:spacing w:line="360" w:lineRule="auto"/>
        <w:ind w:firstLine="482" w:firstLineChars="200"/>
        <w:rPr>
          <w:rFonts w:hint="eastAsia" w:ascii="仿宋" w:hAnsi="仿宋" w:eastAsia="仿宋" w:cs="仿宋"/>
          <w:b/>
          <w:bCs/>
          <w:i/>
          <w:iCs/>
          <w:sz w:val="24"/>
          <w:szCs w:val="24"/>
          <w:u w:val="single"/>
        </w:rPr>
      </w:pPr>
      <w:r>
        <w:rPr>
          <w:rFonts w:hint="eastAsia" w:ascii="仿宋" w:hAnsi="仿宋" w:eastAsia="仿宋" w:cs="仿宋"/>
          <w:b/>
          <w:bCs/>
          <w:i/>
          <w:iCs/>
          <w:sz w:val="24"/>
          <w:szCs w:val="24"/>
          <w:u w:val="single"/>
        </w:rPr>
        <w:t>2.投标供应商在中标后1个月内配齐以上车辆、船等设备（提供发票，不接受租赁）并在投标文件中自行承诺，如配备不到位，甲方有权解除合同，不退还履约保证金。</w:t>
      </w:r>
    </w:p>
    <w:p w14:paraId="77651D12">
      <w:pPr>
        <w:spacing w:line="360" w:lineRule="auto"/>
        <w:rPr>
          <w:rFonts w:hint="eastAsia" w:ascii="仿宋" w:hAnsi="仿宋" w:eastAsia="仿宋" w:cs="仿宋"/>
          <w:b/>
          <w:bCs/>
          <w:sz w:val="24"/>
        </w:rPr>
      </w:pPr>
      <w:r>
        <w:rPr>
          <w:rFonts w:hint="eastAsia" w:ascii="仿宋" w:hAnsi="仿宋" w:eastAsia="仿宋" w:cs="仿宋"/>
          <w:b/>
          <w:bCs/>
          <w:sz w:val="24"/>
        </w:rPr>
        <w:t>六、考核管理</w:t>
      </w:r>
    </w:p>
    <w:p w14:paraId="7D19239C">
      <w:pPr>
        <w:spacing w:line="360" w:lineRule="auto"/>
        <w:ind w:firstLine="480" w:firstLineChars="200"/>
        <w:rPr>
          <w:rFonts w:hint="eastAsia" w:ascii="仿宋" w:hAnsi="仿宋" w:eastAsia="仿宋" w:cs="仿宋"/>
          <w:sz w:val="24"/>
        </w:rPr>
      </w:pPr>
      <w:r>
        <w:rPr>
          <w:rFonts w:hint="eastAsia" w:ascii="仿宋" w:hAnsi="仿宋" w:eastAsia="仿宋" w:cs="仿宋"/>
          <w:sz w:val="24"/>
        </w:rPr>
        <w:t>详见县农村人居环境长效管护考核要求、县“河长制”实施方案、县“路长制”实施办法、全县水环境整治工作要求和《大豫镇环境卫生长效管护项目考核细则》等规定。</w:t>
      </w:r>
    </w:p>
    <w:p w14:paraId="4878236A">
      <w:pPr>
        <w:spacing w:line="360" w:lineRule="auto"/>
        <w:rPr>
          <w:rFonts w:hint="eastAsia" w:ascii="仿宋" w:hAnsi="仿宋" w:eastAsia="仿宋" w:cs="仿宋"/>
          <w:b/>
          <w:bCs/>
          <w:sz w:val="24"/>
        </w:rPr>
      </w:pPr>
      <w:r>
        <w:rPr>
          <w:rFonts w:hint="eastAsia" w:ascii="仿宋" w:hAnsi="仿宋" w:eastAsia="仿宋" w:cs="仿宋"/>
          <w:b/>
          <w:bCs/>
          <w:sz w:val="24"/>
        </w:rPr>
        <w:t>七、付款方式</w:t>
      </w:r>
    </w:p>
    <w:p w14:paraId="43F36A35">
      <w:pPr>
        <w:spacing w:line="360" w:lineRule="auto"/>
        <w:ind w:firstLine="480" w:firstLineChars="200"/>
        <w:rPr>
          <w:rFonts w:hint="eastAsia" w:ascii="仿宋" w:hAnsi="仿宋" w:eastAsia="仿宋" w:cs="仿宋"/>
          <w:sz w:val="24"/>
        </w:rPr>
      </w:pPr>
      <w:r>
        <w:rPr>
          <w:rFonts w:hint="eastAsia" w:ascii="仿宋" w:hAnsi="仿宋" w:eastAsia="仿宋" w:cs="仿宋"/>
          <w:sz w:val="24"/>
        </w:rPr>
        <w:t>（一）甲方按照月度进行考核计算并按季度支付给乙方，每季度次月上旬付款（其中生活垃圾收运服务费用由各村支付其50%，镇按照实际中标价格，测算分割到各村，村级费用由各村年底一次性支付给乙方）。乙方与甲方结算时，乙方均需足额向甲方出具合法票据及该季度乙方向其职员发放工资的发放银行流水账单作为付款的前提。价款除本合同约定和依照《考核细则》扣款外，任何一方不得擅自改变。</w:t>
      </w:r>
    </w:p>
    <w:p w14:paraId="6C3E3EC7">
      <w:pPr>
        <w:spacing w:line="360" w:lineRule="auto"/>
        <w:ind w:firstLine="480" w:firstLineChars="200"/>
        <w:rPr>
          <w:rFonts w:hint="eastAsia" w:ascii="仿宋" w:hAnsi="仿宋" w:eastAsia="仿宋" w:cs="仿宋"/>
          <w:sz w:val="24"/>
        </w:rPr>
      </w:pPr>
      <w:r>
        <w:rPr>
          <w:rFonts w:hint="eastAsia" w:ascii="仿宋" w:hAnsi="仿宋" w:eastAsia="仿宋" w:cs="仿宋"/>
          <w:sz w:val="24"/>
        </w:rPr>
        <w:t>（二）考核奖惩方式：</w:t>
      </w:r>
    </w:p>
    <w:p w14:paraId="2AFB5C18">
      <w:pPr>
        <w:spacing w:line="360" w:lineRule="auto"/>
        <w:ind w:firstLine="480" w:firstLineChars="200"/>
        <w:rPr>
          <w:rFonts w:hint="eastAsia" w:ascii="仿宋" w:hAnsi="仿宋" w:eastAsia="仿宋" w:cs="仿宋"/>
          <w:sz w:val="24"/>
        </w:rPr>
      </w:pPr>
      <w:r>
        <w:rPr>
          <w:rFonts w:hint="eastAsia" w:ascii="仿宋" w:hAnsi="仿宋" w:eastAsia="仿宋" w:cs="仿宋"/>
          <w:sz w:val="24"/>
        </w:rPr>
        <w:t>1.绩效考核结果与合同价款相挂钩，按甲方对乙方月度绩效考核来确定，实行百分制，其中甲方考核结果占50%，各村（社区）运行管理考核结果占40%，其他减分项结果占10%。具体操作如下：</w:t>
      </w:r>
    </w:p>
    <w:p w14:paraId="0808CBAE">
      <w:pPr>
        <w:spacing w:line="360" w:lineRule="auto"/>
        <w:ind w:firstLine="480" w:firstLineChars="200"/>
        <w:rPr>
          <w:rFonts w:hint="eastAsia" w:ascii="仿宋" w:hAnsi="仿宋" w:eastAsia="仿宋" w:cs="仿宋"/>
          <w:sz w:val="24"/>
        </w:rPr>
      </w:pPr>
      <w:r>
        <w:rPr>
          <w:rFonts w:hint="eastAsia" w:ascii="仿宋" w:hAnsi="仿宋" w:eastAsia="仿宋" w:cs="仿宋"/>
          <w:sz w:val="24"/>
        </w:rPr>
        <w:t>（1）在甲方月度绩效考核中得分为90分（含90分）至100分的，按当月基本价款的100%结算；</w:t>
      </w:r>
    </w:p>
    <w:p w14:paraId="547A8636">
      <w:pPr>
        <w:spacing w:line="360" w:lineRule="auto"/>
        <w:ind w:firstLine="480" w:firstLineChars="200"/>
        <w:rPr>
          <w:rFonts w:hint="eastAsia" w:ascii="仿宋" w:hAnsi="仿宋" w:eastAsia="仿宋" w:cs="仿宋"/>
          <w:sz w:val="24"/>
        </w:rPr>
      </w:pPr>
      <w:r>
        <w:rPr>
          <w:rFonts w:hint="eastAsia" w:ascii="仿宋" w:hAnsi="仿宋" w:eastAsia="仿宋" w:cs="仿宋"/>
          <w:sz w:val="24"/>
        </w:rPr>
        <w:t>（2）在甲方月度绩效考核中得分为85分（含85分）至90分的，按当月基本价款的95%结算；</w:t>
      </w:r>
    </w:p>
    <w:p w14:paraId="7B7BA1B3">
      <w:pPr>
        <w:spacing w:line="360" w:lineRule="auto"/>
        <w:ind w:firstLine="480" w:firstLineChars="200"/>
        <w:rPr>
          <w:rFonts w:hint="eastAsia" w:ascii="仿宋" w:hAnsi="仿宋" w:eastAsia="仿宋" w:cs="仿宋"/>
          <w:sz w:val="24"/>
        </w:rPr>
      </w:pPr>
      <w:r>
        <w:rPr>
          <w:rFonts w:hint="eastAsia" w:ascii="仿宋" w:hAnsi="仿宋" w:eastAsia="仿宋" w:cs="仿宋"/>
          <w:sz w:val="24"/>
        </w:rPr>
        <w:t>（3）在甲方月度绩效考核中得分为80分（含80分）至85分的，按当月基本价款的90%结算；</w:t>
      </w:r>
    </w:p>
    <w:p w14:paraId="50F7594C">
      <w:pPr>
        <w:spacing w:line="360" w:lineRule="auto"/>
        <w:ind w:firstLine="480" w:firstLineChars="200"/>
        <w:rPr>
          <w:rFonts w:hint="eastAsia" w:ascii="仿宋" w:hAnsi="仿宋" w:eastAsia="仿宋" w:cs="仿宋"/>
          <w:sz w:val="24"/>
        </w:rPr>
      </w:pPr>
      <w:r>
        <w:rPr>
          <w:rFonts w:hint="eastAsia" w:ascii="仿宋" w:hAnsi="仿宋" w:eastAsia="仿宋" w:cs="仿宋"/>
          <w:sz w:val="24"/>
        </w:rPr>
        <w:t>（4）在甲方月度绩效考核中实际得分为80分以下的，每减少n分按当月基本价款（90%-2%*n）结算。注：n=80-实际得分</w:t>
      </w:r>
    </w:p>
    <w:p w14:paraId="3C2989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2.设村（社区）月度专项考核扣款。根据各村（社区）月度运行管理考核得分，实行分档扣款：考核得分低于90分（含 80分至89.9分），每村扣减资金3000 元；考核得分低于80分（含60分至79.9分），每村扣减资金5000元；考核得分低于60分，每村扣减资金8000元。上述考核扣款经汇总核定后，统一计入当月基本价款予以结算。</w:t>
      </w:r>
    </w:p>
    <w:p w14:paraId="208B26F8">
      <w:pPr>
        <w:spacing w:line="360" w:lineRule="auto"/>
        <w:ind w:firstLine="480" w:firstLineChars="200"/>
        <w:rPr>
          <w:rFonts w:hint="eastAsia" w:ascii="仿宋" w:hAnsi="仿宋" w:eastAsia="仿宋" w:cs="仿宋"/>
          <w:sz w:val="24"/>
        </w:rPr>
      </w:pPr>
      <w:r>
        <w:rPr>
          <w:rFonts w:hint="eastAsia" w:ascii="仿宋" w:hAnsi="仿宋" w:eastAsia="仿宋" w:cs="仿宋"/>
          <w:sz w:val="24"/>
        </w:rPr>
        <w:t>3.环境卫生管理中心单独考核，考核结果与合同款相挂钩，镇五位一体办按环境卫生管理中心月度绩效考核评分组织月度考评，得分在90分（不含90分）以下的，具体得分在80-90（含80分），每减少0.1分，在月度合同款结算价的基础上减少0.2%的基础价款；得分在80分（不含80分）以下的，每减少0.1分，在月度合同款结算价的基础上减少0.5%的基础价款。</w:t>
      </w:r>
    </w:p>
    <w:p w14:paraId="1562CD4A">
      <w:pPr>
        <w:spacing w:line="360" w:lineRule="auto"/>
        <w:ind w:firstLine="480" w:firstLineChars="200"/>
        <w:rPr>
          <w:rFonts w:hint="eastAsia" w:ascii="仿宋" w:hAnsi="仿宋" w:eastAsia="仿宋" w:cs="仿宋"/>
          <w:sz w:val="24"/>
        </w:rPr>
      </w:pPr>
      <w:r>
        <w:rPr>
          <w:rFonts w:hint="eastAsia" w:ascii="仿宋" w:hAnsi="仿宋" w:eastAsia="仿宋" w:cs="仿宋"/>
          <w:sz w:val="24"/>
        </w:rPr>
        <w:t>3.结果运用：</w:t>
      </w:r>
    </w:p>
    <w:p w14:paraId="0A6A5785">
      <w:pPr>
        <w:spacing w:line="360" w:lineRule="auto"/>
        <w:ind w:firstLine="480" w:firstLineChars="200"/>
        <w:rPr>
          <w:rFonts w:hint="eastAsia" w:ascii="仿宋" w:hAnsi="仿宋" w:eastAsia="仿宋" w:cs="仿宋"/>
          <w:sz w:val="24"/>
        </w:rPr>
      </w:pPr>
      <w:r>
        <w:rPr>
          <w:rFonts w:hint="eastAsia" w:ascii="仿宋" w:hAnsi="仿宋" w:eastAsia="仿宋" w:cs="仿宋"/>
          <w:sz w:val="24"/>
        </w:rPr>
        <w:t>月度结算支付款=每月甲方绩效考核结果-日常巡查考核扣款（含后装式压缩车清运频次专项考核）-管理运行考核扣款（含人员配备、不适岗专项考核）-来信来访考核扣款-村（社区）月度专项考核扣款-环境卫生管理中心运行考核扣款。</w:t>
      </w:r>
    </w:p>
    <w:p w14:paraId="2CAC2F4E">
      <w:pPr>
        <w:spacing w:line="360" w:lineRule="auto"/>
        <w:rPr>
          <w:rFonts w:hint="eastAsia" w:ascii="仿宋" w:hAnsi="仿宋" w:eastAsia="仿宋" w:cs="仿宋"/>
          <w:b/>
          <w:bCs/>
          <w:sz w:val="24"/>
        </w:rPr>
      </w:pPr>
      <w:r>
        <w:rPr>
          <w:rFonts w:hint="eastAsia" w:ascii="仿宋" w:hAnsi="仿宋" w:eastAsia="仿宋" w:cs="仿宋"/>
          <w:b/>
          <w:bCs/>
          <w:sz w:val="24"/>
        </w:rPr>
        <w:t>八、违约责任</w:t>
      </w:r>
    </w:p>
    <w:p w14:paraId="649FA0B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乙方不得擅自更换项目负责人，否则甲方有权终止合同，并有权将乙方的履约保证金作为违约金处理，且不予以退还。如出现特殊情况确需更换的，应当由乙方提出申请（更换的项目负责人其工作经验、业绩、管理能力等必须满足《考核细则》中的相应要求）并提供必要的证明文件报甲方审核批准后方可更换。</w:t>
      </w:r>
    </w:p>
    <w:p w14:paraId="5AE4B2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（二）乙方不得超过自己履约能力接受该项任务，该工作不允许转包或分包，若发现有转包或分包的行为，甲方有权解除合同，并有权将乙方的履约保证金作为违约金处理，且不予以退还。</w:t>
      </w:r>
    </w:p>
    <w:p w14:paraId="12B19F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（三）乙方人员配备不能满足甲方《考核细则》中人员配备，片长及以上管理人员每少1人的，每月按月度结算支付款3%扣罚，一般人员每少1人的每月按月度结算支付款1%扣罚。</w:t>
      </w:r>
    </w:p>
    <w:p w14:paraId="43302F0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合同执行期内，摊销期满设备在期满后一个月内未购置到位，甲方有权要求乙方限期整改，逾期未整改的，每月按月度结算支付款的2%扣罚；本合同签订后一个月内未按照本项目承包范围及内容完成一次全面大清理的按年度合同款的2%扣罚。</w:t>
      </w:r>
    </w:p>
    <w:p w14:paraId="2A8845C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（五）乙方未给所用员工缴纳相关社会保险、商业保险的发现一例扣罚10000元，并及时补交到位；符合职工参保年龄人员工资实际发放不得低于如东县职工工资最低标准</w:t>
      </w:r>
      <w:r>
        <w:rPr>
          <w:rFonts w:hint="eastAsia" w:ascii="仿宋" w:hAnsi="仿宋" w:eastAsia="仿宋" w:cs="仿宋"/>
          <w:sz w:val="24"/>
          <w:szCs w:val="24"/>
          <w:highlight w:val="none"/>
        </w:rPr>
        <w:t>。各岗位实际发放工资不得低于投标分项报价中的人工单价，不得拖欠工人工资，以上情况发现一例扣罚10000元，并及时补足相应工资。</w:t>
      </w:r>
    </w:p>
    <w:p w14:paraId="48E9CC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因乙方管理不善或操作不当等原因发生的事故并对甲方、乙方或第三方造成人身、财产等损害的，由乙方负责妥善处理并承担由此产生的一切责任，造成甲方经济损失的，乙方应给予甲方经济赔偿。如若发生人身、财产安全事故的，由乙方妥善处理并承担由此产生的一切责任的，如若乙方不妥善处理，甲方有权解除本合同，并有权将乙方的履约保证金作为违约金处理，且不予以退还。</w:t>
      </w:r>
    </w:p>
    <w:p w14:paraId="4C4E38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（七）因乙方由于管理或劳资纠纷引起赴县及以上单位上访的，有一例扣除当月金额10000元。</w:t>
      </w:r>
    </w:p>
    <w:p w14:paraId="6FE9B4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（八）被县及以上部门曝光通报的，对不称职人员不予清退的（乙方对缺岗、工作不到位的保洁人员进行教育，对累计被甲方、村三次处罚的人员予以清退），甲方将在本合同价款中扣除每次每人每月10000元。</w:t>
      </w:r>
    </w:p>
    <w:p w14:paraId="73BDC63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（九）根据相关要求、实际情况,《考核细则》进行相应调整或增加内容的，乙方若不服从的，甲方有权解除本合同，并有权将乙方的履约保证金作为违约金处理，且不予以退还。</w:t>
      </w:r>
    </w:p>
    <w:p w14:paraId="526A5624">
      <w:pPr>
        <w:spacing w:line="360" w:lineRule="auto"/>
        <w:ind w:firstLine="480" w:firstLineChars="200"/>
        <w:rPr>
          <w:rFonts w:hint="eastAsia" w:ascii="仿宋" w:hAnsi="仿宋" w:eastAsia="仿宋" w:cs="仿宋"/>
          <w:i/>
          <w:iCs/>
          <w:strike/>
          <w:sz w:val="24"/>
          <w:szCs w:val="24"/>
          <w:u w:val="single"/>
        </w:rPr>
      </w:pPr>
      <w:r>
        <w:rPr>
          <w:rFonts w:hint="eastAsia" w:ascii="仿宋" w:hAnsi="仿宋" w:eastAsia="仿宋" w:cs="仿宋"/>
          <w:sz w:val="24"/>
          <w:szCs w:val="24"/>
        </w:rPr>
        <w:t>（十）乙方有因保洁作业项目被媒体曝光、上级批评或发生群体事件，造成恶劣影响的；全年在甲方月度考核累计三次低于80分的；对甲方就同一类问题发出书面整改通知三次以上未能整改的；乙方违反劳动法律、法规或规章，不能妥善平息与乙方员工之间劳资争议的；因重大节日或重大活动乙方对甲方交办的突击性工作不能按时完成，造成恶劣影响等上述情形之一的，甲方有权解除合同，并有权将乙方的履约保证金作为违约金处理，且不予以退还。</w:t>
      </w:r>
    </w:p>
    <w:p w14:paraId="54779066">
      <w:pPr>
        <w:spacing w:line="360" w:lineRule="auto"/>
        <w:rPr>
          <w:rFonts w:hint="eastAsia" w:ascii="仿宋" w:hAnsi="仿宋" w:eastAsia="仿宋" w:cs="仿宋"/>
          <w:b/>
          <w:bCs/>
          <w:sz w:val="24"/>
        </w:rPr>
      </w:pPr>
      <w:r>
        <w:rPr>
          <w:rFonts w:hint="eastAsia" w:ascii="仿宋" w:hAnsi="仿宋" w:eastAsia="仿宋" w:cs="仿宋"/>
          <w:b/>
          <w:bCs/>
          <w:sz w:val="24"/>
        </w:rPr>
        <w:t>九、注意事项</w:t>
      </w:r>
    </w:p>
    <w:p w14:paraId="09EB736C">
      <w:pPr>
        <w:pStyle w:val="2"/>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1.投标人自行踏勘现场，了解现场实际情况，中标单位不得以不了解现场情况为由而要求另行增加费用。</w:t>
      </w:r>
    </w:p>
    <w:p w14:paraId="28B7ABF6">
      <w:pPr>
        <w:spacing w:line="360" w:lineRule="auto"/>
        <w:ind w:firstLine="480"/>
        <w:rPr>
          <w:rFonts w:hint="eastAsia" w:ascii="楷体" w:hAnsi="楷体" w:eastAsia="楷体" w:cs="楷体"/>
          <w:b/>
          <w:bCs/>
          <w:sz w:val="24"/>
          <w:szCs w:val="24"/>
          <w:lang w:val="zh-CN"/>
        </w:rPr>
      </w:pPr>
      <w:r>
        <w:rPr>
          <w:rFonts w:hint="eastAsia" w:ascii="仿宋" w:hAnsi="仿宋" w:eastAsia="仿宋" w:cs="仿宋"/>
          <w:b/>
          <w:bCs/>
          <w:sz w:val="24"/>
          <w:szCs w:val="24"/>
        </w:rPr>
        <w:t>2.中标单位必须在15天内与原服务单位做好交接工作。</w:t>
      </w:r>
    </w:p>
    <w:p w14:paraId="294CB8E9">
      <w:pPr>
        <w:spacing w:line="360" w:lineRule="auto"/>
        <w:rPr>
          <w:rFonts w:hint="eastAsia" w:ascii="宋体" w:hAnsi="宋体" w:cs="Arial"/>
          <w:bCs/>
          <w:sz w:val="24"/>
          <w:szCs w:val="24"/>
        </w:rPr>
      </w:pPr>
    </w:p>
    <w:p w14:paraId="7F5E937D">
      <w:pPr>
        <w:pStyle w:val="35"/>
        <w:rPr>
          <w:rFonts w:hint="eastAsia" w:cs="Arial"/>
          <w:bCs/>
          <w:sz w:val="24"/>
          <w:szCs w:val="24"/>
        </w:rPr>
      </w:pPr>
    </w:p>
    <w:p w14:paraId="6A4D223C">
      <w:pPr>
        <w:pStyle w:val="35"/>
        <w:rPr>
          <w:rFonts w:hint="eastAsia" w:cs="Arial"/>
          <w:bCs/>
          <w:sz w:val="24"/>
          <w:szCs w:val="24"/>
        </w:rPr>
      </w:pPr>
    </w:p>
    <w:p w14:paraId="2C275381">
      <w:pPr>
        <w:rPr>
          <w:rFonts w:hint="eastAsia" w:ascii="仿宋" w:hAnsi="仿宋" w:eastAsia="仿宋" w:cs="仿宋"/>
          <w:b/>
          <w:sz w:val="44"/>
        </w:rPr>
      </w:pPr>
      <w:bookmarkStart w:id="196" w:name="_Toc186493270"/>
      <w:r>
        <w:rPr>
          <w:rFonts w:hint="eastAsia" w:ascii="仿宋" w:hAnsi="仿宋" w:eastAsia="仿宋" w:cs="仿宋"/>
          <w:b/>
          <w:sz w:val="44"/>
        </w:rPr>
        <w:br w:type="page"/>
      </w:r>
    </w:p>
    <w:p w14:paraId="7BBB516E">
      <w:pPr>
        <w:spacing w:line="360" w:lineRule="auto"/>
        <w:jc w:val="center"/>
        <w:outlineLvl w:val="0"/>
        <w:rPr>
          <w:rFonts w:hint="eastAsia" w:ascii="仿宋" w:hAnsi="仿宋" w:eastAsia="仿宋" w:cs="仿宋"/>
          <w:bCs/>
          <w:sz w:val="44"/>
        </w:rPr>
      </w:pPr>
      <w:r>
        <w:rPr>
          <w:rFonts w:hint="eastAsia" w:ascii="仿宋" w:hAnsi="仿宋" w:eastAsia="仿宋" w:cs="仿宋"/>
          <w:b/>
          <w:sz w:val="44"/>
        </w:rPr>
        <w:t>第五章  评标方</w:t>
      </w:r>
      <w:r>
        <w:rPr>
          <w:rFonts w:hint="eastAsia" w:ascii="仿宋" w:hAnsi="仿宋" w:eastAsia="仿宋" w:cs="仿宋"/>
          <w:b/>
          <w:bCs/>
          <w:sz w:val="44"/>
        </w:rPr>
        <w:t>法与评标标准</w:t>
      </w:r>
      <w:bookmarkEnd w:id="196"/>
    </w:p>
    <w:p w14:paraId="5C2FD36F">
      <w:pPr>
        <w:outlineLvl w:val="1"/>
        <w:rPr>
          <w:rFonts w:hint="eastAsia" w:ascii="仿宋" w:hAnsi="仿宋" w:eastAsia="仿宋" w:cs="仿宋"/>
          <w:b/>
          <w:bCs/>
          <w:sz w:val="24"/>
          <w:szCs w:val="24"/>
        </w:rPr>
      </w:pPr>
      <w:r>
        <w:rPr>
          <w:rFonts w:hint="eastAsia" w:ascii="仿宋" w:hAnsi="仿宋" w:eastAsia="仿宋" w:cs="仿宋"/>
          <w:b/>
          <w:bCs/>
          <w:sz w:val="24"/>
          <w:szCs w:val="24"/>
        </w:rPr>
        <w:t>一、评审方法：</w:t>
      </w:r>
    </w:p>
    <w:p w14:paraId="31CF2783">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采用综合评分法，由评标委员会对投标人资格进行审查，然后对符合资格的投标人的投标文件进行符合性审查，最后评标委员会对符合性审查合格的投标文件商务、技术部分进行评估，综合比较与评价。投标人商务技术分和价格分的合计分值，为该投标人的评标总得分。</w:t>
      </w:r>
    </w:p>
    <w:p w14:paraId="732B8C6D">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评标结果按评审后得分由高到低顺序排列，确定中标候选人名单并按顺序确定中标人。得分相同的，按投标报价由低到高顺序排列。得分且投标报价相同的并列,按照技术指标优劣顺序推荐。</w:t>
      </w:r>
    </w:p>
    <w:tbl>
      <w:tblPr>
        <w:tblStyle w:val="36"/>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2461"/>
        <w:gridCol w:w="5390"/>
      </w:tblGrid>
      <w:tr w14:paraId="7DEF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68B72882">
            <w:pPr>
              <w:spacing w:line="500" w:lineRule="exact"/>
              <w:ind w:firstLine="240"/>
              <w:rPr>
                <w:rFonts w:hint="eastAsia" w:ascii="仿宋" w:hAnsi="仿宋" w:eastAsia="仿宋" w:cs="仿宋"/>
                <w:sz w:val="24"/>
                <w:szCs w:val="24"/>
              </w:rPr>
            </w:pPr>
            <w:r>
              <w:rPr>
                <w:rFonts w:hint="eastAsia" w:ascii="仿宋" w:hAnsi="仿宋" w:eastAsia="仿宋" w:cs="仿宋"/>
                <w:sz w:val="24"/>
                <w:szCs w:val="24"/>
              </w:rPr>
              <w:t>分包号</w:t>
            </w:r>
          </w:p>
        </w:tc>
        <w:tc>
          <w:tcPr>
            <w:tcW w:w="2461" w:type="dxa"/>
            <w:vAlign w:val="center"/>
          </w:tcPr>
          <w:p w14:paraId="5599E741">
            <w:pPr>
              <w:spacing w:line="500" w:lineRule="exact"/>
              <w:rPr>
                <w:rFonts w:hint="eastAsia" w:ascii="仿宋" w:hAnsi="仿宋" w:eastAsia="仿宋" w:cs="仿宋"/>
                <w:sz w:val="24"/>
                <w:szCs w:val="24"/>
              </w:rPr>
            </w:pPr>
            <w:r>
              <w:rPr>
                <w:rFonts w:hint="eastAsia" w:ascii="仿宋" w:hAnsi="仿宋" w:eastAsia="仿宋" w:cs="仿宋"/>
                <w:sz w:val="24"/>
                <w:szCs w:val="24"/>
              </w:rPr>
              <w:t>选取中标候选人数量</w:t>
            </w:r>
          </w:p>
        </w:tc>
        <w:tc>
          <w:tcPr>
            <w:tcW w:w="5390" w:type="dxa"/>
            <w:vAlign w:val="center"/>
          </w:tcPr>
          <w:p w14:paraId="0C499543">
            <w:pPr>
              <w:spacing w:line="500" w:lineRule="exact"/>
              <w:ind w:firstLine="1351"/>
              <w:rPr>
                <w:rFonts w:hint="eastAsia" w:ascii="仿宋" w:hAnsi="仿宋" w:eastAsia="仿宋" w:cs="仿宋"/>
                <w:sz w:val="24"/>
                <w:szCs w:val="24"/>
              </w:rPr>
            </w:pPr>
            <w:r>
              <w:rPr>
                <w:rFonts w:hint="eastAsia" w:ascii="仿宋" w:hAnsi="仿宋" w:eastAsia="仿宋" w:cs="仿宋"/>
                <w:sz w:val="24"/>
                <w:szCs w:val="24"/>
              </w:rPr>
              <w:t>选取中标候选人的原则</w:t>
            </w:r>
          </w:p>
        </w:tc>
      </w:tr>
      <w:tr w14:paraId="5455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78717081">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1</w:t>
            </w:r>
          </w:p>
        </w:tc>
        <w:tc>
          <w:tcPr>
            <w:tcW w:w="2461" w:type="dxa"/>
            <w:vAlign w:val="center"/>
          </w:tcPr>
          <w:p w14:paraId="32F60AC3">
            <w:pPr>
              <w:spacing w:line="500" w:lineRule="exact"/>
              <w:ind w:firstLine="873"/>
              <w:rPr>
                <w:rFonts w:hint="eastAsia" w:ascii="仿宋" w:hAnsi="仿宋" w:eastAsia="仿宋" w:cs="仿宋"/>
                <w:sz w:val="24"/>
                <w:szCs w:val="24"/>
              </w:rPr>
            </w:pPr>
            <w:r>
              <w:rPr>
                <w:rFonts w:hint="eastAsia" w:ascii="仿宋" w:hAnsi="仿宋" w:eastAsia="仿宋" w:cs="仿宋"/>
                <w:sz w:val="24"/>
                <w:szCs w:val="24"/>
              </w:rPr>
              <w:t>1</w:t>
            </w:r>
          </w:p>
        </w:tc>
        <w:tc>
          <w:tcPr>
            <w:tcW w:w="5390" w:type="dxa"/>
            <w:vAlign w:val="center"/>
          </w:tcPr>
          <w:p w14:paraId="2407A519">
            <w:pPr>
              <w:spacing w:line="500" w:lineRule="exact"/>
              <w:rPr>
                <w:rFonts w:hint="eastAsia" w:ascii="仿宋" w:hAnsi="仿宋" w:eastAsia="仿宋" w:cs="仿宋"/>
                <w:sz w:val="24"/>
                <w:szCs w:val="24"/>
              </w:rPr>
            </w:pPr>
            <w:r>
              <w:rPr>
                <w:rFonts w:hint="eastAsia" w:ascii="仿宋" w:hAnsi="仿宋" w:eastAsia="仿宋" w:cs="仿宋"/>
                <w:sz w:val="24"/>
                <w:szCs w:val="24"/>
              </w:rPr>
              <w:t>满足招标文件全部实质性要求，且按照评审因素的量化指标评审得分最高的投标人为中标候选人。</w:t>
            </w:r>
          </w:p>
        </w:tc>
      </w:tr>
    </w:tbl>
    <w:p w14:paraId="6AE1D63B">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二、政府采购政策功能落实：</w:t>
      </w:r>
    </w:p>
    <w:p w14:paraId="74E488D2">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1、小微型企业价格扣除</w:t>
      </w:r>
    </w:p>
    <w:p w14:paraId="7E61D5FF">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（1）本项目对小型和微型企业产品给予10%的扣除价格，用扣除后的价格参与评审。</w:t>
      </w:r>
    </w:p>
    <w:p w14:paraId="0A5BA5A1">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（2）供应商需按照《政府采购促进中小企业发展管理办法》（财库﹝2020﹞46 号）的规定提供相应的《中小企业声明函》。</w:t>
      </w:r>
    </w:p>
    <w:p w14:paraId="78EDCD0E">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（3）企业标准请参照《关于印发中小企业划型标准规定的通知》（工信部联企业[2011]300号）文件规定自行填写。</w:t>
      </w:r>
    </w:p>
    <w:p w14:paraId="55E07B6F">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2、残疾人福利单位价格扣除</w:t>
      </w:r>
    </w:p>
    <w:p w14:paraId="1FEC3A27">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（1）本项目对残疾人福利性单位，给予10%的价格扣除，用扣除后的价格参与评审。</w:t>
      </w:r>
    </w:p>
    <w:p w14:paraId="447FA211">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（2）残疾人福利单位需按照招标文件的要求提供《残疾人福利性单位声明函》。</w:t>
      </w:r>
    </w:p>
    <w:p w14:paraId="6F792CFB">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（3）残疾人福利单位标准请参照《关于促进残疾人就业政府采购政策的通知》（财库〔2017〕141号）。</w:t>
      </w:r>
    </w:p>
    <w:p w14:paraId="16BF8BFA">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3、监狱和戒毒企业价格扣除</w:t>
      </w:r>
    </w:p>
    <w:p w14:paraId="4D69B3C9">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（1）本项目对监狱和戒毒企业（简称监狱企业）给予10%的价格扣除，用扣除后的价格参与评审。</w:t>
      </w:r>
    </w:p>
    <w:p w14:paraId="6B23082C">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39FD7E3D">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（3）监狱企业标准请参照《关于政府采购支持监狱企业发展有关问题的通知》（财库[2014]68号）。</w:t>
      </w:r>
    </w:p>
    <w:p w14:paraId="4CE0C68C">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4、残疾人福利单位、监狱企业属于小型、微型企业的，不重复享受政策。</w:t>
      </w:r>
    </w:p>
    <w:p w14:paraId="662DC146">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5、如本项目同意联合体参加投标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扣除，用扣除后的价格参与评审。</w:t>
      </w:r>
    </w:p>
    <w:p w14:paraId="045C8129">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6、联合体各方均为小型、微型企业（残疾人福利单位、监狱企业）的，联合体享受10%价格扣除，用扣除后的价格参与评审。</w:t>
      </w:r>
    </w:p>
    <w:p w14:paraId="6BD3B67E">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7、专门面向中小企业采购的项目或者采购包，不再执行价格评审优惠的扶持政策。</w:t>
      </w:r>
    </w:p>
    <w:p w14:paraId="340CED3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三、评标方法与评标标准：</w:t>
      </w:r>
    </w:p>
    <w:p w14:paraId="6EF64BE5">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本项目采用综合评分法。评委会将按下列评审因素与评审标准进行评分，总分值为100分。</w:t>
      </w:r>
    </w:p>
    <w:p w14:paraId="79CA915D">
      <w:pPr>
        <w:spacing w:line="500" w:lineRule="exact"/>
        <w:ind w:firstLine="241"/>
        <w:rPr>
          <w:rFonts w:hint="eastAsia" w:ascii="仿宋" w:hAnsi="仿宋" w:eastAsia="仿宋" w:cs="仿宋"/>
          <w:b/>
          <w:bCs/>
          <w:sz w:val="24"/>
          <w:szCs w:val="24"/>
        </w:rPr>
      </w:pPr>
      <w:r>
        <w:rPr>
          <w:rFonts w:hint="eastAsia" w:ascii="仿宋" w:hAnsi="仿宋" w:eastAsia="仿宋" w:cs="仿宋"/>
          <w:b/>
          <w:bCs/>
          <w:sz w:val="24"/>
          <w:szCs w:val="24"/>
        </w:rPr>
        <w:t>3.1价格分（30分）：</w:t>
      </w:r>
    </w:p>
    <w:p w14:paraId="6B37A2AE">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价格分统一采用低价优先法计算，即满足招标文件要求且投标价格最低的投标报价为评标基准价，其价格分为满分。其他投标人的价格分统一按照下列公式计算（注：计算过程和最后得分均四舍五入保留小数点后两位数）：</w:t>
      </w:r>
    </w:p>
    <w:p w14:paraId="5068DDD4">
      <w:pPr>
        <w:spacing w:line="500" w:lineRule="exact"/>
        <w:ind w:firstLine="555"/>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6212E827">
      <w:pPr>
        <w:spacing w:line="500" w:lineRule="exact"/>
        <w:ind w:firstLine="241"/>
        <w:rPr>
          <w:rFonts w:hint="eastAsia" w:ascii="仿宋" w:hAnsi="仿宋" w:eastAsia="仿宋" w:cs="仿宋"/>
          <w:b/>
          <w:bCs/>
          <w:sz w:val="24"/>
          <w:szCs w:val="24"/>
        </w:rPr>
      </w:pPr>
      <w:r>
        <w:rPr>
          <w:rFonts w:hint="eastAsia" w:ascii="仿宋" w:hAnsi="仿宋" w:eastAsia="仿宋" w:cs="仿宋"/>
          <w:b/>
          <w:bCs/>
          <w:sz w:val="24"/>
          <w:szCs w:val="24"/>
        </w:rPr>
        <w:t>3.2商务技术分（70分）：</w:t>
      </w:r>
    </w:p>
    <w:p w14:paraId="0A610DB7">
      <w:pPr>
        <w:spacing w:line="500" w:lineRule="exact"/>
        <w:ind w:firstLine="555"/>
        <w:rPr>
          <w:rFonts w:hint="eastAsia" w:ascii="仿宋" w:hAnsi="仿宋" w:eastAsia="仿宋" w:cs="仿宋"/>
        </w:rPr>
      </w:pPr>
      <w:r>
        <w:rPr>
          <w:rFonts w:hint="eastAsia" w:ascii="仿宋" w:hAnsi="仿宋" w:eastAsia="仿宋" w:cs="仿宋"/>
          <w:sz w:val="24"/>
          <w:szCs w:val="24"/>
        </w:rPr>
        <w:t>各供应商得分为评标小组成员评分的算术平均分，分值保留小数点后两位。</w:t>
      </w:r>
    </w:p>
    <w:tbl>
      <w:tblPr>
        <w:tblStyle w:val="36"/>
        <w:tblW w:w="92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69"/>
        <w:gridCol w:w="1487"/>
        <w:gridCol w:w="5919"/>
        <w:gridCol w:w="1068"/>
      </w:tblGrid>
      <w:tr w14:paraId="012A7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0" w:hRule="atLeast"/>
          <w:jc w:val="center"/>
        </w:trPr>
        <w:tc>
          <w:tcPr>
            <w:tcW w:w="769" w:type="dxa"/>
            <w:tcBorders>
              <w:tl2br w:val="nil"/>
              <w:tr2bl w:val="nil"/>
            </w:tcBorders>
            <w:vAlign w:val="center"/>
          </w:tcPr>
          <w:p w14:paraId="4857EE63">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序号</w:t>
            </w:r>
          </w:p>
        </w:tc>
        <w:tc>
          <w:tcPr>
            <w:tcW w:w="1487" w:type="dxa"/>
            <w:tcBorders>
              <w:tl2br w:val="nil"/>
              <w:tr2bl w:val="nil"/>
            </w:tcBorders>
            <w:vAlign w:val="center"/>
          </w:tcPr>
          <w:p w14:paraId="70611BB0">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评分点名称</w:t>
            </w:r>
          </w:p>
        </w:tc>
        <w:tc>
          <w:tcPr>
            <w:tcW w:w="5919" w:type="dxa"/>
            <w:tcBorders>
              <w:tl2br w:val="nil"/>
              <w:tr2bl w:val="nil"/>
            </w:tcBorders>
            <w:vAlign w:val="center"/>
          </w:tcPr>
          <w:p w14:paraId="587012F7">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评审标准</w:t>
            </w:r>
          </w:p>
        </w:tc>
        <w:tc>
          <w:tcPr>
            <w:tcW w:w="1068" w:type="dxa"/>
            <w:tcBorders>
              <w:tl2br w:val="nil"/>
              <w:tr2bl w:val="nil"/>
            </w:tcBorders>
            <w:vAlign w:val="center"/>
          </w:tcPr>
          <w:p w14:paraId="5E947A73">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分值（分）</w:t>
            </w:r>
          </w:p>
        </w:tc>
      </w:tr>
      <w:tr w14:paraId="31A12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769" w:type="dxa"/>
            <w:tcBorders>
              <w:tl2br w:val="nil"/>
              <w:tr2bl w:val="nil"/>
            </w:tcBorders>
            <w:vAlign w:val="center"/>
          </w:tcPr>
          <w:p w14:paraId="560EE4F4">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487" w:type="dxa"/>
            <w:tcBorders>
              <w:tl2br w:val="nil"/>
              <w:tr2bl w:val="nil"/>
            </w:tcBorders>
            <w:vAlign w:val="center"/>
          </w:tcPr>
          <w:p w14:paraId="1472448E">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rPr>
              <w:t>企业经营业绩（20分）</w:t>
            </w:r>
          </w:p>
        </w:tc>
        <w:tc>
          <w:tcPr>
            <w:tcW w:w="5919" w:type="dxa"/>
            <w:tcBorders>
              <w:tl2br w:val="nil"/>
              <w:tr2bl w:val="nil"/>
            </w:tcBorders>
            <w:vAlign w:val="center"/>
          </w:tcPr>
          <w:p w14:paraId="7EBCA757">
            <w:pPr>
              <w:spacing w:line="360" w:lineRule="auto"/>
              <w:rPr>
                <w:rFonts w:hint="eastAsia" w:ascii="仿宋" w:hAnsi="仿宋" w:eastAsia="仿宋" w:cs="仿宋"/>
                <w:sz w:val="24"/>
                <w:szCs w:val="24"/>
              </w:rPr>
            </w:pPr>
            <w:r>
              <w:rPr>
                <w:rFonts w:hint="eastAsia" w:ascii="仿宋" w:hAnsi="仿宋" w:eastAsia="仿宋" w:cs="仿宋"/>
                <w:sz w:val="24"/>
                <w:szCs w:val="24"/>
              </w:rPr>
              <w:t>（1）具有县级以上（含县级）行政主管部门颁发的环卫类（不含物业）许可证，有一个得2分，最多得2分；</w:t>
            </w:r>
          </w:p>
          <w:p w14:paraId="266CB7CF">
            <w:pPr>
              <w:spacing w:line="360" w:lineRule="auto"/>
              <w:rPr>
                <w:rFonts w:hint="eastAsia" w:ascii="仿宋" w:hAnsi="仿宋" w:eastAsia="仿宋" w:cs="仿宋"/>
                <w:sz w:val="24"/>
                <w:szCs w:val="24"/>
              </w:rPr>
            </w:pPr>
            <w:r>
              <w:rPr>
                <w:rFonts w:hint="eastAsia" w:ascii="仿宋" w:hAnsi="仿宋" w:eastAsia="仿宋" w:cs="仿宋"/>
                <w:sz w:val="24"/>
                <w:szCs w:val="24"/>
              </w:rPr>
              <w:t>（2）正、副主管及会计为本企业正式员工，具有大专及以上学历证书的（以毕业证书为准），每人按最高学历计分，大专学历的有一个得0.5分，本科学历的有一个得1分，最多得3分。</w:t>
            </w:r>
          </w:p>
          <w:p w14:paraId="33D435C6">
            <w:pPr>
              <w:spacing w:line="360" w:lineRule="auto"/>
              <w:rPr>
                <w:rFonts w:hint="eastAsia" w:ascii="仿宋" w:hAnsi="仿宋" w:eastAsia="仿宋" w:cs="仿宋"/>
                <w:sz w:val="24"/>
                <w:szCs w:val="24"/>
              </w:rPr>
            </w:pPr>
            <w:r>
              <w:rPr>
                <w:rFonts w:hint="eastAsia" w:ascii="仿宋" w:hAnsi="仿宋" w:eastAsia="仿宋" w:cs="仿宋"/>
                <w:sz w:val="24"/>
                <w:szCs w:val="24"/>
              </w:rPr>
              <w:t>（2）投标人自2023年1月1日以来（以合同签订时间为准）承担过乡镇（街道）年度类似本项目业绩，有一个业绩得3分，本项最多得15分。提供合同扫描件并加盖投标单位红色实物公章或电子签章。</w:t>
            </w:r>
          </w:p>
          <w:p w14:paraId="6F1FC1E5">
            <w:pPr>
              <w:spacing w:line="360" w:lineRule="auto"/>
              <w:rPr>
                <w:rFonts w:hint="eastAsia" w:ascii="仿宋" w:hAnsi="仿宋" w:eastAsia="仿宋" w:cs="仿宋"/>
                <w:sz w:val="24"/>
                <w:szCs w:val="24"/>
              </w:rPr>
            </w:pPr>
            <w:r>
              <w:rPr>
                <w:rFonts w:hint="eastAsia" w:ascii="仿宋" w:hAnsi="仿宋" w:eastAsia="仿宋" w:cs="仿宋"/>
                <w:sz w:val="24"/>
                <w:szCs w:val="24"/>
              </w:rPr>
              <w:t>（注：同一乡镇或街道的只计一次得分）</w:t>
            </w:r>
          </w:p>
        </w:tc>
        <w:tc>
          <w:tcPr>
            <w:tcW w:w="1068" w:type="dxa"/>
            <w:tcBorders>
              <w:tl2br w:val="nil"/>
              <w:tr2bl w:val="nil"/>
            </w:tcBorders>
            <w:vAlign w:val="center"/>
          </w:tcPr>
          <w:p w14:paraId="305E6DA5">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20</w:t>
            </w:r>
          </w:p>
        </w:tc>
      </w:tr>
      <w:tr w14:paraId="7A1F1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769" w:type="dxa"/>
            <w:tcBorders>
              <w:tl2br w:val="nil"/>
              <w:tr2bl w:val="nil"/>
            </w:tcBorders>
            <w:vAlign w:val="center"/>
          </w:tcPr>
          <w:p w14:paraId="0F178824">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1487" w:type="dxa"/>
            <w:tcBorders>
              <w:tl2br w:val="nil"/>
              <w:tr2bl w:val="nil"/>
            </w:tcBorders>
            <w:vAlign w:val="center"/>
          </w:tcPr>
          <w:p w14:paraId="14CE9370">
            <w:pPr>
              <w:widowControl/>
              <w:spacing w:line="360" w:lineRule="auto"/>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企业认证证书</w:t>
            </w:r>
          </w:p>
          <w:p w14:paraId="53FAF8AB">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（1分）</w:t>
            </w:r>
          </w:p>
        </w:tc>
        <w:tc>
          <w:tcPr>
            <w:tcW w:w="5919" w:type="dxa"/>
            <w:tcBorders>
              <w:tl2br w:val="nil"/>
              <w:tr2bl w:val="nil"/>
            </w:tcBorders>
            <w:vAlign w:val="center"/>
          </w:tcPr>
          <w:p w14:paraId="5E228ED0">
            <w:pPr>
              <w:spacing w:line="360" w:lineRule="auto"/>
              <w:rPr>
                <w:rFonts w:hint="eastAsia" w:ascii="仿宋" w:hAnsi="仿宋" w:eastAsia="仿宋" w:cs="仿宋"/>
                <w:sz w:val="24"/>
                <w:szCs w:val="24"/>
              </w:rPr>
            </w:pPr>
            <w:r>
              <w:rPr>
                <w:rFonts w:hint="eastAsia" w:ascii="仿宋" w:hAnsi="仿宋" w:eastAsia="仿宋" w:cs="仿宋"/>
                <w:sz w:val="24"/>
                <w:szCs w:val="24"/>
              </w:rPr>
              <w:t>投标人具有质量管理体系认证（ISO9001）证书的得1分。</w:t>
            </w:r>
          </w:p>
          <w:p w14:paraId="6ECDA178">
            <w:pPr>
              <w:spacing w:line="360" w:lineRule="auto"/>
              <w:rPr>
                <w:rFonts w:hint="eastAsia" w:ascii="仿宋" w:hAnsi="仿宋" w:eastAsia="仿宋" w:cs="仿宋"/>
                <w:sz w:val="24"/>
                <w:szCs w:val="24"/>
              </w:rPr>
            </w:pPr>
            <w:r>
              <w:rPr>
                <w:rFonts w:hint="eastAsia" w:ascii="仿宋" w:hAnsi="仿宋" w:eastAsia="仿宋" w:cs="仿宋"/>
                <w:sz w:val="24"/>
                <w:szCs w:val="24"/>
              </w:rPr>
              <w:t>注：证书需在有效期内，提供证书扫描件并加盖投标单位红色实物公章或电子签章。</w:t>
            </w:r>
          </w:p>
        </w:tc>
        <w:tc>
          <w:tcPr>
            <w:tcW w:w="1068" w:type="dxa"/>
            <w:tcBorders>
              <w:tl2br w:val="nil"/>
              <w:tr2bl w:val="nil"/>
            </w:tcBorders>
            <w:vAlign w:val="center"/>
          </w:tcPr>
          <w:p w14:paraId="61B8659D">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r>
      <w:tr w14:paraId="1FB89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769" w:type="dxa"/>
            <w:tcBorders>
              <w:tl2br w:val="nil"/>
              <w:tr2bl w:val="nil"/>
            </w:tcBorders>
            <w:vAlign w:val="center"/>
          </w:tcPr>
          <w:p w14:paraId="16A6FCE9">
            <w:pPr>
              <w:widowControl/>
              <w:spacing w:line="360" w:lineRule="auto"/>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3</w:t>
            </w:r>
          </w:p>
        </w:tc>
        <w:tc>
          <w:tcPr>
            <w:tcW w:w="1487" w:type="dxa"/>
            <w:tcBorders>
              <w:tl2br w:val="nil"/>
              <w:tr2bl w:val="nil"/>
            </w:tcBorders>
            <w:vAlign w:val="center"/>
          </w:tcPr>
          <w:p w14:paraId="1F412DB8">
            <w:pPr>
              <w:widowControl/>
              <w:spacing w:line="360" w:lineRule="auto"/>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企业荣誉（12分）</w:t>
            </w:r>
          </w:p>
        </w:tc>
        <w:tc>
          <w:tcPr>
            <w:tcW w:w="5919" w:type="dxa"/>
            <w:tcBorders>
              <w:tl2br w:val="nil"/>
              <w:tr2bl w:val="nil"/>
            </w:tcBorders>
            <w:vAlign w:val="center"/>
          </w:tcPr>
          <w:p w14:paraId="2283B2BA">
            <w:pPr>
              <w:spacing w:line="360" w:lineRule="auto"/>
              <w:rPr>
                <w:rFonts w:hint="eastAsia" w:ascii="仿宋" w:hAnsi="仿宋" w:eastAsia="仿宋" w:cs="仿宋"/>
                <w:sz w:val="24"/>
                <w:szCs w:val="24"/>
              </w:rPr>
            </w:pPr>
            <w:r>
              <w:rPr>
                <w:rFonts w:hint="eastAsia" w:ascii="仿宋" w:hAnsi="仿宋" w:eastAsia="仿宋" w:cs="仿宋"/>
                <w:sz w:val="24"/>
                <w:szCs w:val="24"/>
              </w:rPr>
              <w:t>投标人自2022年1月1日以来（时间以荣誉证书或获奖证书或者机关单位出具的表扬文件为准）具有相关荣誉，按以下要求评分：</w:t>
            </w:r>
          </w:p>
          <w:p w14:paraId="316C5CF7">
            <w:pPr>
              <w:spacing w:line="360" w:lineRule="auto"/>
              <w:rPr>
                <w:rFonts w:hint="eastAsia" w:ascii="仿宋" w:hAnsi="仿宋" w:eastAsia="仿宋" w:cs="仿宋"/>
                <w:sz w:val="24"/>
                <w:szCs w:val="24"/>
              </w:rPr>
            </w:pPr>
            <w:r>
              <w:rPr>
                <w:rFonts w:hint="eastAsia" w:ascii="仿宋" w:hAnsi="仿宋" w:eastAsia="仿宋" w:cs="仿宋"/>
                <w:sz w:val="24"/>
                <w:szCs w:val="24"/>
              </w:rPr>
              <w:t>1.具有县级机关单位颁发的环境卫生类（不含物业）荣誉证书或者获奖证书或者表扬信的，有1个得1分，最多得4分；</w:t>
            </w:r>
          </w:p>
          <w:p w14:paraId="25374FF1">
            <w:pPr>
              <w:spacing w:line="360" w:lineRule="auto"/>
              <w:rPr>
                <w:rFonts w:hint="eastAsia" w:ascii="仿宋" w:hAnsi="仿宋" w:eastAsia="仿宋" w:cs="仿宋"/>
                <w:sz w:val="24"/>
                <w:szCs w:val="24"/>
              </w:rPr>
            </w:pPr>
            <w:r>
              <w:rPr>
                <w:rFonts w:hint="eastAsia" w:ascii="仿宋" w:hAnsi="仿宋" w:eastAsia="仿宋" w:cs="仿宋"/>
                <w:sz w:val="24"/>
                <w:szCs w:val="24"/>
              </w:rPr>
              <w:t>2.具有地市级机关单位颁发的环境卫生类（不含物业）荣誉证书或者获奖证书或者表扬信的，有1个得2分，最多得4分；</w:t>
            </w:r>
          </w:p>
          <w:p w14:paraId="56028CB8">
            <w:pPr>
              <w:spacing w:line="360" w:lineRule="auto"/>
              <w:rPr>
                <w:rFonts w:hint="eastAsia" w:ascii="仿宋" w:hAnsi="仿宋" w:eastAsia="仿宋" w:cs="仿宋"/>
                <w:sz w:val="24"/>
                <w:szCs w:val="24"/>
              </w:rPr>
            </w:pPr>
            <w:r>
              <w:rPr>
                <w:rFonts w:hint="eastAsia" w:ascii="仿宋" w:hAnsi="仿宋" w:eastAsia="仿宋" w:cs="仿宋"/>
                <w:sz w:val="24"/>
                <w:szCs w:val="24"/>
              </w:rPr>
              <w:t>3.具有省级及以上机关单位颁发的荣誉证书或者获奖证书或者表扬信的，有1个得2分，最多得4分。</w:t>
            </w:r>
          </w:p>
          <w:p w14:paraId="3ADD4337">
            <w:pPr>
              <w:spacing w:line="360" w:lineRule="auto"/>
              <w:rPr>
                <w:rFonts w:hint="eastAsia" w:ascii="仿宋" w:hAnsi="仿宋" w:eastAsia="仿宋" w:cs="仿宋"/>
                <w:sz w:val="24"/>
                <w:szCs w:val="24"/>
              </w:rPr>
            </w:pPr>
            <w:r>
              <w:rPr>
                <w:rFonts w:hint="eastAsia" w:ascii="仿宋" w:hAnsi="仿宋" w:eastAsia="仿宋" w:cs="仿宋"/>
                <w:sz w:val="24"/>
                <w:szCs w:val="24"/>
              </w:rPr>
              <w:t>注：提供荣誉证书或获奖证书或者机关单位出具的表扬文件扫描件并加盖投标单位红色实物公章或电子签章。</w:t>
            </w:r>
          </w:p>
        </w:tc>
        <w:tc>
          <w:tcPr>
            <w:tcW w:w="1068" w:type="dxa"/>
            <w:tcBorders>
              <w:tl2br w:val="nil"/>
              <w:tr2bl w:val="nil"/>
            </w:tcBorders>
            <w:vAlign w:val="center"/>
          </w:tcPr>
          <w:p w14:paraId="55685CB0">
            <w:pPr>
              <w:widowControl/>
              <w:spacing w:line="360" w:lineRule="auto"/>
              <w:jc w:val="center"/>
              <w:textAlignment w:val="center"/>
              <w:rPr>
                <w:rFonts w:hint="eastAsia" w:ascii="仿宋" w:hAnsi="仿宋" w:eastAsia="仿宋" w:cs="仿宋"/>
                <w:sz w:val="24"/>
                <w:szCs w:val="24"/>
                <w:lang w:bidi="ar"/>
              </w:rPr>
            </w:pPr>
            <w:r>
              <w:rPr>
                <w:rFonts w:hint="eastAsia" w:ascii="仿宋" w:hAnsi="仿宋" w:eastAsia="仿宋" w:cs="仿宋"/>
                <w:sz w:val="24"/>
                <w:szCs w:val="24"/>
                <w:lang w:bidi="ar"/>
              </w:rPr>
              <w:t>12</w:t>
            </w:r>
          </w:p>
        </w:tc>
      </w:tr>
      <w:tr w14:paraId="20AD9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0" w:hRule="atLeast"/>
          <w:jc w:val="center"/>
        </w:trPr>
        <w:tc>
          <w:tcPr>
            <w:tcW w:w="769" w:type="dxa"/>
            <w:tcBorders>
              <w:tl2br w:val="nil"/>
              <w:tr2bl w:val="nil"/>
            </w:tcBorders>
            <w:vAlign w:val="center"/>
          </w:tcPr>
          <w:p w14:paraId="08C2803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487" w:type="dxa"/>
            <w:tcBorders>
              <w:tl2br w:val="nil"/>
              <w:tr2bl w:val="nil"/>
            </w:tcBorders>
            <w:vAlign w:val="center"/>
          </w:tcPr>
          <w:p w14:paraId="28BDA4A2">
            <w:pPr>
              <w:widowControl/>
              <w:spacing w:line="360" w:lineRule="auto"/>
              <w:jc w:val="center"/>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企业综合实力</w:t>
            </w:r>
          </w:p>
          <w:p w14:paraId="0E61AED9">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（8分）</w:t>
            </w:r>
          </w:p>
        </w:tc>
        <w:tc>
          <w:tcPr>
            <w:tcW w:w="5919" w:type="dxa"/>
            <w:tcBorders>
              <w:tl2br w:val="nil"/>
              <w:tr2bl w:val="nil"/>
            </w:tcBorders>
            <w:vAlign w:val="center"/>
          </w:tcPr>
          <w:p w14:paraId="547D860F">
            <w:pPr>
              <w:spacing w:line="360" w:lineRule="auto"/>
              <w:rPr>
                <w:rFonts w:hint="eastAsia" w:ascii="仿宋" w:hAnsi="仿宋" w:eastAsia="仿宋" w:cs="仿宋"/>
                <w:sz w:val="24"/>
                <w:szCs w:val="24"/>
              </w:rPr>
            </w:pPr>
            <w:r>
              <w:rPr>
                <w:rFonts w:hint="eastAsia" w:ascii="仿宋" w:hAnsi="仿宋" w:eastAsia="仿宋" w:cs="仿宋"/>
                <w:sz w:val="24"/>
                <w:szCs w:val="24"/>
              </w:rPr>
              <w:t>根据投标方案、保洁范围提高机械化率，投标单位有专业车辆和保洁船（包含压缩式垃圾车、扫洗车、高压冲洗车、雾炮车、铲车、机动保洁船等）。以上车辆、保洁船等设备须为投标单位自有财产，车辆须提供行驶证复印件、发票复印件；机动保洁船须提供发票复印件。</w:t>
            </w:r>
          </w:p>
          <w:p w14:paraId="6E8CD55F">
            <w:pPr>
              <w:spacing w:line="360" w:lineRule="auto"/>
              <w:rPr>
                <w:rFonts w:hint="eastAsia" w:ascii="仿宋" w:hAnsi="仿宋" w:eastAsia="仿宋" w:cs="仿宋"/>
                <w:sz w:val="24"/>
                <w:szCs w:val="24"/>
              </w:rPr>
            </w:pPr>
            <w:r>
              <w:rPr>
                <w:rFonts w:hint="eastAsia" w:ascii="仿宋" w:hAnsi="仿宋" w:eastAsia="仿宋" w:cs="仿宋"/>
                <w:sz w:val="24"/>
                <w:szCs w:val="24"/>
              </w:rPr>
              <w:t>具有压缩式垃圾车、扫洗车、高压冲洗车、雾炮车、铲车、机动保洁船等，以上车辆设备均至少配备一辆，在此基础上任意搭配，每有一辆得0.4分，最多得8分；</w:t>
            </w:r>
          </w:p>
          <w:p w14:paraId="2BE29B3E">
            <w:pPr>
              <w:spacing w:line="360" w:lineRule="auto"/>
              <w:rPr>
                <w:rFonts w:hint="eastAsia" w:ascii="仿宋" w:hAnsi="仿宋" w:eastAsia="仿宋" w:cs="仿宋"/>
                <w:sz w:val="24"/>
                <w:szCs w:val="24"/>
              </w:rPr>
            </w:pPr>
            <w:r>
              <w:rPr>
                <w:rFonts w:hint="eastAsia" w:ascii="仿宋" w:hAnsi="仿宋" w:eastAsia="仿宋" w:cs="仿宋"/>
                <w:sz w:val="24"/>
                <w:szCs w:val="24"/>
              </w:rPr>
              <w:t>注：提供正式购置发票扫描件（以上设备所有人须是投标单位）并加盖投标单位红色实物公章或电子签章。</w:t>
            </w:r>
          </w:p>
        </w:tc>
        <w:tc>
          <w:tcPr>
            <w:tcW w:w="1068" w:type="dxa"/>
            <w:tcBorders>
              <w:tl2br w:val="nil"/>
              <w:tr2bl w:val="nil"/>
            </w:tcBorders>
            <w:vAlign w:val="center"/>
          </w:tcPr>
          <w:p w14:paraId="2F6A6B92">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8</w:t>
            </w:r>
          </w:p>
        </w:tc>
      </w:tr>
      <w:tr w14:paraId="6829B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76" w:hRule="atLeast"/>
          <w:jc w:val="center"/>
        </w:trPr>
        <w:tc>
          <w:tcPr>
            <w:tcW w:w="769" w:type="dxa"/>
            <w:vMerge w:val="restart"/>
            <w:tcBorders>
              <w:tl2br w:val="nil"/>
              <w:tr2bl w:val="nil"/>
            </w:tcBorders>
            <w:vAlign w:val="center"/>
          </w:tcPr>
          <w:p w14:paraId="3E5CC544">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5</w:t>
            </w:r>
          </w:p>
        </w:tc>
        <w:tc>
          <w:tcPr>
            <w:tcW w:w="1487" w:type="dxa"/>
            <w:vMerge w:val="restart"/>
            <w:tcBorders>
              <w:tl2br w:val="nil"/>
              <w:tr2bl w:val="nil"/>
            </w:tcBorders>
            <w:vAlign w:val="center"/>
          </w:tcPr>
          <w:p w14:paraId="08088F55">
            <w:pPr>
              <w:widowControl/>
              <w:spacing w:line="360" w:lineRule="auto"/>
              <w:jc w:val="center"/>
              <w:textAlignment w:val="center"/>
              <w:rPr>
                <w:rFonts w:hint="eastAsia" w:ascii="仿宋" w:hAnsi="仿宋" w:eastAsia="仿宋" w:cs="仿宋"/>
                <w:b/>
                <w:bCs/>
                <w:sz w:val="24"/>
                <w:szCs w:val="24"/>
              </w:rPr>
            </w:pPr>
            <w:r>
              <w:rPr>
                <w:rFonts w:hint="eastAsia" w:ascii="仿宋" w:hAnsi="仿宋" w:eastAsia="仿宋" w:cs="仿宋"/>
                <w:b/>
                <w:bCs/>
                <w:sz w:val="24"/>
                <w:szCs w:val="24"/>
                <w:lang w:bidi="ar"/>
              </w:rPr>
              <w:t>全域保洁整体运作方案（29分）</w:t>
            </w:r>
          </w:p>
        </w:tc>
        <w:tc>
          <w:tcPr>
            <w:tcW w:w="5919" w:type="dxa"/>
            <w:tcBorders>
              <w:tl2br w:val="nil"/>
              <w:tr2bl w:val="nil"/>
            </w:tcBorders>
            <w:vAlign w:val="center"/>
          </w:tcPr>
          <w:p w14:paraId="4B6F6A3F">
            <w:pPr>
              <w:spacing w:line="360" w:lineRule="auto"/>
              <w:rPr>
                <w:rFonts w:hint="eastAsia" w:ascii="仿宋" w:hAnsi="仿宋" w:eastAsia="仿宋" w:cs="仿宋"/>
                <w:sz w:val="24"/>
                <w:szCs w:val="24"/>
              </w:rPr>
            </w:pPr>
            <w:r>
              <w:rPr>
                <w:rFonts w:hint="eastAsia" w:ascii="仿宋" w:hAnsi="仿宋" w:eastAsia="仿宋" w:cs="仿宋"/>
                <w:b/>
                <w:bCs/>
                <w:sz w:val="24"/>
                <w:szCs w:val="24"/>
                <w:lang w:bidi="ar"/>
              </w:rPr>
              <w:t>一、管理机制与各项制度（7分）</w:t>
            </w:r>
            <w:r>
              <w:rPr>
                <w:rFonts w:hint="eastAsia" w:ascii="仿宋" w:hAnsi="仿宋" w:eastAsia="仿宋" w:cs="仿宋"/>
                <w:b/>
                <w:bCs/>
                <w:sz w:val="24"/>
                <w:szCs w:val="24"/>
                <w:lang w:bidi="ar"/>
              </w:rPr>
              <w:br w:type="textWrapping"/>
            </w:r>
            <w:r>
              <w:rPr>
                <w:rFonts w:hint="eastAsia" w:ascii="仿宋" w:hAnsi="仿宋" w:eastAsia="仿宋" w:cs="仿宋"/>
                <w:sz w:val="24"/>
                <w:szCs w:val="24"/>
              </w:rPr>
              <w:t>包括：日常考核、激励考核机制、监督机制、自我约束机制、信息反馈及处理机制、人员的使用、考核、淘汰机制，其他相应管理制度。</w:t>
            </w:r>
          </w:p>
          <w:p w14:paraId="0C4BDFD6">
            <w:pPr>
              <w:spacing w:line="360" w:lineRule="auto"/>
              <w:rPr>
                <w:rFonts w:hint="eastAsia" w:ascii="仿宋" w:hAnsi="仿宋" w:eastAsia="仿宋" w:cs="仿宋"/>
                <w:sz w:val="24"/>
                <w:szCs w:val="24"/>
              </w:rPr>
            </w:pPr>
            <w:r>
              <w:rPr>
                <w:rFonts w:hint="eastAsia" w:ascii="仿宋" w:hAnsi="仿宋" w:eastAsia="仿宋" w:cs="仿宋"/>
                <w:sz w:val="24"/>
                <w:szCs w:val="24"/>
              </w:rPr>
              <w:t>1.各项机制及制度操作性强，切合实际的得7分；</w:t>
            </w:r>
          </w:p>
          <w:p w14:paraId="55D6CC43">
            <w:pPr>
              <w:spacing w:line="360" w:lineRule="auto"/>
              <w:rPr>
                <w:rFonts w:hint="eastAsia" w:ascii="仿宋" w:hAnsi="仿宋" w:eastAsia="仿宋" w:cs="仿宋"/>
                <w:sz w:val="24"/>
                <w:szCs w:val="24"/>
              </w:rPr>
            </w:pPr>
            <w:r>
              <w:rPr>
                <w:rFonts w:hint="eastAsia" w:ascii="仿宋" w:hAnsi="仿宋" w:eastAsia="仿宋" w:cs="仿宋"/>
                <w:sz w:val="24"/>
                <w:szCs w:val="24"/>
              </w:rPr>
              <w:t>2.各项机制及制度操作性一般，基本切合实际的得4分；</w:t>
            </w:r>
          </w:p>
          <w:p w14:paraId="2C671709">
            <w:pPr>
              <w:spacing w:line="360" w:lineRule="auto"/>
              <w:rPr>
                <w:rFonts w:hint="eastAsia" w:ascii="仿宋" w:hAnsi="仿宋" w:eastAsia="仿宋" w:cs="仿宋"/>
                <w:sz w:val="24"/>
                <w:szCs w:val="24"/>
              </w:rPr>
            </w:pPr>
            <w:r>
              <w:rPr>
                <w:rFonts w:hint="eastAsia" w:ascii="仿宋" w:hAnsi="仿宋" w:eastAsia="仿宋" w:cs="仿宋"/>
                <w:sz w:val="24"/>
                <w:szCs w:val="24"/>
              </w:rPr>
              <w:t>3.各项机制及制度操作性不强，不切合实际的得1分；</w:t>
            </w:r>
          </w:p>
          <w:p w14:paraId="09EB6EF1">
            <w:pPr>
              <w:spacing w:line="360" w:lineRule="auto"/>
              <w:rPr>
                <w:rFonts w:hint="eastAsia" w:ascii="仿宋" w:hAnsi="仿宋" w:eastAsia="仿宋" w:cs="仿宋"/>
                <w:sz w:val="24"/>
                <w:szCs w:val="24"/>
                <w:lang w:bidi="ar"/>
              </w:rPr>
            </w:pPr>
            <w:r>
              <w:rPr>
                <w:rFonts w:hint="eastAsia" w:ascii="仿宋" w:hAnsi="仿宋" w:eastAsia="仿宋" w:cs="仿宋"/>
                <w:sz w:val="24"/>
                <w:szCs w:val="24"/>
              </w:rPr>
              <w:t>4.未提供方案的不得分。</w:t>
            </w:r>
          </w:p>
        </w:tc>
        <w:tc>
          <w:tcPr>
            <w:tcW w:w="1068" w:type="dxa"/>
            <w:tcBorders>
              <w:tl2br w:val="nil"/>
              <w:tr2bl w:val="nil"/>
            </w:tcBorders>
            <w:vAlign w:val="center"/>
          </w:tcPr>
          <w:p w14:paraId="280BCFA5">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7</w:t>
            </w:r>
          </w:p>
        </w:tc>
      </w:tr>
      <w:tr w14:paraId="54364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8" w:hRule="atLeast"/>
          <w:jc w:val="center"/>
        </w:trPr>
        <w:tc>
          <w:tcPr>
            <w:tcW w:w="769" w:type="dxa"/>
            <w:vMerge w:val="continue"/>
            <w:tcBorders>
              <w:tl2br w:val="nil"/>
              <w:tr2bl w:val="nil"/>
            </w:tcBorders>
            <w:vAlign w:val="center"/>
          </w:tcPr>
          <w:p w14:paraId="23DE8DCC">
            <w:pPr>
              <w:spacing w:line="360" w:lineRule="auto"/>
              <w:jc w:val="center"/>
              <w:rPr>
                <w:rFonts w:hint="eastAsia" w:ascii="仿宋" w:hAnsi="仿宋" w:eastAsia="仿宋" w:cs="仿宋"/>
                <w:sz w:val="24"/>
                <w:szCs w:val="24"/>
              </w:rPr>
            </w:pPr>
          </w:p>
        </w:tc>
        <w:tc>
          <w:tcPr>
            <w:tcW w:w="1487" w:type="dxa"/>
            <w:vMerge w:val="continue"/>
            <w:tcBorders>
              <w:tl2br w:val="nil"/>
              <w:tr2bl w:val="nil"/>
            </w:tcBorders>
            <w:vAlign w:val="center"/>
          </w:tcPr>
          <w:p w14:paraId="2BF29E0E">
            <w:pPr>
              <w:spacing w:line="360" w:lineRule="auto"/>
              <w:jc w:val="center"/>
              <w:rPr>
                <w:rFonts w:hint="eastAsia" w:ascii="仿宋" w:hAnsi="仿宋" w:eastAsia="仿宋" w:cs="仿宋"/>
                <w:b/>
                <w:bCs/>
                <w:sz w:val="24"/>
                <w:szCs w:val="24"/>
              </w:rPr>
            </w:pPr>
          </w:p>
        </w:tc>
        <w:tc>
          <w:tcPr>
            <w:tcW w:w="5919" w:type="dxa"/>
            <w:tcBorders>
              <w:tl2br w:val="nil"/>
              <w:tr2bl w:val="nil"/>
            </w:tcBorders>
            <w:vAlign w:val="center"/>
          </w:tcPr>
          <w:p w14:paraId="15A65BDA">
            <w:pPr>
              <w:widowControl/>
              <w:spacing w:line="360" w:lineRule="auto"/>
              <w:jc w:val="left"/>
              <w:textAlignment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二、作业方案（7分）</w:t>
            </w:r>
          </w:p>
          <w:p w14:paraId="2A1E68BA">
            <w:pPr>
              <w:spacing w:line="360" w:lineRule="auto"/>
              <w:rPr>
                <w:rFonts w:hint="eastAsia" w:ascii="仿宋" w:hAnsi="仿宋" w:eastAsia="仿宋" w:cs="仿宋"/>
                <w:sz w:val="24"/>
                <w:szCs w:val="24"/>
              </w:rPr>
            </w:pPr>
            <w:r>
              <w:rPr>
                <w:rFonts w:hint="eastAsia" w:ascii="仿宋" w:hAnsi="仿宋" w:eastAsia="仿宋" w:cs="仿宋"/>
                <w:sz w:val="24"/>
                <w:szCs w:val="24"/>
              </w:rPr>
              <w:t>包括：项目负责人、管理人员、作业人员和作业设备投入、工作流程、垃圾日产日清方案、垃圾分类控制。</w:t>
            </w:r>
          </w:p>
          <w:p w14:paraId="6BA479B0">
            <w:pPr>
              <w:spacing w:line="360" w:lineRule="auto"/>
              <w:rPr>
                <w:rFonts w:hint="eastAsia" w:ascii="仿宋" w:hAnsi="仿宋" w:eastAsia="仿宋" w:cs="仿宋"/>
                <w:sz w:val="24"/>
                <w:szCs w:val="24"/>
              </w:rPr>
            </w:pPr>
            <w:r>
              <w:rPr>
                <w:rFonts w:hint="eastAsia" w:ascii="仿宋" w:hAnsi="仿宋" w:eastAsia="仿宋" w:cs="仿宋"/>
                <w:sz w:val="24"/>
                <w:szCs w:val="24"/>
              </w:rPr>
              <w:t>1.方案操作性强，切合实际的得7分；</w:t>
            </w:r>
          </w:p>
          <w:p w14:paraId="1FDD5824">
            <w:pPr>
              <w:spacing w:line="360" w:lineRule="auto"/>
              <w:rPr>
                <w:rFonts w:hint="eastAsia" w:ascii="仿宋" w:hAnsi="仿宋" w:eastAsia="仿宋" w:cs="仿宋"/>
                <w:sz w:val="24"/>
                <w:szCs w:val="24"/>
              </w:rPr>
            </w:pPr>
            <w:r>
              <w:rPr>
                <w:rFonts w:hint="eastAsia" w:ascii="仿宋" w:hAnsi="仿宋" w:eastAsia="仿宋" w:cs="仿宋"/>
                <w:sz w:val="24"/>
                <w:szCs w:val="24"/>
              </w:rPr>
              <w:t>2.方案操作性一般，基本切合实际的得4分；</w:t>
            </w:r>
          </w:p>
          <w:p w14:paraId="098B12A8">
            <w:pPr>
              <w:spacing w:line="360" w:lineRule="auto"/>
              <w:rPr>
                <w:rFonts w:hint="eastAsia" w:ascii="仿宋" w:hAnsi="仿宋" w:eastAsia="仿宋" w:cs="仿宋"/>
                <w:sz w:val="24"/>
                <w:szCs w:val="24"/>
              </w:rPr>
            </w:pPr>
            <w:r>
              <w:rPr>
                <w:rFonts w:hint="eastAsia" w:ascii="仿宋" w:hAnsi="仿宋" w:eastAsia="仿宋" w:cs="仿宋"/>
                <w:sz w:val="24"/>
                <w:szCs w:val="24"/>
              </w:rPr>
              <w:t>3.方案操作性不强，不切合实际的得1分；</w:t>
            </w:r>
          </w:p>
          <w:p w14:paraId="375765A3">
            <w:pPr>
              <w:spacing w:line="360" w:lineRule="auto"/>
              <w:rPr>
                <w:rFonts w:hint="eastAsia" w:ascii="仿宋" w:hAnsi="仿宋" w:eastAsia="仿宋" w:cs="仿宋"/>
                <w:sz w:val="24"/>
                <w:szCs w:val="24"/>
                <w:lang w:bidi="ar"/>
              </w:rPr>
            </w:pPr>
            <w:r>
              <w:rPr>
                <w:rFonts w:hint="eastAsia" w:ascii="仿宋" w:hAnsi="仿宋" w:eastAsia="仿宋" w:cs="仿宋"/>
                <w:sz w:val="24"/>
                <w:szCs w:val="24"/>
              </w:rPr>
              <w:t>4.未提供方案不得分。</w:t>
            </w:r>
          </w:p>
        </w:tc>
        <w:tc>
          <w:tcPr>
            <w:tcW w:w="1068" w:type="dxa"/>
            <w:tcBorders>
              <w:tl2br w:val="nil"/>
              <w:tr2bl w:val="nil"/>
            </w:tcBorders>
            <w:vAlign w:val="center"/>
          </w:tcPr>
          <w:p w14:paraId="2EE2F74E">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7</w:t>
            </w:r>
          </w:p>
        </w:tc>
      </w:tr>
      <w:tr w14:paraId="5C452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0" w:hRule="atLeast"/>
          <w:jc w:val="center"/>
        </w:trPr>
        <w:tc>
          <w:tcPr>
            <w:tcW w:w="769" w:type="dxa"/>
            <w:vMerge w:val="continue"/>
            <w:tcBorders>
              <w:tl2br w:val="nil"/>
              <w:tr2bl w:val="nil"/>
            </w:tcBorders>
            <w:vAlign w:val="center"/>
          </w:tcPr>
          <w:p w14:paraId="40DD82F6">
            <w:pPr>
              <w:spacing w:line="360" w:lineRule="auto"/>
              <w:jc w:val="center"/>
              <w:rPr>
                <w:rFonts w:hint="eastAsia" w:ascii="仿宋" w:hAnsi="仿宋" w:eastAsia="仿宋" w:cs="仿宋"/>
                <w:sz w:val="24"/>
                <w:szCs w:val="24"/>
              </w:rPr>
            </w:pPr>
          </w:p>
        </w:tc>
        <w:tc>
          <w:tcPr>
            <w:tcW w:w="1487" w:type="dxa"/>
            <w:vMerge w:val="continue"/>
            <w:tcBorders>
              <w:tl2br w:val="nil"/>
              <w:tr2bl w:val="nil"/>
            </w:tcBorders>
            <w:vAlign w:val="center"/>
          </w:tcPr>
          <w:p w14:paraId="0CF5E1D9">
            <w:pPr>
              <w:spacing w:line="360" w:lineRule="auto"/>
              <w:jc w:val="center"/>
              <w:rPr>
                <w:rFonts w:hint="eastAsia" w:ascii="仿宋" w:hAnsi="仿宋" w:eastAsia="仿宋" w:cs="仿宋"/>
                <w:b/>
                <w:bCs/>
                <w:sz w:val="24"/>
                <w:szCs w:val="24"/>
              </w:rPr>
            </w:pPr>
          </w:p>
        </w:tc>
        <w:tc>
          <w:tcPr>
            <w:tcW w:w="5919" w:type="dxa"/>
            <w:tcBorders>
              <w:tl2br w:val="nil"/>
              <w:tr2bl w:val="nil"/>
            </w:tcBorders>
            <w:vAlign w:val="center"/>
          </w:tcPr>
          <w:p w14:paraId="4FE60A70">
            <w:pPr>
              <w:widowControl/>
              <w:spacing w:line="360" w:lineRule="auto"/>
              <w:jc w:val="left"/>
              <w:textAlignment w:val="center"/>
              <w:rPr>
                <w:rStyle w:val="222"/>
                <w:rFonts w:hint="default" w:ascii="仿宋" w:hAnsi="仿宋" w:eastAsia="仿宋" w:cs="仿宋"/>
                <w:b/>
                <w:bCs/>
                <w:color w:val="auto"/>
                <w:lang w:bidi="ar"/>
              </w:rPr>
            </w:pPr>
            <w:r>
              <w:rPr>
                <w:rStyle w:val="222"/>
                <w:rFonts w:hint="default" w:ascii="仿宋" w:hAnsi="仿宋" w:eastAsia="仿宋" w:cs="仿宋"/>
                <w:b/>
                <w:bCs/>
                <w:color w:val="auto"/>
                <w:lang w:bidi="ar"/>
              </w:rPr>
              <w:t>三、安全措施（7分）</w:t>
            </w:r>
          </w:p>
          <w:p w14:paraId="472B44E7">
            <w:pPr>
              <w:spacing w:line="360" w:lineRule="auto"/>
              <w:rPr>
                <w:rFonts w:hint="eastAsia" w:ascii="仿宋" w:hAnsi="仿宋" w:eastAsia="仿宋" w:cs="仿宋"/>
                <w:sz w:val="24"/>
                <w:szCs w:val="24"/>
              </w:rPr>
            </w:pPr>
            <w:r>
              <w:rPr>
                <w:rFonts w:hint="eastAsia" w:ascii="仿宋" w:hAnsi="仿宋" w:eastAsia="仿宋" w:cs="仿宋"/>
                <w:sz w:val="24"/>
                <w:szCs w:val="24"/>
              </w:rPr>
              <w:t>包括：安全制度、安全实施器材配备、规范用工及安全文明作业保障措施、劳动保护、安全事故处理措施。</w:t>
            </w:r>
          </w:p>
          <w:p w14:paraId="61FF2011">
            <w:pPr>
              <w:spacing w:line="360" w:lineRule="auto"/>
              <w:rPr>
                <w:rFonts w:hint="eastAsia" w:ascii="仿宋" w:hAnsi="仿宋" w:eastAsia="仿宋" w:cs="仿宋"/>
                <w:sz w:val="24"/>
                <w:szCs w:val="24"/>
              </w:rPr>
            </w:pPr>
            <w:r>
              <w:rPr>
                <w:rFonts w:hint="eastAsia" w:ascii="仿宋" w:hAnsi="仿宋" w:eastAsia="仿宋" w:cs="仿宋"/>
                <w:sz w:val="24"/>
                <w:szCs w:val="24"/>
              </w:rPr>
              <w:t>1.安全措施方案操作性强，切合实际的得7分；</w:t>
            </w:r>
          </w:p>
          <w:p w14:paraId="137E1754">
            <w:pPr>
              <w:spacing w:line="360" w:lineRule="auto"/>
              <w:rPr>
                <w:rFonts w:hint="eastAsia" w:ascii="仿宋" w:hAnsi="仿宋" w:eastAsia="仿宋" w:cs="仿宋"/>
                <w:sz w:val="24"/>
                <w:szCs w:val="24"/>
              </w:rPr>
            </w:pPr>
            <w:r>
              <w:rPr>
                <w:rFonts w:hint="eastAsia" w:ascii="仿宋" w:hAnsi="仿宋" w:eastAsia="仿宋" w:cs="仿宋"/>
                <w:sz w:val="24"/>
                <w:szCs w:val="24"/>
              </w:rPr>
              <w:t>2.安全措施方案操作性一般，基本切合实际的得4分；</w:t>
            </w:r>
          </w:p>
          <w:p w14:paraId="67519B40">
            <w:pPr>
              <w:spacing w:line="360" w:lineRule="auto"/>
              <w:rPr>
                <w:rFonts w:hint="eastAsia" w:ascii="仿宋" w:hAnsi="仿宋" w:eastAsia="仿宋" w:cs="仿宋"/>
                <w:sz w:val="24"/>
                <w:szCs w:val="24"/>
              </w:rPr>
            </w:pPr>
            <w:r>
              <w:rPr>
                <w:rFonts w:hint="eastAsia" w:ascii="仿宋" w:hAnsi="仿宋" w:eastAsia="仿宋" w:cs="仿宋"/>
                <w:sz w:val="24"/>
                <w:szCs w:val="24"/>
              </w:rPr>
              <w:t>3.安全措施方案操作性不强，不切合实际的得1分；</w:t>
            </w:r>
          </w:p>
          <w:p w14:paraId="40BDC6C2">
            <w:pPr>
              <w:spacing w:line="360" w:lineRule="auto"/>
              <w:rPr>
                <w:rFonts w:hint="eastAsia" w:ascii="仿宋" w:hAnsi="仿宋" w:eastAsia="仿宋" w:cs="仿宋"/>
              </w:rPr>
            </w:pPr>
            <w:r>
              <w:rPr>
                <w:rFonts w:hint="eastAsia" w:ascii="仿宋" w:hAnsi="仿宋" w:eastAsia="仿宋" w:cs="仿宋"/>
                <w:sz w:val="24"/>
                <w:szCs w:val="24"/>
              </w:rPr>
              <w:t>4.未提供方案不得分。</w:t>
            </w:r>
          </w:p>
        </w:tc>
        <w:tc>
          <w:tcPr>
            <w:tcW w:w="1068" w:type="dxa"/>
            <w:tcBorders>
              <w:tl2br w:val="nil"/>
              <w:tr2bl w:val="nil"/>
            </w:tcBorders>
            <w:vAlign w:val="center"/>
          </w:tcPr>
          <w:p w14:paraId="4B7ED884">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7</w:t>
            </w:r>
          </w:p>
        </w:tc>
      </w:tr>
      <w:tr w14:paraId="42EBB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0" w:hRule="atLeast"/>
          <w:jc w:val="center"/>
        </w:trPr>
        <w:tc>
          <w:tcPr>
            <w:tcW w:w="769" w:type="dxa"/>
            <w:vMerge w:val="continue"/>
            <w:tcBorders>
              <w:tl2br w:val="nil"/>
              <w:tr2bl w:val="nil"/>
            </w:tcBorders>
            <w:vAlign w:val="center"/>
          </w:tcPr>
          <w:p w14:paraId="6470D618">
            <w:pPr>
              <w:spacing w:line="360" w:lineRule="auto"/>
              <w:jc w:val="center"/>
              <w:rPr>
                <w:rFonts w:hint="eastAsia" w:ascii="仿宋" w:hAnsi="仿宋" w:eastAsia="仿宋" w:cs="仿宋"/>
                <w:sz w:val="24"/>
                <w:szCs w:val="24"/>
              </w:rPr>
            </w:pPr>
          </w:p>
        </w:tc>
        <w:tc>
          <w:tcPr>
            <w:tcW w:w="1487" w:type="dxa"/>
            <w:vMerge w:val="continue"/>
            <w:tcBorders>
              <w:tl2br w:val="nil"/>
              <w:tr2bl w:val="nil"/>
            </w:tcBorders>
            <w:vAlign w:val="center"/>
          </w:tcPr>
          <w:p w14:paraId="57D24251">
            <w:pPr>
              <w:spacing w:line="360" w:lineRule="auto"/>
              <w:jc w:val="center"/>
              <w:rPr>
                <w:rFonts w:hint="eastAsia" w:ascii="仿宋" w:hAnsi="仿宋" w:eastAsia="仿宋" w:cs="仿宋"/>
                <w:b/>
                <w:bCs/>
                <w:sz w:val="24"/>
                <w:szCs w:val="24"/>
              </w:rPr>
            </w:pPr>
          </w:p>
        </w:tc>
        <w:tc>
          <w:tcPr>
            <w:tcW w:w="5919" w:type="dxa"/>
            <w:tcBorders>
              <w:tl2br w:val="nil"/>
              <w:tr2bl w:val="nil"/>
            </w:tcBorders>
            <w:vAlign w:val="center"/>
          </w:tcPr>
          <w:p w14:paraId="3846F0F9">
            <w:pPr>
              <w:widowControl/>
              <w:spacing w:line="360" w:lineRule="auto"/>
              <w:jc w:val="left"/>
              <w:textAlignment w:val="center"/>
              <w:rPr>
                <w:rStyle w:val="222"/>
                <w:rFonts w:hint="default" w:ascii="仿宋" w:hAnsi="仿宋" w:eastAsia="仿宋" w:cs="仿宋"/>
                <w:b/>
                <w:bCs/>
                <w:color w:val="auto"/>
                <w:lang w:bidi="ar"/>
              </w:rPr>
            </w:pPr>
            <w:r>
              <w:rPr>
                <w:rStyle w:val="222"/>
                <w:rFonts w:hint="default" w:ascii="仿宋" w:hAnsi="仿宋" w:eastAsia="仿宋" w:cs="仿宋"/>
                <w:b/>
                <w:bCs/>
                <w:color w:val="auto"/>
                <w:lang w:bidi="ar"/>
              </w:rPr>
              <w:t>四、应急措施（7分）</w:t>
            </w:r>
          </w:p>
          <w:p w14:paraId="1497483E">
            <w:pPr>
              <w:spacing w:line="360" w:lineRule="auto"/>
              <w:rPr>
                <w:rFonts w:hint="eastAsia" w:ascii="仿宋" w:hAnsi="仿宋" w:eastAsia="仿宋" w:cs="仿宋"/>
                <w:sz w:val="24"/>
                <w:szCs w:val="24"/>
              </w:rPr>
            </w:pPr>
            <w:r>
              <w:rPr>
                <w:rFonts w:hint="eastAsia" w:ascii="仿宋" w:hAnsi="仿宋" w:eastAsia="仿宋" w:cs="仿宋"/>
                <w:sz w:val="24"/>
                <w:szCs w:val="24"/>
              </w:rPr>
              <w:t>包括：节假日预案、迎接重大活动及检查评比的保障措施、突发事件的处理方案及措施。</w:t>
            </w:r>
          </w:p>
          <w:p w14:paraId="0ABB2674">
            <w:pPr>
              <w:spacing w:line="360" w:lineRule="auto"/>
              <w:rPr>
                <w:rFonts w:hint="eastAsia" w:ascii="仿宋" w:hAnsi="仿宋" w:eastAsia="仿宋" w:cs="仿宋"/>
                <w:sz w:val="24"/>
                <w:szCs w:val="24"/>
              </w:rPr>
            </w:pPr>
            <w:r>
              <w:rPr>
                <w:rFonts w:hint="eastAsia" w:ascii="仿宋" w:hAnsi="仿宋" w:eastAsia="仿宋" w:cs="仿宋"/>
                <w:sz w:val="24"/>
                <w:szCs w:val="24"/>
              </w:rPr>
              <w:t>1.应急措施方案操作性强，切合实际的得7分；</w:t>
            </w:r>
          </w:p>
          <w:p w14:paraId="48BEDEE5">
            <w:pPr>
              <w:spacing w:line="360" w:lineRule="auto"/>
              <w:rPr>
                <w:rFonts w:hint="eastAsia" w:ascii="仿宋" w:hAnsi="仿宋" w:eastAsia="仿宋" w:cs="仿宋"/>
                <w:sz w:val="24"/>
                <w:szCs w:val="24"/>
              </w:rPr>
            </w:pPr>
            <w:r>
              <w:rPr>
                <w:rFonts w:hint="eastAsia" w:ascii="仿宋" w:hAnsi="仿宋" w:eastAsia="仿宋" w:cs="仿宋"/>
                <w:sz w:val="24"/>
                <w:szCs w:val="24"/>
              </w:rPr>
              <w:t>2.应急措施方案操作性一般，基本切合实际的得4分；</w:t>
            </w:r>
          </w:p>
          <w:p w14:paraId="5D79DE37">
            <w:pPr>
              <w:spacing w:line="360" w:lineRule="auto"/>
              <w:rPr>
                <w:rFonts w:hint="eastAsia" w:ascii="仿宋" w:hAnsi="仿宋" w:eastAsia="仿宋" w:cs="仿宋"/>
                <w:sz w:val="24"/>
                <w:szCs w:val="24"/>
              </w:rPr>
            </w:pPr>
            <w:r>
              <w:rPr>
                <w:rFonts w:hint="eastAsia" w:ascii="仿宋" w:hAnsi="仿宋" w:eastAsia="仿宋" w:cs="仿宋"/>
                <w:sz w:val="24"/>
                <w:szCs w:val="24"/>
              </w:rPr>
              <w:t>3.应急措施方案操作性不强，不切合实际的得1分；</w:t>
            </w:r>
          </w:p>
          <w:p w14:paraId="274EDAD2">
            <w:pPr>
              <w:spacing w:line="360" w:lineRule="auto"/>
              <w:rPr>
                <w:rFonts w:hint="eastAsia" w:ascii="仿宋" w:hAnsi="仿宋" w:eastAsia="仿宋" w:cs="仿宋"/>
              </w:rPr>
            </w:pPr>
            <w:r>
              <w:rPr>
                <w:rFonts w:hint="eastAsia" w:ascii="仿宋" w:hAnsi="仿宋" w:eastAsia="仿宋" w:cs="仿宋"/>
                <w:sz w:val="24"/>
                <w:szCs w:val="24"/>
              </w:rPr>
              <w:t>4.未提供方案不得分。</w:t>
            </w:r>
          </w:p>
        </w:tc>
        <w:tc>
          <w:tcPr>
            <w:tcW w:w="1068" w:type="dxa"/>
            <w:tcBorders>
              <w:tl2br w:val="nil"/>
              <w:tr2bl w:val="nil"/>
            </w:tcBorders>
            <w:vAlign w:val="center"/>
          </w:tcPr>
          <w:p w14:paraId="172D60EA">
            <w:pPr>
              <w:widowControl/>
              <w:spacing w:line="360" w:lineRule="auto"/>
              <w:jc w:val="center"/>
              <w:textAlignment w:val="center"/>
              <w:rPr>
                <w:rStyle w:val="222"/>
                <w:rFonts w:hint="default" w:ascii="仿宋" w:hAnsi="仿宋" w:eastAsia="仿宋" w:cs="仿宋"/>
                <w:color w:val="auto"/>
                <w:lang w:bidi="ar"/>
              </w:rPr>
            </w:pPr>
            <w:r>
              <w:rPr>
                <w:rStyle w:val="222"/>
                <w:rFonts w:hint="default" w:ascii="仿宋" w:hAnsi="仿宋" w:eastAsia="仿宋" w:cs="仿宋"/>
                <w:color w:val="auto"/>
                <w:lang w:bidi="ar"/>
              </w:rPr>
              <w:t>7</w:t>
            </w:r>
          </w:p>
        </w:tc>
      </w:tr>
      <w:tr w14:paraId="572AB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2" w:hRule="atLeast"/>
          <w:jc w:val="center"/>
        </w:trPr>
        <w:tc>
          <w:tcPr>
            <w:tcW w:w="769" w:type="dxa"/>
            <w:vMerge w:val="continue"/>
            <w:tcBorders>
              <w:tl2br w:val="nil"/>
              <w:tr2bl w:val="nil"/>
            </w:tcBorders>
            <w:vAlign w:val="center"/>
          </w:tcPr>
          <w:p w14:paraId="67763F2C">
            <w:pPr>
              <w:spacing w:line="360" w:lineRule="auto"/>
              <w:jc w:val="center"/>
              <w:rPr>
                <w:rFonts w:hint="eastAsia" w:ascii="仿宋" w:hAnsi="仿宋" w:eastAsia="仿宋" w:cs="仿宋"/>
                <w:sz w:val="24"/>
                <w:szCs w:val="24"/>
              </w:rPr>
            </w:pPr>
          </w:p>
        </w:tc>
        <w:tc>
          <w:tcPr>
            <w:tcW w:w="1487" w:type="dxa"/>
            <w:vMerge w:val="continue"/>
            <w:tcBorders>
              <w:tl2br w:val="nil"/>
              <w:tr2bl w:val="nil"/>
            </w:tcBorders>
            <w:vAlign w:val="center"/>
          </w:tcPr>
          <w:p w14:paraId="3E6258F2">
            <w:pPr>
              <w:spacing w:line="360" w:lineRule="auto"/>
              <w:jc w:val="center"/>
              <w:rPr>
                <w:rFonts w:hint="eastAsia" w:ascii="仿宋" w:hAnsi="仿宋" w:eastAsia="仿宋" w:cs="仿宋"/>
                <w:b/>
                <w:bCs/>
                <w:sz w:val="24"/>
                <w:szCs w:val="24"/>
              </w:rPr>
            </w:pPr>
          </w:p>
        </w:tc>
        <w:tc>
          <w:tcPr>
            <w:tcW w:w="5919" w:type="dxa"/>
            <w:tcBorders>
              <w:tl2br w:val="nil"/>
              <w:tr2bl w:val="nil"/>
            </w:tcBorders>
            <w:vAlign w:val="center"/>
          </w:tcPr>
          <w:p w14:paraId="5DFB0D36">
            <w:pPr>
              <w:spacing w:line="360" w:lineRule="auto"/>
              <w:rPr>
                <w:rFonts w:hint="eastAsia" w:ascii="仿宋" w:hAnsi="仿宋" w:eastAsia="仿宋" w:cs="仿宋"/>
                <w:sz w:val="24"/>
                <w:szCs w:val="24"/>
              </w:rPr>
            </w:pPr>
            <w:r>
              <w:rPr>
                <w:rFonts w:hint="eastAsia" w:ascii="仿宋" w:hAnsi="仿宋" w:eastAsia="仿宋" w:cs="仿宋"/>
                <w:b/>
                <w:bCs/>
                <w:sz w:val="24"/>
                <w:szCs w:val="24"/>
                <w:lang w:bidi="ar"/>
              </w:rPr>
              <w:t>五、各项承诺（1分）</w:t>
            </w:r>
            <w:r>
              <w:rPr>
                <w:rFonts w:hint="eastAsia" w:ascii="仿宋" w:hAnsi="仿宋" w:eastAsia="仿宋" w:cs="仿宋"/>
                <w:b/>
                <w:bCs/>
                <w:sz w:val="24"/>
                <w:szCs w:val="24"/>
                <w:lang w:bidi="ar"/>
              </w:rPr>
              <w:br w:type="textWrapping"/>
            </w:r>
            <w:r>
              <w:rPr>
                <w:rFonts w:hint="eastAsia" w:ascii="仿宋" w:hAnsi="仿宋" w:eastAsia="仿宋" w:cs="仿宋"/>
                <w:sz w:val="24"/>
                <w:szCs w:val="24"/>
              </w:rPr>
              <w:t>包括质量承诺、对发生各类安全事故善后处理承诺、依法规范用工承诺、应对履约期内各类风险承诺、应对不可抗力事件及时处理承诺等。全部提供得1分。</w:t>
            </w:r>
          </w:p>
          <w:p w14:paraId="0336AD88">
            <w:pPr>
              <w:spacing w:line="360" w:lineRule="auto"/>
              <w:rPr>
                <w:rFonts w:hint="eastAsia" w:ascii="仿宋" w:hAnsi="仿宋" w:eastAsia="仿宋" w:cs="仿宋"/>
                <w:b/>
                <w:bCs/>
                <w:sz w:val="24"/>
                <w:szCs w:val="24"/>
              </w:rPr>
            </w:pPr>
            <w:r>
              <w:rPr>
                <w:rFonts w:hint="eastAsia" w:ascii="仿宋" w:hAnsi="仿宋" w:eastAsia="仿宋" w:cs="仿宋"/>
                <w:sz w:val="24"/>
                <w:szCs w:val="24"/>
              </w:rPr>
              <w:t>须提供承诺书，格式自拟，内容需包含但不限于以上需承诺内容。</w:t>
            </w:r>
          </w:p>
        </w:tc>
        <w:tc>
          <w:tcPr>
            <w:tcW w:w="1068" w:type="dxa"/>
            <w:tcBorders>
              <w:tl2br w:val="nil"/>
              <w:tr2bl w:val="nil"/>
            </w:tcBorders>
            <w:vAlign w:val="center"/>
          </w:tcPr>
          <w:p w14:paraId="63ABF6DF">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bidi="ar"/>
              </w:rPr>
              <w:t>1</w:t>
            </w:r>
          </w:p>
        </w:tc>
      </w:tr>
    </w:tbl>
    <w:p w14:paraId="1D11E734">
      <w:pPr>
        <w:pStyle w:val="35"/>
        <w:ind w:firstLine="0"/>
        <w:rPr>
          <w:rFonts w:hint="eastAsia" w:ascii="仿宋" w:hAnsi="仿宋" w:eastAsia="仿宋" w:cs="仿宋"/>
          <w:sz w:val="22"/>
          <w:szCs w:val="22"/>
        </w:rPr>
      </w:pPr>
    </w:p>
    <w:p w14:paraId="52DF81A4">
      <w:pPr>
        <w:widowControl/>
        <w:jc w:val="left"/>
        <w:rPr>
          <w:rFonts w:hint="eastAsia" w:ascii="宋体" w:hAnsi="宋体"/>
          <w:szCs w:val="20"/>
        </w:rPr>
      </w:pPr>
      <w:r>
        <w:rPr/>
        <w:br w:type="page" w:clear="all"/>
      </w:r>
    </w:p>
    <w:p w14:paraId="637D62EB">
      <w:pPr>
        <w:pStyle w:val="35"/>
        <w:rPr>
          <w:rFonts w:hint="eastAsia"/>
        </w:rPr>
      </w:pPr>
    </w:p>
    <w:p w14:paraId="5C48B241">
      <w:pPr>
        <w:spacing w:line="560" w:lineRule="exact"/>
        <w:ind w:firstLine="480" w:firstLineChars="200"/>
        <w:jc w:val="right"/>
        <w:rPr>
          <w:rFonts w:hint="eastAsia" w:ascii="仿宋" w:hAnsi="仿宋" w:eastAsia="仿宋" w:cs="仿宋"/>
          <w:sz w:val="24"/>
          <w:szCs w:val="24"/>
        </w:rPr>
      </w:pPr>
    </w:p>
    <w:p w14:paraId="6BEB3C21">
      <w:pPr>
        <w:pStyle w:val="3"/>
        <w:ind w:firstLine="2209"/>
        <w:jc w:val="left"/>
        <w:rPr>
          <w:rFonts w:hint="eastAsia" w:ascii="仿宋" w:hAnsi="仿宋" w:eastAsia="仿宋" w:cs="仿宋"/>
          <w:b/>
          <w:sz w:val="44"/>
        </w:rPr>
      </w:pPr>
      <w:bookmarkStart w:id="197" w:name="_Toc186493271"/>
      <w:r>
        <w:rPr>
          <w:rFonts w:hint="eastAsia" w:ascii="仿宋" w:hAnsi="仿宋" w:eastAsia="仿宋" w:cs="仿宋"/>
          <w:b/>
          <w:sz w:val="44"/>
        </w:rPr>
        <w:t>第六章  投标</w:t>
      </w:r>
      <w:bookmarkEnd w:id="192"/>
      <w:bookmarkEnd w:id="193"/>
      <w:bookmarkEnd w:id="194"/>
      <w:r>
        <w:rPr>
          <w:rFonts w:hint="eastAsia" w:ascii="仿宋" w:hAnsi="仿宋" w:eastAsia="仿宋" w:cs="仿宋"/>
          <w:b/>
          <w:sz w:val="44"/>
        </w:rPr>
        <w:t>文件格式</w:t>
      </w:r>
      <w:bookmarkEnd w:id="197"/>
    </w:p>
    <w:p w14:paraId="3A6EB9FF">
      <w:pPr>
        <w:jc w:val="center"/>
        <w:rPr>
          <w:rFonts w:hint="eastAsia" w:ascii="仿宋" w:hAnsi="仿宋" w:eastAsia="仿宋" w:cs="仿宋"/>
          <w:b/>
          <w:sz w:val="72"/>
        </w:rPr>
      </w:pPr>
      <w:bookmarkStart w:id="198" w:name="_Hlt26671244"/>
      <w:bookmarkEnd w:id="198"/>
      <w:bookmarkStart w:id="199" w:name="_Hlt26955039"/>
      <w:bookmarkEnd w:id="199"/>
      <w:bookmarkStart w:id="200" w:name="_Toc26554094"/>
      <w:bookmarkStart w:id="201" w:name="_Toc49090576"/>
      <w:bookmarkStart w:id="202" w:name="_Toc120614282"/>
    </w:p>
    <w:p w14:paraId="44E236CA">
      <w:pPr>
        <w:jc w:val="center"/>
        <w:outlineLvl w:val="0"/>
        <w:rPr>
          <w:rFonts w:hint="eastAsia" w:ascii="仿宋" w:hAnsi="仿宋" w:eastAsia="仿宋" w:cs="仿宋"/>
          <w:b/>
          <w:sz w:val="72"/>
        </w:rPr>
      </w:pPr>
      <w:bookmarkStart w:id="203" w:name="_Toc186493272"/>
      <w:r>
        <w:rPr>
          <w:rFonts w:hint="eastAsia" w:ascii="仿宋" w:hAnsi="仿宋" w:eastAsia="仿宋" w:cs="仿宋"/>
          <w:b/>
          <w:sz w:val="72"/>
        </w:rPr>
        <w:t>投  标  文  件</w:t>
      </w:r>
      <w:bookmarkEnd w:id="203"/>
    </w:p>
    <w:p w14:paraId="355CC457">
      <w:pPr>
        <w:jc w:val="center"/>
        <w:rPr>
          <w:rFonts w:hint="eastAsia" w:ascii="仿宋" w:hAnsi="仿宋" w:eastAsia="仿宋" w:cs="仿宋"/>
          <w:b/>
          <w:sz w:val="72"/>
        </w:rPr>
      </w:pPr>
    </w:p>
    <w:p w14:paraId="42E51918">
      <w:pPr>
        <w:jc w:val="center"/>
        <w:rPr>
          <w:rFonts w:hint="eastAsia" w:ascii="仿宋" w:hAnsi="仿宋" w:eastAsia="仿宋" w:cs="仿宋"/>
          <w:b/>
          <w:sz w:val="72"/>
        </w:rPr>
      </w:pPr>
    </w:p>
    <w:p w14:paraId="6A007F3D">
      <w:pPr>
        <w:jc w:val="center"/>
        <w:rPr>
          <w:rFonts w:hint="eastAsia" w:ascii="仿宋" w:hAnsi="仿宋" w:eastAsia="仿宋" w:cs="仿宋"/>
          <w:b/>
          <w:sz w:val="36"/>
        </w:rPr>
      </w:pPr>
    </w:p>
    <w:p w14:paraId="301E38FA">
      <w:pPr>
        <w:pStyle w:val="2"/>
      </w:pPr>
    </w:p>
    <w:p w14:paraId="127CA54A">
      <w:pPr>
        <w:jc w:val="center"/>
        <w:rPr>
          <w:rFonts w:hint="eastAsia" w:ascii="仿宋" w:hAnsi="仿宋" w:eastAsia="仿宋" w:cs="仿宋"/>
          <w:b/>
          <w:sz w:val="36"/>
        </w:rPr>
      </w:pPr>
    </w:p>
    <w:p w14:paraId="52DDD2E3">
      <w:pPr>
        <w:jc w:val="center"/>
        <w:rPr>
          <w:rFonts w:hint="eastAsia" w:ascii="仿宋" w:hAnsi="仿宋" w:eastAsia="仿宋" w:cs="仿宋"/>
          <w:b/>
          <w:sz w:val="36"/>
        </w:rPr>
      </w:pPr>
    </w:p>
    <w:p w14:paraId="22F0217D">
      <w:pPr>
        <w:ind w:firstLine="1084"/>
        <w:outlineLvl w:val="0"/>
        <w:rPr>
          <w:rFonts w:hint="eastAsia" w:ascii="仿宋" w:hAnsi="仿宋" w:eastAsia="仿宋" w:cs="仿宋"/>
          <w:b/>
          <w:sz w:val="36"/>
        </w:rPr>
      </w:pPr>
      <w:bookmarkStart w:id="204" w:name="_Toc186493273"/>
      <w:r>
        <w:rPr>
          <w:rFonts w:hint="eastAsia" w:ascii="仿宋" w:hAnsi="仿宋" w:eastAsia="仿宋" w:cs="仿宋"/>
          <w:b/>
          <w:sz w:val="36"/>
        </w:rPr>
        <w:t>项 目 名 称：</w:t>
      </w:r>
      <w:bookmarkEnd w:id="204"/>
    </w:p>
    <w:p w14:paraId="714175C6">
      <w:pPr>
        <w:ind w:firstLine="1084"/>
        <w:outlineLvl w:val="0"/>
        <w:rPr>
          <w:rFonts w:hint="eastAsia" w:ascii="仿宋" w:hAnsi="仿宋" w:eastAsia="仿宋" w:cs="仿宋"/>
          <w:b/>
          <w:sz w:val="36"/>
          <w:u w:val="single"/>
        </w:rPr>
      </w:pPr>
      <w:bookmarkStart w:id="205" w:name="_Toc186493274"/>
      <w:r>
        <w:rPr>
          <w:rFonts w:hint="eastAsia" w:ascii="仿宋" w:hAnsi="仿宋" w:eastAsia="仿宋" w:cs="仿宋"/>
          <w:b/>
          <w:sz w:val="36"/>
        </w:rPr>
        <w:t>项 目 编 号：</w:t>
      </w:r>
      <w:bookmarkEnd w:id="205"/>
    </w:p>
    <w:p w14:paraId="77502410">
      <w:pPr>
        <w:outlineLvl w:val="0"/>
        <w:rPr>
          <w:rFonts w:hint="eastAsia" w:ascii="仿宋" w:hAnsi="仿宋" w:eastAsia="仿宋" w:cs="仿宋"/>
          <w:b/>
          <w:sz w:val="36"/>
          <w:u w:val="single"/>
        </w:rPr>
      </w:pPr>
      <w:r>
        <w:rPr>
          <w:rFonts w:hint="eastAsia" w:ascii="仿宋" w:hAnsi="仿宋" w:eastAsia="仿宋" w:cs="仿宋"/>
          <w:b/>
          <w:sz w:val="36"/>
        </w:rPr>
        <w:t xml:space="preserve">      </w:t>
      </w:r>
      <w:bookmarkStart w:id="206" w:name="_Toc186493275"/>
      <w:r>
        <w:rPr>
          <w:rFonts w:hint="eastAsia" w:ascii="仿宋" w:hAnsi="仿宋" w:eastAsia="仿宋" w:cs="仿宋"/>
          <w:b/>
          <w:sz w:val="36"/>
        </w:rPr>
        <w:t>投标人名称 ：</w:t>
      </w:r>
      <w:r>
        <w:rPr>
          <w:rFonts w:hint="eastAsia" w:ascii="仿宋" w:hAnsi="仿宋" w:eastAsia="仿宋" w:cs="仿宋"/>
          <w:b/>
          <w:sz w:val="36"/>
          <w:u w:val="single"/>
        </w:rPr>
        <w:t>（加盖CA电子公章）</w:t>
      </w:r>
      <w:bookmarkEnd w:id="206"/>
    </w:p>
    <w:p w14:paraId="588472D2">
      <w:pPr>
        <w:outlineLvl w:val="0"/>
        <w:rPr>
          <w:rFonts w:hint="eastAsia" w:ascii="仿宋" w:hAnsi="仿宋" w:eastAsia="仿宋" w:cs="仿宋"/>
          <w:b/>
          <w:sz w:val="36"/>
          <w:u w:val="single"/>
        </w:rPr>
      </w:pPr>
      <w:r>
        <w:rPr>
          <w:rFonts w:hint="eastAsia" w:ascii="仿宋" w:hAnsi="仿宋" w:eastAsia="仿宋" w:cs="仿宋"/>
          <w:b/>
          <w:sz w:val="36"/>
        </w:rPr>
        <w:t xml:space="preserve">      </w:t>
      </w:r>
      <w:bookmarkStart w:id="207" w:name="_Toc186493276"/>
      <w:r>
        <w:rPr>
          <w:rFonts w:hint="eastAsia" w:ascii="仿宋" w:hAnsi="仿宋" w:eastAsia="仿宋" w:cs="仿宋"/>
          <w:b/>
          <w:sz w:val="36"/>
        </w:rPr>
        <w:t>日      期 ：</w:t>
      </w:r>
      <w:bookmarkEnd w:id="207"/>
    </w:p>
    <w:p w14:paraId="6C35C99D">
      <w:pPr>
        <w:spacing w:line="440" w:lineRule="exact"/>
        <w:jc w:val="center"/>
        <w:rPr>
          <w:rFonts w:hint="eastAsia" w:ascii="仿宋" w:hAnsi="仿宋" w:eastAsia="仿宋" w:cs="仿宋"/>
          <w:b/>
          <w:bCs/>
          <w:sz w:val="32"/>
          <w:szCs w:val="32"/>
        </w:rPr>
      </w:pPr>
    </w:p>
    <w:p w14:paraId="66847861">
      <w:pPr>
        <w:spacing w:line="440" w:lineRule="exact"/>
        <w:rPr>
          <w:rFonts w:hint="eastAsia" w:ascii="仿宋" w:hAnsi="仿宋" w:eastAsia="仿宋" w:cs="仿宋"/>
        </w:rPr>
      </w:pPr>
    </w:p>
    <w:p w14:paraId="030B1442">
      <w:pPr>
        <w:rPr>
          <w:rFonts w:hint="eastAsia" w:ascii="仿宋" w:hAnsi="仿宋" w:eastAsia="仿宋" w:cs="仿宋"/>
          <w:b/>
          <w:bCs/>
          <w:sz w:val="32"/>
          <w:szCs w:val="32"/>
        </w:rPr>
      </w:pPr>
    </w:p>
    <w:p w14:paraId="5B14D47C">
      <w:pPr>
        <w:spacing w:line="440" w:lineRule="exact"/>
        <w:outlineLvl w:val="0"/>
        <w:rPr>
          <w:rFonts w:hint="eastAsia" w:ascii="仿宋" w:hAnsi="仿宋" w:eastAsia="仿宋" w:cs="仿宋"/>
          <w:b/>
          <w:bCs/>
          <w:sz w:val="32"/>
          <w:szCs w:val="32"/>
        </w:rPr>
      </w:pPr>
    </w:p>
    <w:p w14:paraId="49286ED8">
      <w:pPr>
        <w:spacing w:line="440" w:lineRule="exact"/>
        <w:jc w:val="center"/>
        <w:outlineLvl w:val="0"/>
        <w:rPr>
          <w:rFonts w:hint="eastAsia" w:ascii="仿宋" w:hAnsi="仿宋" w:eastAsia="仿宋" w:cs="仿宋"/>
          <w:b/>
          <w:bCs/>
          <w:sz w:val="32"/>
          <w:szCs w:val="32"/>
        </w:rPr>
      </w:pPr>
    </w:p>
    <w:p w14:paraId="2F311E20">
      <w:pPr>
        <w:pStyle w:val="78"/>
        <w:ind w:firstLine="643"/>
        <w:rPr>
          <w:rFonts w:hint="eastAsia" w:ascii="仿宋" w:hAnsi="仿宋" w:eastAsia="仿宋" w:cs="仿宋"/>
          <w:b/>
          <w:bCs/>
          <w:sz w:val="32"/>
          <w:szCs w:val="32"/>
        </w:rPr>
      </w:pPr>
    </w:p>
    <w:p w14:paraId="0A5D7A4F">
      <w:pPr>
        <w:pStyle w:val="78"/>
        <w:ind w:firstLine="643"/>
        <w:rPr>
          <w:rFonts w:hint="eastAsia" w:ascii="仿宋" w:hAnsi="仿宋" w:eastAsia="仿宋" w:cs="仿宋"/>
          <w:b/>
          <w:bCs/>
          <w:sz w:val="32"/>
          <w:szCs w:val="32"/>
        </w:rPr>
      </w:pPr>
    </w:p>
    <w:p w14:paraId="3F29E385">
      <w:pPr>
        <w:pStyle w:val="78"/>
        <w:ind w:firstLine="643"/>
        <w:rPr>
          <w:rFonts w:hint="eastAsia" w:ascii="仿宋" w:hAnsi="仿宋" w:eastAsia="仿宋" w:cs="仿宋"/>
          <w:b/>
          <w:bCs/>
          <w:sz w:val="32"/>
          <w:szCs w:val="32"/>
        </w:rPr>
      </w:pPr>
    </w:p>
    <w:p w14:paraId="450A2F58">
      <w:pPr>
        <w:spacing w:line="440" w:lineRule="exact"/>
        <w:jc w:val="center"/>
        <w:outlineLvl w:val="0"/>
        <w:rPr>
          <w:rFonts w:hint="eastAsia" w:ascii="仿宋" w:hAnsi="仿宋" w:eastAsia="仿宋" w:cs="仿宋"/>
          <w:b/>
          <w:bCs/>
          <w:sz w:val="32"/>
          <w:szCs w:val="32"/>
        </w:rPr>
      </w:pPr>
    </w:p>
    <w:p w14:paraId="32C72E7E">
      <w:pPr>
        <w:spacing w:line="440" w:lineRule="exact"/>
        <w:jc w:val="center"/>
        <w:outlineLvl w:val="0"/>
        <w:rPr>
          <w:rFonts w:hint="eastAsia" w:ascii="仿宋" w:hAnsi="仿宋" w:eastAsia="仿宋" w:cs="仿宋"/>
          <w:b/>
          <w:bCs/>
          <w:sz w:val="32"/>
          <w:szCs w:val="32"/>
        </w:rPr>
      </w:pPr>
    </w:p>
    <w:p w14:paraId="1E4F645A">
      <w:pPr>
        <w:spacing w:line="440" w:lineRule="exact"/>
        <w:jc w:val="center"/>
        <w:outlineLvl w:val="0"/>
        <w:rPr>
          <w:rFonts w:hint="eastAsia" w:ascii="仿宋" w:hAnsi="仿宋" w:eastAsia="仿宋" w:cs="仿宋"/>
          <w:b/>
          <w:bCs/>
          <w:sz w:val="32"/>
          <w:szCs w:val="32"/>
        </w:rPr>
      </w:pPr>
    </w:p>
    <w:p w14:paraId="66C99C98">
      <w:pPr>
        <w:spacing w:line="440" w:lineRule="exact"/>
        <w:jc w:val="center"/>
        <w:outlineLvl w:val="0"/>
        <w:rPr>
          <w:rFonts w:hint="eastAsia" w:ascii="仿宋" w:hAnsi="仿宋" w:eastAsia="仿宋" w:cs="仿宋"/>
          <w:b/>
          <w:bCs/>
          <w:sz w:val="32"/>
          <w:szCs w:val="32"/>
        </w:rPr>
      </w:pPr>
    </w:p>
    <w:p w14:paraId="5F89737F">
      <w:pPr>
        <w:spacing w:line="440" w:lineRule="exact"/>
        <w:jc w:val="center"/>
        <w:outlineLvl w:val="0"/>
        <w:rPr>
          <w:rFonts w:hint="eastAsia" w:ascii="仿宋" w:hAnsi="仿宋" w:eastAsia="仿宋" w:cs="仿宋"/>
          <w:b/>
          <w:bCs/>
          <w:sz w:val="32"/>
          <w:szCs w:val="32"/>
        </w:rPr>
      </w:pPr>
    </w:p>
    <w:p w14:paraId="3720A7C7">
      <w:pPr>
        <w:spacing w:line="440" w:lineRule="exact"/>
        <w:jc w:val="center"/>
        <w:outlineLvl w:val="0"/>
        <w:rPr>
          <w:rFonts w:hint="eastAsia" w:ascii="仿宋" w:hAnsi="仿宋" w:eastAsia="仿宋" w:cs="仿宋"/>
          <w:b/>
          <w:bCs/>
          <w:sz w:val="32"/>
          <w:szCs w:val="32"/>
        </w:rPr>
      </w:pPr>
    </w:p>
    <w:p w14:paraId="7AD1528F">
      <w:pPr>
        <w:spacing w:line="440" w:lineRule="exact"/>
        <w:jc w:val="center"/>
        <w:outlineLvl w:val="0"/>
        <w:rPr>
          <w:rFonts w:hint="eastAsia" w:ascii="仿宋" w:hAnsi="仿宋" w:eastAsia="仿宋" w:cs="仿宋"/>
          <w:b/>
          <w:bCs/>
          <w:sz w:val="32"/>
          <w:szCs w:val="32"/>
        </w:rPr>
      </w:pPr>
      <w:bookmarkStart w:id="208" w:name="_Toc186493277"/>
      <w:r>
        <w:rPr>
          <w:rFonts w:hint="eastAsia" w:ascii="仿宋" w:hAnsi="仿宋" w:eastAsia="仿宋" w:cs="仿宋"/>
          <w:b/>
          <w:bCs/>
          <w:sz w:val="32"/>
          <w:szCs w:val="32"/>
        </w:rPr>
        <w:t>投标文件的组成</w:t>
      </w:r>
      <w:bookmarkEnd w:id="208"/>
    </w:p>
    <w:p w14:paraId="4B592CE9">
      <w:pPr>
        <w:spacing w:line="440" w:lineRule="exact"/>
        <w:jc w:val="center"/>
        <w:rPr>
          <w:rFonts w:hint="eastAsia" w:ascii="仿宋" w:hAnsi="仿宋" w:eastAsia="仿宋" w:cs="仿宋"/>
          <w:b/>
          <w:bCs/>
          <w:sz w:val="32"/>
          <w:szCs w:val="32"/>
        </w:rPr>
      </w:pPr>
    </w:p>
    <w:p w14:paraId="371CD551">
      <w:pPr>
        <w:spacing w:line="360" w:lineRule="auto"/>
        <w:ind w:left="480"/>
        <w:outlineLvl w:val="0"/>
        <w:rPr>
          <w:rFonts w:hint="eastAsia" w:ascii="仿宋" w:hAnsi="仿宋" w:eastAsia="仿宋" w:cs="仿宋"/>
          <w:b/>
          <w:sz w:val="24"/>
        </w:rPr>
      </w:pPr>
      <w:bookmarkStart w:id="209" w:name="_Toc186493278"/>
      <w:r>
        <w:rPr>
          <w:rFonts w:hint="eastAsia" w:ascii="仿宋" w:hAnsi="仿宋" w:eastAsia="仿宋" w:cs="仿宋"/>
          <w:b/>
          <w:sz w:val="24"/>
        </w:rPr>
        <w:t>一、基本目录</w:t>
      </w:r>
      <w:bookmarkEnd w:id="209"/>
    </w:p>
    <w:p w14:paraId="683042C4">
      <w:pPr>
        <w:spacing w:line="360" w:lineRule="auto"/>
        <w:ind w:left="480"/>
        <w:rPr>
          <w:rFonts w:hint="eastAsia" w:ascii="仿宋" w:hAnsi="仿宋" w:eastAsia="仿宋" w:cs="仿宋"/>
          <w:sz w:val="24"/>
        </w:rPr>
      </w:pPr>
      <w:r>
        <w:rPr>
          <w:rFonts w:hint="eastAsia" w:ascii="仿宋" w:hAnsi="仿宋" w:eastAsia="仿宋" w:cs="仿宋"/>
          <w:sz w:val="24"/>
        </w:rPr>
        <w:t>1.开标一览表（格式见附件1）</w:t>
      </w:r>
    </w:p>
    <w:p w14:paraId="1E7E37D7">
      <w:pPr>
        <w:spacing w:line="360" w:lineRule="auto"/>
        <w:ind w:left="480"/>
        <w:rPr>
          <w:rFonts w:hint="eastAsia" w:ascii="仿宋" w:hAnsi="仿宋" w:eastAsia="仿宋" w:cs="仿宋"/>
          <w:sz w:val="24"/>
        </w:rPr>
      </w:pPr>
      <w:r>
        <w:rPr>
          <w:rFonts w:hint="eastAsia" w:ascii="仿宋" w:hAnsi="仿宋" w:eastAsia="仿宋" w:cs="仿宋"/>
          <w:sz w:val="24"/>
        </w:rPr>
        <w:t>2.投标分项报价表（格式见附件2）</w:t>
      </w:r>
    </w:p>
    <w:p w14:paraId="6B30F664">
      <w:pPr>
        <w:spacing w:line="360" w:lineRule="auto"/>
        <w:ind w:left="480"/>
        <w:outlineLvl w:val="0"/>
        <w:rPr>
          <w:rFonts w:hint="eastAsia" w:ascii="仿宋" w:hAnsi="仿宋" w:eastAsia="仿宋" w:cs="仿宋"/>
          <w:b/>
          <w:sz w:val="24"/>
        </w:rPr>
      </w:pPr>
      <w:bookmarkStart w:id="210" w:name="_Toc186493279"/>
      <w:r>
        <w:rPr>
          <w:rFonts w:hint="eastAsia" w:ascii="仿宋" w:hAnsi="仿宋" w:eastAsia="仿宋" w:cs="仿宋"/>
          <w:b/>
          <w:sz w:val="24"/>
        </w:rPr>
        <w:t>二、资格审查内容</w:t>
      </w:r>
      <w:bookmarkEnd w:id="210"/>
    </w:p>
    <w:p w14:paraId="50693883">
      <w:pPr>
        <w:spacing w:line="360" w:lineRule="auto"/>
        <w:ind w:firstLine="480"/>
        <w:rPr>
          <w:rFonts w:hint="eastAsia" w:ascii="仿宋" w:hAnsi="仿宋" w:eastAsia="仿宋" w:cs="仿宋"/>
          <w:sz w:val="24"/>
        </w:rPr>
      </w:pPr>
      <w:r>
        <w:rPr>
          <w:rFonts w:hint="eastAsia" w:ascii="仿宋" w:hAnsi="仿宋" w:eastAsia="仿宋" w:cs="仿宋"/>
          <w:sz w:val="24"/>
        </w:rPr>
        <w:t>1.投标人符合《政府采购法》第二十二条规定条件的声明函（</w:t>
      </w:r>
      <w:r>
        <w:rPr>
          <w:rFonts w:hint="eastAsia" w:ascii="仿宋" w:hAnsi="仿宋" w:eastAsia="仿宋" w:cs="仿宋"/>
          <w:sz w:val="24"/>
          <w:lang w:val="zh-CN"/>
        </w:rPr>
        <w:t>格式见附件</w:t>
      </w:r>
      <w:r>
        <w:rPr>
          <w:rFonts w:hint="eastAsia" w:ascii="仿宋" w:hAnsi="仿宋" w:eastAsia="仿宋" w:cs="仿宋"/>
          <w:sz w:val="24"/>
        </w:rPr>
        <w:t>3）</w:t>
      </w:r>
    </w:p>
    <w:p w14:paraId="6FA9DFDD">
      <w:pPr>
        <w:spacing w:line="360" w:lineRule="auto"/>
        <w:ind w:firstLine="480"/>
        <w:rPr>
          <w:rFonts w:hint="eastAsia" w:ascii="仿宋" w:hAnsi="仿宋" w:eastAsia="仿宋" w:cs="仿宋"/>
          <w:sz w:val="24"/>
        </w:rPr>
      </w:pPr>
      <w:r>
        <w:rPr>
          <w:rFonts w:hint="eastAsia" w:ascii="仿宋" w:hAnsi="仿宋" w:eastAsia="仿宋" w:cs="仿宋"/>
          <w:sz w:val="24"/>
        </w:rPr>
        <w:t>2.法定代表人身份证明、</w:t>
      </w:r>
      <w:r>
        <w:rPr>
          <w:rFonts w:hint="eastAsia" w:ascii="仿宋" w:hAnsi="仿宋" w:eastAsia="仿宋" w:cs="仿宋"/>
          <w:sz w:val="24"/>
          <w:lang w:val="zh-CN"/>
        </w:rPr>
        <w:t>法定代表人的身份证</w:t>
      </w:r>
      <w:r>
        <w:rPr>
          <w:rFonts w:hint="eastAsia" w:ascii="仿宋" w:hAnsi="仿宋" w:eastAsia="仿宋" w:cs="仿宋"/>
          <w:sz w:val="24"/>
        </w:rPr>
        <w:t>扫描件（</w:t>
      </w:r>
      <w:r>
        <w:rPr>
          <w:rFonts w:hint="eastAsia" w:ascii="仿宋" w:hAnsi="仿宋" w:eastAsia="仿宋" w:cs="仿宋"/>
          <w:sz w:val="24"/>
          <w:lang w:val="zh-CN"/>
        </w:rPr>
        <w:t>格式见附件</w:t>
      </w:r>
      <w:r>
        <w:rPr>
          <w:rFonts w:hint="eastAsia" w:ascii="仿宋" w:hAnsi="仿宋" w:eastAsia="仿宋" w:cs="仿宋"/>
          <w:sz w:val="24"/>
        </w:rPr>
        <w:t>4）</w:t>
      </w:r>
    </w:p>
    <w:p w14:paraId="62FE1F2A">
      <w:pPr>
        <w:spacing w:line="360" w:lineRule="auto"/>
        <w:ind w:firstLine="480"/>
        <w:rPr>
          <w:rFonts w:hint="eastAsia" w:ascii="仿宋" w:hAnsi="仿宋" w:eastAsia="仿宋" w:cs="仿宋"/>
          <w:sz w:val="24"/>
        </w:rPr>
      </w:pPr>
      <w:r>
        <w:rPr>
          <w:rFonts w:hint="eastAsia" w:ascii="仿宋" w:hAnsi="仿宋" w:eastAsia="仿宋" w:cs="仿宋"/>
          <w:sz w:val="24"/>
        </w:rPr>
        <w:t>3.法人授权书、被授权</w:t>
      </w:r>
      <w:r>
        <w:rPr>
          <w:rFonts w:hint="eastAsia" w:ascii="仿宋" w:hAnsi="仿宋" w:eastAsia="仿宋" w:cs="仿宋"/>
          <w:sz w:val="24"/>
          <w:lang w:val="zh-CN"/>
        </w:rPr>
        <w:t>人身份证</w:t>
      </w:r>
      <w:r>
        <w:rPr>
          <w:rFonts w:hint="eastAsia" w:ascii="仿宋" w:hAnsi="仿宋" w:eastAsia="仿宋" w:cs="仿宋"/>
          <w:sz w:val="24"/>
        </w:rPr>
        <w:t>扫描件（如有授权，</w:t>
      </w:r>
      <w:r>
        <w:rPr>
          <w:rFonts w:hint="eastAsia" w:ascii="仿宋" w:hAnsi="仿宋" w:eastAsia="仿宋" w:cs="仿宋"/>
          <w:sz w:val="24"/>
          <w:lang w:val="zh-CN"/>
        </w:rPr>
        <w:t>格式见附件</w:t>
      </w:r>
      <w:r>
        <w:rPr>
          <w:rFonts w:hint="eastAsia" w:ascii="仿宋" w:hAnsi="仿宋" w:eastAsia="仿宋" w:cs="仿宋"/>
          <w:sz w:val="24"/>
        </w:rPr>
        <w:t>5）</w:t>
      </w:r>
    </w:p>
    <w:p w14:paraId="49FE6E17">
      <w:pPr>
        <w:spacing w:line="360" w:lineRule="auto"/>
        <w:ind w:firstLine="480"/>
        <w:rPr>
          <w:rFonts w:hint="eastAsia" w:ascii="仿宋" w:hAnsi="仿宋" w:eastAsia="仿宋" w:cs="仿宋"/>
          <w:sz w:val="24"/>
        </w:rPr>
      </w:pPr>
      <w:r>
        <w:rPr>
          <w:rFonts w:hint="eastAsia" w:ascii="仿宋" w:hAnsi="仿宋" w:eastAsia="仿宋" w:cs="仿宋"/>
          <w:sz w:val="24"/>
        </w:rPr>
        <w:t>4.投标函（</w:t>
      </w:r>
      <w:r>
        <w:rPr>
          <w:rFonts w:hint="eastAsia" w:ascii="仿宋" w:hAnsi="仿宋" w:eastAsia="仿宋" w:cs="仿宋"/>
          <w:sz w:val="24"/>
          <w:lang w:val="zh-CN"/>
        </w:rPr>
        <w:t>格式见附件</w:t>
      </w:r>
      <w:r>
        <w:rPr>
          <w:rFonts w:hint="eastAsia" w:ascii="仿宋" w:hAnsi="仿宋" w:eastAsia="仿宋" w:cs="仿宋"/>
          <w:sz w:val="24"/>
        </w:rPr>
        <w:t>6）</w:t>
      </w:r>
    </w:p>
    <w:p w14:paraId="40D24E68">
      <w:pPr>
        <w:spacing w:line="360" w:lineRule="auto"/>
        <w:ind w:firstLine="480"/>
      </w:pPr>
      <w:r>
        <w:rPr>
          <w:rFonts w:hint="eastAsia" w:ascii="仿宋" w:hAnsi="仿宋" w:eastAsia="仿宋" w:cs="仿宋"/>
          <w:sz w:val="24"/>
        </w:rPr>
        <w:t>5</w:t>
      </w:r>
      <w:r>
        <w:rPr>
          <w:rFonts w:hint="eastAsia" w:ascii="仿宋" w:hAnsi="仿宋" w:eastAsia="仿宋" w:cs="仿宋"/>
          <w:sz w:val="24"/>
          <w:lang w:val="zh-CN"/>
        </w:rPr>
        <w:t>.其它需要提交的资格审查证明材料。</w:t>
      </w:r>
    </w:p>
    <w:p w14:paraId="5F16D4C1">
      <w:pPr>
        <w:spacing w:line="360" w:lineRule="auto"/>
        <w:ind w:left="480"/>
        <w:outlineLvl w:val="0"/>
        <w:rPr>
          <w:rFonts w:hint="eastAsia" w:ascii="仿宋" w:hAnsi="仿宋" w:eastAsia="仿宋" w:cs="仿宋"/>
          <w:b/>
          <w:sz w:val="24"/>
        </w:rPr>
      </w:pPr>
      <w:bookmarkStart w:id="211" w:name="_Toc186493280"/>
      <w:r>
        <w:rPr>
          <w:rFonts w:hint="eastAsia" w:ascii="仿宋" w:hAnsi="仿宋" w:eastAsia="仿宋" w:cs="仿宋"/>
          <w:b/>
          <w:sz w:val="24"/>
        </w:rPr>
        <w:t>三、符合性审查内容</w:t>
      </w:r>
      <w:bookmarkEnd w:id="211"/>
    </w:p>
    <w:p w14:paraId="09ECDC50">
      <w:pPr>
        <w:spacing w:line="360" w:lineRule="auto"/>
        <w:ind w:left="480"/>
        <w:rPr>
          <w:rFonts w:hint="eastAsia" w:ascii="仿宋" w:hAnsi="仿宋" w:eastAsia="仿宋" w:cs="仿宋"/>
          <w:sz w:val="24"/>
        </w:rPr>
      </w:pPr>
      <w:r>
        <w:rPr>
          <w:rFonts w:hint="eastAsia" w:ascii="仿宋" w:hAnsi="仿宋" w:eastAsia="仿宋" w:cs="仿宋"/>
          <w:sz w:val="24"/>
        </w:rPr>
        <w:t>1.技术要求响应及偏离表（</w:t>
      </w:r>
      <w:r>
        <w:rPr>
          <w:rFonts w:hint="eastAsia" w:ascii="仿宋" w:hAnsi="仿宋" w:eastAsia="仿宋" w:cs="仿宋"/>
          <w:sz w:val="24"/>
          <w:lang w:val="zh-CN"/>
        </w:rPr>
        <w:t>格式见附件</w:t>
      </w:r>
      <w:r>
        <w:rPr>
          <w:rFonts w:hint="eastAsia" w:ascii="仿宋" w:hAnsi="仿宋" w:eastAsia="仿宋" w:cs="仿宋"/>
          <w:sz w:val="24"/>
        </w:rPr>
        <w:t>10）</w:t>
      </w:r>
    </w:p>
    <w:p w14:paraId="5ECCA7A0">
      <w:pPr>
        <w:spacing w:line="360" w:lineRule="auto"/>
        <w:ind w:firstLine="480"/>
        <w:rPr>
          <w:rFonts w:hint="eastAsia" w:ascii="仿宋" w:hAnsi="仿宋" w:eastAsia="仿宋" w:cs="仿宋"/>
          <w:sz w:val="24"/>
        </w:rPr>
      </w:pPr>
      <w:r>
        <w:rPr>
          <w:rFonts w:hint="eastAsia" w:ascii="仿宋" w:hAnsi="仿宋" w:eastAsia="仿宋" w:cs="仿宋"/>
          <w:sz w:val="24"/>
        </w:rPr>
        <w:t>2.商务要求响应及偏离表（</w:t>
      </w:r>
      <w:r>
        <w:rPr>
          <w:rFonts w:hint="eastAsia" w:ascii="仿宋" w:hAnsi="仿宋" w:eastAsia="仿宋" w:cs="仿宋"/>
          <w:sz w:val="24"/>
          <w:lang w:val="zh-CN"/>
        </w:rPr>
        <w:t>格式见附件</w:t>
      </w:r>
      <w:r>
        <w:rPr>
          <w:rFonts w:hint="eastAsia" w:ascii="仿宋" w:hAnsi="仿宋" w:eastAsia="仿宋" w:cs="仿宋"/>
          <w:sz w:val="24"/>
        </w:rPr>
        <w:t>11）</w:t>
      </w:r>
    </w:p>
    <w:p w14:paraId="6C4798A9">
      <w:pPr>
        <w:spacing w:line="360" w:lineRule="auto"/>
        <w:ind w:firstLine="480"/>
        <w:rPr>
          <w:rFonts w:eastAsia="仿宋"/>
        </w:rPr>
      </w:pPr>
      <w:r>
        <w:rPr>
          <w:rFonts w:hint="eastAsia" w:ascii="仿宋" w:hAnsi="仿宋" w:eastAsia="仿宋" w:cs="仿宋"/>
          <w:sz w:val="24"/>
        </w:rPr>
        <w:t>3.实质性要求响应及偏离表，投标人必须对技术要求和商务要求中</w:t>
      </w:r>
      <w:r>
        <w:rPr>
          <w:rFonts w:hint="eastAsia" w:ascii="仿宋" w:hAnsi="仿宋" w:eastAsia="仿宋" w:cs="仿宋"/>
          <w:b/>
          <w:bCs/>
          <w:sz w:val="24"/>
        </w:rPr>
        <w:t>加斜体下划线的实质性要求做出响应，</w:t>
      </w:r>
      <w:r>
        <w:rPr>
          <w:rFonts w:hint="eastAsia" w:ascii="仿宋" w:hAnsi="仿宋" w:eastAsia="仿宋" w:cs="仿宋"/>
          <w:sz w:val="24"/>
        </w:rPr>
        <w:t>否则做无效响应处理。</w:t>
      </w:r>
    </w:p>
    <w:p w14:paraId="11B88F0C">
      <w:pPr>
        <w:spacing w:line="360" w:lineRule="auto"/>
        <w:ind w:firstLine="480"/>
        <w:outlineLvl w:val="0"/>
        <w:rPr>
          <w:rFonts w:hint="eastAsia" w:ascii="仿宋" w:hAnsi="仿宋" w:eastAsia="仿宋" w:cs="仿宋"/>
          <w:b/>
          <w:sz w:val="24"/>
          <w:szCs w:val="24"/>
        </w:rPr>
      </w:pPr>
      <w:bookmarkStart w:id="212" w:name="_Toc186493281"/>
      <w:r>
        <w:rPr>
          <w:rFonts w:hint="eastAsia" w:ascii="仿宋" w:hAnsi="仿宋" w:eastAsia="仿宋" w:cs="仿宋"/>
          <w:b/>
          <w:sz w:val="24"/>
          <w:szCs w:val="24"/>
        </w:rPr>
        <w:t>四、</w:t>
      </w:r>
      <w:r>
        <w:rPr>
          <w:rFonts w:hint="eastAsia" w:ascii="仿宋" w:hAnsi="仿宋" w:eastAsia="仿宋" w:cs="仿宋"/>
          <w:b/>
          <w:sz w:val="24"/>
          <w:szCs w:val="24"/>
          <w:lang w:val="zh-CN"/>
        </w:rPr>
        <w:t>商务技术</w:t>
      </w:r>
      <w:r>
        <w:rPr>
          <w:rFonts w:hint="eastAsia" w:ascii="仿宋" w:hAnsi="仿宋" w:eastAsia="仿宋" w:cs="仿宋"/>
          <w:b/>
          <w:sz w:val="24"/>
          <w:szCs w:val="24"/>
        </w:rPr>
        <w:t>内容</w:t>
      </w:r>
      <w:bookmarkEnd w:id="212"/>
    </w:p>
    <w:p w14:paraId="7054786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商务技术评分标准中须提供的相关得分佐证材料</w:t>
      </w:r>
    </w:p>
    <w:p w14:paraId="739B03D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投标人认为需要提交的其他材料。</w:t>
      </w:r>
    </w:p>
    <w:p w14:paraId="1CEF50CF">
      <w:pPr>
        <w:spacing w:line="360" w:lineRule="auto"/>
        <w:ind w:firstLine="480"/>
        <w:outlineLvl w:val="0"/>
        <w:rPr>
          <w:rFonts w:hint="eastAsia" w:ascii="仿宋" w:hAnsi="仿宋" w:eastAsia="仿宋" w:cs="仿宋"/>
          <w:b/>
          <w:sz w:val="24"/>
          <w:szCs w:val="24"/>
        </w:rPr>
      </w:pPr>
      <w:bookmarkStart w:id="213" w:name="_Toc186493282"/>
      <w:r>
        <w:rPr>
          <w:rFonts w:hint="eastAsia" w:ascii="仿宋" w:hAnsi="仿宋" w:eastAsia="仿宋" w:cs="仿宋"/>
          <w:b/>
          <w:sz w:val="24"/>
          <w:szCs w:val="24"/>
        </w:rPr>
        <w:t>五、价格扣除证明文件</w:t>
      </w:r>
      <w:bookmarkEnd w:id="213"/>
    </w:p>
    <w:p w14:paraId="23FBD8D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1.中小企业声明函（格式见附件7）</w:t>
      </w:r>
    </w:p>
    <w:p w14:paraId="0FBB4A9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2.残疾人福利性单位声明函（格式见附件8）</w:t>
      </w:r>
    </w:p>
    <w:p w14:paraId="1F292E17">
      <w:pPr>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3.监狱和戒毒企业证明材料（格式见附件9）</w:t>
      </w:r>
    </w:p>
    <w:p w14:paraId="09D9FAC8">
      <w:pPr>
        <w:outlineLvl w:val="0"/>
        <w:rPr>
          <w:rFonts w:hint="eastAsia" w:ascii="仿宋" w:hAnsi="仿宋" w:eastAsia="仿宋" w:cs="仿宋"/>
          <w:b/>
          <w:sz w:val="24"/>
          <w:szCs w:val="24"/>
        </w:rPr>
      </w:pPr>
      <w:r>
        <w:rPr>
          <w:rFonts w:hint="eastAsia" w:ascii="仿宋" w:hAnsi="仿宋" w:eastAsia="仿宋" w:cs="仿宋"/>
          <w:sz w:val="24"/>
          <w:szCs w:val="24"/>
          <w:lang w:val="zh-CN"/>
        </w:rPr>
        <w:br w:type="page" w:clear="all"/>
      </w:r>
      <w:bookmarkStart w:id="214" w:name="_Toc186493283"/>
      <w:r>
        <w:rPr>
          <w:rFonts w:hint="eastAsia" w:ascii="仿宋" w:hAnsi="仿宋" w:eastAsia="仿宋" w:cs="仿宋"/>
          <w:b/>
          <w:sz w:val="24"/>
          <w:szCs w:val="24"/>
        </w:rPr>
        <w:t>附件1</w:t>
      </w:r>
      <w:bookmarkEnd w:id="214"/>
      <w:r>
        <w:rPr>
          <w:rFonts w:hint="eastAsia" w:ascii="仿宋" w:hAnsi="仿宋" w:eastAsia="仿宋" w:cs="仿宋"/>
          <w:b/>
          <w:sz w:val="24"/>
          <w:szCs w:val="24"/>
        </w:rPr>
        <w:t xml:space="preserve"> </w:t>
      </w:r>
    </w:p>
    <w:p w14:paraId="0A7676A5">
      <w:pPr>
        <w:jc w:val="center"/>
        <w:rPr>
          <w:rFonts w:hint="eastAsia" w:ascii="宋体" w:hAnsi="宋体"/>
          <w:b/>
          <w:sz w:val="30"/>
          <w:szCs w:val="30"/>
        </w:rPr>
      </w:pPr>
      <w:r>
        <w:rPr>
          <w:rFonts w:hint="eastAsia" w:ascii="仿宋" w:hAnsi="仿宋" w:eastAsia="仿宋" w:cs="仿宋"/>
          <w:b/>
          <w:sz w:val="30"/>
          <w:szCs w:val="30"/>
        </w:rPr>
        <w:t>开标一览表</w:t>
      </w:r>
    </w:p>
    <w:p w14:paraId="7DB23CF4">
      <w:pPr>
        <w:pStyle w:val="2"/>
      </w:pPr>
    </w:p>
    <w:p w14:paraId="39D95281">
      <w:pPr>
        <w:spacing w:line="0" w:lineRule="atLeast"/>
        <w:rPr>
          <w:rFonts w:hint="eastAsia" w:ascii="仿宋" w:hAnsi="仿宋" w:eastAsia="仿宋" w:cs="仿宋"/>
          <w:sz w:val="24"/>
          <w:szCs w:val="24"/>
        </w:rPr>
      </w:pPr>
      <w:r>
        <w:rPr>
          <w:rFonts w:hint="eastAsia" w:ascii="仿宋" w:hAnsi="仿宋" w:eastAsia="仿宋" w:cs="仿宋"/>
          <w:sz w:val="24"/>
          <w:szCs w:val="24"/>
        </w:rPr>
        <w:t>投标人全称：</w:t>
      </w:r>
    </w:p>
    <w:p w14:paraId="613EEE10">
      <w:pPr>
        <w:spacing w:line="0" w:lineRule="atLeast"/>
        <w:rPr>
          <w:rFonts w:hint="eastAsia" w:ascii="仿宋" w:hAnsi="仿宋" w:eastAsia="仿宋" w:cs="仿宋"/>
          <w:sz w:val="24"/>
          <w:szCs w:val="24"/>
        </w:rPr>
      </w:pPr>
      <w:r>
        <w:rPr>
          <w:rFonts w:hint="eastAsia" w:ascii="仿宋" w:hAnsi="仿宋" w:eastAsia="仿宋" w:cs="仿宋"/>
          <w:sz w:val="24"/>
          <w:szCs w:val="24"/>
        </w:rPr>
        <w:t>项目名称：</w:t>
      </w:r>
    </w:p>
    <w:p w14:paraId="463FB56D">
      <w:pPr>
        <w:spacing w:line="0" w:lineRule="atLeast"/>
        <w:rPr>
          <w:rFonts w:hint="eastAsia" w:ascii="仿宋" w:hAnsi="仿宋" w:eastAsia="仿宋" w:cs="仿宋"/>
          <w:sz w:val="24"/>
          <w:szCs w:val="24"/>
        </w:rPr>
      </w:pPr>
      <w:r>
        <w:rPr>
          <w:rFonts w:hint="eastAsia" w:ascii="仿宋" w:hAnsi="仿宋" w:eastAsia="仿宋" w:cs="仿宋"/>
          <w:sz w:val="24"/>
          <w:szCs w:val="24"/>
        </w:rPr>
        <w:t xml:space="preserve">项目编号：                                   </w:t>
      </w:r>
    </w:p>
    <w:tbl>
      <w:tblPr>
        <w:tblStyle w:val="36"/>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06BC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064" w:type="dxa"/>
            <w:vAlign w:val="center"/>
          </w:tcPr>
          <w:p w14:paraId="151FF9BB">
            <w:pPr>
              <w:rPr>
                <w:rFonts w:hint="eastAsia" w:ascii="仿宋" w:hAnsi="仿宋" w:eastAsia="仿宋" w:cs="仿宋"/>
                <w:sz w:val="24"/>
                <w:szCs w:val="24"/>
              </w:rPr>
            </w:pPr>
            <w:r>
              <w:rPr>
                <w:rFonts w:hint="eastAsia" w:ascii="仿宋" w:hAnsi="仿宋" w:eastAsia="仿宋" w:cs="仿宋"/>
                <w:sz w:val="24"/>
                <w:szCs w:val="24"/>
              </w:rPr>
              <w:t>一年投标报价：小写：       元/年</w:t>
            </w:r>
          </w:p>
        </w:tc>
      </w:tr>
      <w:tr w14:paraId="38EB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vAlign w:val="center"/>
          </w:tcPr>
          <w:p w14:paraId="7E164F40">
            <w:pPr>
              <w:pStyle w:val="207"/>
              <w:spacing w:before="0" w:after="0" w:line="500" w:lineRule="exact"/>
              <w:ind w:firstLine="0"/>
              <w:jc w:val="both"/>
              <w:rPr>
                <w:rFonts w:hint="eastAsia" w:ascii="仿宋" w:hAnsi="仿宋" w:eastAsia="仿宋" w:cs="仿宋"/>
                <w:szCs w:val="21"/>
              </w:rPr>
            </w:pPr>
            <w:r>
              <w:rPr>
                <w:rFonts w:hint="eastAsia" w:ascii="仿宋" w:hAnsi="仿宋" w:eastAsia="仿宋" w:cs="仿宋"/>
                <w:szCs w:val="21"/>
              </w:rPr>
              <w:t>三年</w:t>
            </w:r>
            <w:r>
              <w:rPr>
                <w:rFonts w:hint="eastAsia" w:ascii="仿宋" w:hAnsi="仿宋" w:eastAsia="仿宋" w:cs="仿宋"/>
              </w:rPr>
              <w:t>投标报价：小写：         元</w:t>
            </w:r>
          </w:p>
        </w:tc>
      </w:tr>
    </w:tbl>
    <w:p w14:paraId="350CFBE4">
      <w:pPr>
        <w:spacing w:line="400" w:lineRule="exact"/>
        <w:rPr>
          <w:rFonts w:hint="eastAsia" w:ascii="仿宋" w:hAnsi="仿宋" w:eastAsia="仿宋" w:cs="仿宋"/>
          <w:b/>
          <w:bCs/>
          <w:sz w:val="24"/>
        </w:rPr>
      </w:pPr>
    </w:p>
    <w:p w14:paraId="4E283517">
      <w:pPr>
        <w:spacing w:line="400" w:lineRule="exact"/>
        <w:rPr>
          <w:rFonts w:hint="eastAsia" w:ascii="仿宋" w:hAnsi="仿宋" w:eastAsia="仿宋" w:cs="仿宋"/>
          <w:sz w:val="24"/>
        </w:rPr>
      </w:pPr>
      <w:r>
        <w:rPr>
          <w:rFonts w:hint="eastAsia" w:ascii="仿宋" w:hAnsi="仿宋" w:eastAsia="仿宋" w:cs="仿宋"/>
          <w:b/>
          <w:bCs/>
          <w:sz w:val="24"/>
        </w:rPr>
        <w:t>注：1、本附件格式仅作参考，投标人以苏采云平台实际情况进行填报。</w:t>
      </w:r>
    </w:p>
    <w:p w14:paraId="77899655">
      <w:pPr>
        <w:rPr>
          <w:rFonts w:hint="eastAsia" w:ascii="仿宋" w:hAnsi="仿宋" w:eastAsia="仿宋" w:cs="仿宋"/>
          <w:b/>
          <w:sz w:val="24"/>
          <w:szCs w:val="24"/>
        </w:rPr>
      </w:pPr>
    </w:p>
    <w:p w14:paraId="7459390E">
      <w:pPr>
        <w:spacing w:line="400" w:lineRule="exact"/>
        <w:ind w:firstLine="240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szCs w:val="24"/>
        </w:rPr>
        <w:t>加盖CA电子签章</w:t>
      </w:r>
      <w:r>
        <w:rPr>
          <w:rFonts w:hint="eastAsia" w:ascii="仿宋" w:hAnsi="仿宋" w:eastAsia="仿宋" w:cs="仿宋"/>
          <w:sz w:val="24"/>
        </w:rPr>
        <w:t>）：</w:t>
      </w:r>
    </w:p>
    <w:p w14:paraId="1DEEC9CC">
      <w:pPr>
        <w:pStyle w:val="2"/>
      </w:pPr>
    </w:p>
    <w:p w14:paraId="6CC04663">
      <w:pPr>
        <w:spacing w:line="400" w:lineRule="exact"/>
        <w:ind w:firstLine="1920"/>
        <w:rPr>
          <w:rFonts w:hint="eastAsia" w:ascii="仿宋" w:hAnsi="仿宋" w:eastAsia="仿宋" w:cs="仿宋"/>
          <w:sz w:val="24"/>
        </w:rPr>
      </w:pPr>
      <w:r>
        <w:rPr>
          <w:rFonts w:hint="eastAsia" w:ascii="仿宋" w:hAnsi="仿宋" w:eastAsia="仿宋" w:cs="仿宋"/>
          <w:sz w:val="24"/>
        </w:rPr>
        <w:t>法定代表人或委托代理人（签章）：</w:t>
      </w:r>
    </w:p>
    <w:p w14:paraId="27593568">
      <w:pPr>
        <w:spacing w:line="400" w:lineRule="exact"/>
        <w:ind w:firstLine="480"/>
        <w:rPr>
          <w:rFonts w:hint="eastAsia" w:ascii="仿宋" w:hAnsi="仿宋" w:eastAsia="仿宋" w:cs="仿宋"/>
          <w:sz w:val="24"/>
        </w:rPr>
      </w:pPr>
    </w:p>
    <w:p w14:paraId="2462B0EC">
      <w:pPr>
        <w:ind w:firstLine="4320"/>
        <w:rPr>
          <w:rFonts w:hint="eastAsia" w:ascii="仿宋" w:hAnsi="仿宋" w:eastAsia="仿宋" w:cs="仿宋"/>
          <w:sz w:val="24"/>
        </w:rPr>
      </w:pPr>
      <w:r>
        <w:rPr>
          <w:rFonts w:hint="eastAsia" w:ascii="仿宋" w:hAnsi="仿宋" w:eastAsia="仿宋" w:cs="仿宋"/>
          <w:sz w:val="24"/>
        </w:rPr>
        <w:t>日期：         年    月    日</w:t>
      </w:r>
    </w:p>
    <w:p w14:paraId="792A14EA"/>
    <w:p w14:paraId="5E714446"/>
    <w:p w14:paraId="3A552798"/>
    <w:p w14:paraId="6FDCB6DA"/>
    <w:p w14:paraId="015FB1B9"/>
    <w:p w14:paraId="4F31C8AB"/>
    <w:p w14:paraId="43EC2662"/>
    <w:p w14:paraId="55894FDF"/>
    <w:p w14:paraId="0FCA08CA"/>
    <w:p w14:paraId="54BFDAA3"/>
    <w:p w14:paraId="5F339454"/>
    <w:p w14:paraId="58CE30AF"/>
    <w:p w14:paraId="792E7F10"/>
    <w:p w14:paraId="07CD92AF"/>
    <w:p w14:paraId="7480FF70"/>
    <w:p w14:paraId="13D470EA"/>
    <w:p w14:paraId="57FC72FC"/>
    <w:p w14:paraId="0AD40D4F"/>
    <w:p w14:paraId="040F486D"/>
    <w:p w14:paraId="595A1DF7"/>
    <w:p w14:paraId="713C788D"/>
    <w:p w14:paraId="37E9A1AC">
      <w:pPr>
        <w:tabs>
          <w:tab w:val="left" w:pos="606"/>
        </w:tabs>
        <w:jc w:val="left"/>
        <w:sectPr>
          <w:footerReference r:id="rId5" w:type="default"/>
          <w:pgSz w:w="11906" w:h="16838"/>
          <w:pgMar w:top="1191" w:right="1587" w:bottom="1191" w:left="1366" w:header="850" w:footer="907" w:gutter="0"/>
          <w:cols w:space="0" w:num="1"/>
          <w:docGrid w:linePitch="360" w:charSpace="0"/>
        </w:sectPr>
      </w:pPr>
      <w:r>
        <w:rPr>
          <w:rFonts w:hint="eastAsia"/>
        </w:rPr>
        <w:tab/>
      </w:r>
    </w:p>
    <w:p w14:paraId="18EC256B">
      <w:pPr>
        <w:rPr>
          <w:rFonts w:hint="eastAsia" w:ascii="仿宋" w:hAnsi="仿宋" w:eastAsia="仿宋" w:cs="仿宋"/>
          <w:b/>
          <w:bCs/>
          <w:sz w:val="30"/>
          <w:szCs w:val="30"/>
        </w:rPr>
      </w:pPr>
      <w:bookmarkStart w:id="215" w:name="_Toc186493284"/>
      <w:r>
        <w:rPr>
          <w:rFonts w:hint="eastAsia" w:ascii="仿宋" w:hAnsi="仿宋" w:eastAsia="仿宋" w:cs="仿宋"/>
          <w:b/>
          <w:sz w:val="24"/>
          <w:szCs w:val="24"/>
        </w:rPr>
        <w:t>附件2</w:t>
      </w:r>
      <w:bookmarkEnd w:id="215"/>
      <w:r>
        <w:rPr>
          <w:rFonts w:hint="eastAsia" w:ascii="仿宋" w:hAnsi="仿宋" w:eastAsia="仿宋" w:cs="仿宋"/>
          <w:b/>
          <w:sz w:val="24"/>
          <w:szCs w:val="24"/>
        </w:rPr>
        <w:t xml:space="preserve">                                             </w:t>
      </w:r>
    </w:p>
    <w:p w14:paraId="36643CDC">
      <w:pPr>
        <w:pStyle w:val="229"/>
        <w:spacing w:line="360" w:lineRule="auto"/>
        <w:jc w:val="center"/>
        <w:rPr>
          <w:rFonts w:ascii="仿宋" w:hAnsi="仿宋" w:eastAsia="仿宋" w:cs="仿宋"/>
          <w:b/>
          <w:bCs/>
          <w:sz w:val="24"/>
          <w:szCs w:val="24"/>
        </w:rPr>
      </w:pPr>
      <w:r>
        <w:rPr>
          <w:rFonts w:ascii="仿宋" w:hAnsi="仿宋" w:eastAsia="仿宋" w:cs="仿宋"/>
          <w:b/>
          <w:bCs/>
          <w:sz w:val="30"/>
          <w:szCs w:val="30"/>
        </w:rPr>
        <w:t>投标分项报价表</w:t>
      </w:r>
    </w:p>
    <w:p w14:paraId="3E7F863C">
      <w:pPr>
        <w:pStyle w:val="229"/>
        <w:spacing w:line="360" w:lineRule="auto"/>
        <w:jc w:val="left"/>
        <w:rPr>
          <w:rFonts w:ascii="仿宋" w:hAnsi="仿宋" w:eastAsia="仿宋" w:cs="仿宋"/>
          <w:b/>
          <w:bCs/>
          <w:sz w:val="24"/>
          <w:szCs w:val="24"/>
        </w:rPr>
      </w:pPr>
      <w:r>
        <w:rPr>
          <w:rFonts w:ascii="仿宋" w:hAnsi="仿宋" w:eastAsia="仿宋" w:cs="仿宋"/>
          <w:b/>
          <w:bCs/>
          <w:sz w:val="24"/>
          <w:szCs w:val="24"/>
        </w:rPr>
        <w:t>项目名称：</w:t>
      </w:r>
      <w:r>
        <w:rPr>
          <w:rFonts w:ascii="仿宋" w:hAnsi="仿宋" w:eastAsia="仿宋" w:cs="仿宋"/>
          <w:b/>
          <w:bCs/>
          <w:sz w:val="24"/>
          <w:szCs w:val="24"/>
          <w:u w:val="single"/>
        </w:rPr>
        <w:t>如东县大豫镇环境卫生长效管护服务项目</w:t>
      </w:r>
    </w:p>
    <w:tbl>
      <w:tblPr>
        <w:tblStyle w:val="36"/>
        <w:tblW w:w="10431" w:type="dxa"/>
        <w:jc w:val="center"/>
        <w:tblLayout w:type="autofit"/>
        <w:tblCellMar>
          <w:top w:w="0" w:type="dxa"/>
          <w:left w:w="108" w:type="dxa"/>
          <w:bottom w:w="0" w:type="dxa"/>
          <w:right w:w="108" w:type="dxa"/>
        </w:tblCellMar>
      </w:tblPr>
      <w:tblGrid>
        <w:gridCol w:w="893"/>
        <w:gridCol w:w="2959"/>
        <w:gridCol w:w="1066"/>
        <w:gridCol w:w="1825"/>
        <w:gridCol w:w="1599"/>
        <w:gridCol w:w="2089"/>
      </w:tblGrid>
      <w:tr w14:paraId="609F804F">
        <w:tblPrEx>
          <w:tblCellMar>
            <w:top w:w="0" w:type="dxa"/>
            <w:left w:w="108" w:type="dxa"/>
            <w:bottom w:w="0" w:type="dxa"/>
            <w:right w:w="108" w:type="dxa"/>
          </w:tblCellMar>
        </w:tblPrEx>
        <w:trPr>
          <w:trHeight w:val="519" w:hRule="atLeast"/>
          <w:jc w:val="center"/>
        </w:trPr>
        <w:tc>
          <w:tcPr>
            <w:tcW w:w="10431" w:type="dxa"/>
            <w:gridSpan w:val="6"/>
            <w:tcBorders>
              <w:top w:val="nil"/>
              <w:left w:val="nil"/>
              <w:bottom w:val="nil"/>
              <w:right w:val="nil"/>
            </w:tcBorders>
            <w:vAlign w:val="center"/>
          </w:tcPr>
          <w:p w14:paraId="3D4D7C1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如东县大豫镇环境卫生长效管护招标项目报价清单</w:t>
            </w:r>
          </w:p>
        </w:tc>
      </w:tr>
      <w:tr w14:paraId="617825E8">
        <w:tblPrEx>
          <w:tblCellMar>
            <w:top w:w="0" w:type="dxa"/>
            <w:left w:w="108" w:type="dxa"/>
            <w:bottom w:w="0" w:type="dxa"/>
            <w:right w:w="108" w:type="dxa"/>
          </w:tblCellMar>
        </w:tblPrEx>
        <w:trPr>
          <w:trHeight w:val="519" w:hRule="atLeast"/>
          <w:jc w:val="center"/>
        </w:trPr>
        <w:tc>
          <w:tcPr>
            <w:tcW w:w="893" w:type="dxa"/>
            <w:vMerge w:val="restart"/>
            <w:tcBorders>
              <w:top w:val="single" w:color="000000" w:sz="4" w:space="0"/>
              <w:left w:val="single" w:color="000000" w:sz="4" w:space="0"/>
              <w:bottom w:val="single" w:color="000000" w:sz="4" w:space="0"/>
              <w:right w:val="single" w:color="000000" w:sz="4" w:space="0"/>
            </w:tcBorders>
            <w:vAlign w:val="center"/>
          </w:tcPr>
          <w:p w14:paraId="620A48B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序号</w:t>
            </w:r>
          </w:p>
        </w:tc>
        <w:tc>
          <w:tcPr>
            <w:tcW w:w="9538" w:type="dxa"/>
            <w:gridSpan w:val="5"/>
            <w:tcBorders>
              <w:top w:val="single" w:color="000000" w:sz="4" w:space="0"/>
              <w:left w:val="single" w:color="000000" w:sz="4" w:space="0"/>
              <w:bottom w:val="single" w:color="000000" w:sz="4" w:space="0"/>
              <w:right w:val="single" w:color="000000" w:sz="4" w:space="0"/>
            </w:tcBorders>
            <w:vAlign w:val="center"/>
          </w:tcPr>
          <w:p w14:paraId="3F95660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一年报价</w:t>
            </w:r>
          </w:p>
        </w:tc>
      </w:tr>
      <w:tr w14:paraId="0FAB011F">
        <w:tblPrEx>
          <w:tblCellMar>
            <w:top w:w="0" w:type="dxa"/>
            <w:left w:w="108" w:type="dxa"/>
            <w:bottom w:w="0" w:type="dxa"/>
            <w:right w:w="108" w:type="dxa"/>
          </w:tblCellMar>
        </w:tblPrEx>
        <w:trPr>
          <w:trHeight w:val="519"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59532FCA">
            <w:pPr>
              <w:jc w:val="center"/>
              <w:rPr>
                <w:rFonts w:hint="eastAsia" w:ascii="仿宋" w:hAnsi="仿宋" w:eastAsia="仿宋" w:cs="仿宋"/>
                <w:color w:val="000000"/>
                <w:sz w:val="24"/>
                <w:szCs w:val="24"/>
              </w:rPr>
            </w:pPr>
          </w:p>
        </w:tc>
        <w:tc>
          <w:tcPr>
            <w:tcW w:w="2959" w:type="dxa"/>
            <w:tcBorders>
              <w:top w:val="single" w:color="000000" w:sz="4" w:space="0"/>
              <w:left w:val="single" w:color="000000" w:sz="4" w:space="0"/>
              <w:bottom w:val="single" w:color="000000" w:sz="4" w:space="0"/>
              <w:right w:val="single" w:color="000000" w:sz="4" w:space="0"/>
            </w:tcBorders>
            <w:vAlign w:val="center"/>
          </w:tcPr>
          <w:p w14:paraId="675D318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项目名称</w:t>
            </w:r>
          </w:p>
        </w:tc>
        <w:tc>
          <w:tcPr>
            <w:tcW w:w="1066" w:type="dxa"/>
            <w:tcBorders>
              <w:top w:val="single" w:color="000000" w:sz="4" w:space="0"/>
              <w:left w:val="single" w:color="000000" w:sz="4" w:space="0"/>
              <w:bottom w:val="single" w:color="000000" w:sz="4" w:space="0"/>
              <w:right w:val="single" w:color="000000" w:sz="4" w:space="0"/>
            </w:tcBorders>
            <w:vAlign w:val="center"/>
          </w:tcPr>
          <w:p w14:paraId="7D42A78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数量</w:t>
            </w:r>
          </w:p>
        </w:tc>
        <w:tc>
          <w:tcPr>
            <w:tcW w:w="1825" w:type="dxa"/>
            <w:tcBorders>
              <w:top w:val="single" w:color="000000" w:sz="4" w:space="0"/>
              <w:left w:val="single" w:color="000000" w:sz="4" w:space="0"/>
              <w:bottom w:val="single" w:color="000000" w:sz="4" w:space="0"/>
              <w:right w:val="single" w:color="000000" w:sz="4" w:space="0"/>
            </w:tcBorders>
            <w:vAlign w:val="center"/>
          </w:tcPr>
          <w:p w14:paraId="0122579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标准（元/月）</w:t>
            </w:r>
          </w:p>
        </w:tc>
        <w:tc>
          <w:tcPr>
            <w:tcW w:w="1599" w:type="dxa"/>
            <w:tcBorders>
              <w:top w:val="single" w:color="000000" w:sz="4" w:space="0"/>
              <w:left w:val="single" w:color="000000" w:sz="4" w:space="0"/>
              <w:bottom w:val="single" w:color="000000" w:sz="4" w:space="0"/>
              <w:right w:val="single" w:color="000000" w:sz="4" w:space="0"/>
            </w:tcBorders>
            <w:vAlign w:val="center"/>
          </w:tcPr>
          <w:p w14:paraId="1D87ECE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小计（元）</w:t>
            </w:r>
          </w:p>
        </w:tc>
        <w:tc>
          <w:tcPr>
            <w:tcW w:w="2089" w:type="dxa"/>
            <w:tcBorders>
              <w:top w:val="single" w:color="000000" w:sz="4" w:space="0"/>
              <w:left w:val="single" w:color="000000" w:sz="4" w:space="0"/>
              <w:bottom w:val="single" w:color="000000" w:sz="4" w:space="0"/>
              <w:right w:val="single" w:color="000000" w:sz="4" w:space="0"/>
            </w:tcBorders>
            <w:vAlign w:val="center"/>
          </w:tcPr>
          <w:p w14:paraId="0297AB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备注</w:t>
            </w:r>
          </w:p>
        </w:tc>
      </w:tr>
      <w:tr w14:paraId="442B05EA">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E56BA9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2959" w:type="dxa"/>
            <w:tcBorders>
              <w:top w:val="single" w:color="000000" w:sz="4" w:space="0"/>
              <w:left w:val="single" w:color="000000" w:sz="4" w:space="0"/>
              <w:bottom w:val="single" w:color="000000" w:sz="4" w:space="0"/>
              <w:right w:val="single" w:color="000000" w:sz="4" w:space="0"/>
            </w:tcBorders>
            <w:vAlign w:val="center"/>
          </w:tcPr>
          <w:p w14:paraId="504063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农村清运工工资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5148ED8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90</w:t>
            </w:r>
          </w:p>
        </w:tc>
        <w:tc>
          <w:tcPr>
            <w:tcW w:w="1825" w:type="dxa"/>
            <w:tcBorders>
              <w:top w:val="single" w:color="000000" w:sz="4" w:space="0"/>
              <w:left w:val="single" w:color="000000" w:sz="4" w:space="0"/>
              <w:bottom w:val="single" w:color="000000" w:sz="4" w:space="0"/>
              <w:right w:val="single" w:color="000000" w:sz="4" w:space="0"/>
            </w:tcBorders>
            <w:vAlign w:val="center"/>
          </w:tcPr>
          <w:p w14:paraId="75CCA1D7">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46699A7C">
            <w:pPr>
              <w:jc w:val="center"/>
              <w:rPr>
                <w:rFonts w:hint="eastAsia" w:ascii="仿宋" w:hAnsi="仿宋" w:eastAsia="仿宋" w:cs="仿宋"/>
                <w:color w:val="000000"/>
                <w:sz w:val="24"/>
                <w:szCs w:val="24"/>
              </w:rPr>
            </w:pPr>
          </w:p>
        </w:tc>
        <w:tc>
          <w:tcPr>
            <w:tcW w:w="2089" w:type="dxa"/>
            <w:vMerge w:val="restart"/>
            <w:tcBorders>
              <w:top w:val="single" w:color="000000" w:sz="4" w:space="0"/>
              <w:left w:val="single" w:color="000000" w:sz="4" w:space="0"/>
              <w:bottom w:val="single" w:color="000000" w:sz="4" w:space="0"/>
              <w:right w:val="single" w:color="000000" w:sz="4" w:space="0"/>
            </w:tcBorders>
            <w:vAlign w:val="center"/>
          </w:tcPr>
          <w:p w14:paraId="5C5857B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1-18项小计价格为12个月的工资，投标供应商自行将月标准工资*数量*12计入小计</w:t>
            </w:r>
          </w:p>
        </w:tc>
      </w:tr>
      <w:tr w14:paraId="2304B7DA">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18EBF7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2959" w:type="dxa"/>
            <w:tcBorders>
              <w:top w:val="single" w:color="000000" w:sz="4" w:space="0"/>
              <w:left w:val="single" w:color="000000" w:sz="4" w:space="0"/>
              <w:bottom w:val="single" w:color="000000" w:sz="4" w:space="0"/>
              <w:right w:val="single" w:color="000000" w:sz="4" w:space="0"/>
            </w:tcBorders>
            <w:vAlign w:val="center"/>
          </w:tcPr>
          <w:p w14:paraId="1C533F4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镇区保洁员工资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0B01A0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19</w:t>
            </w:r>
          </w:p>
        </w:tc>
        <w:tc>
          <w:tcPr>
            <w:tcW w:w="1825" w:type="dxa"/>
            <w:tcBorders>
              <w:top w:val="single" w:color="000000" w:sz="4" w:space="0"/>
              <w:left w:val="single" w:color="000000" w:sz="4" w:space="0"/>
              <w:bottom w:val="single" w:color="000000" w:sz="4" w:space="0"/>
              <w:right w:val="single" w:color="000000" w:sz="4" w:space="0"/>
            </w:tcBorders>
            <w:vAlign w:val="center"/>
          </w:tcPr>
          <w:p w14:paraId="3EE27892">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11385B93">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3A1DC469">
            <w:pPr>
              <w:jc w:val="left"/>
              <w:rPr>
                <w:rFonts w:hint="eastAsia" w:ascii="仿宋" w:hAnsi="仿宋" w:eastAsia="仿宋" w:cs="仿宋"/>
                <w:color w:val="000000"/>
                <w:sz w:val="24"/>
                <w:szCs w:val="24"/>
              </w:rPr>
            </w:pPr>
          </w:p>
        </w:tc>
      </w:tr>
      <w:tr w14:paraId="071E7595">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70DF98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2959" w:type="dxa"/>
            <w:tcBorders>
              <w:top w:val="single" w:color="000000" w:sz="4" w:space="0"/>
              <w:left w:val="single" w:color="000000" w:sz="4" w:space="0"/>
              <w:bottom w:val="single" w:color="000000" w:sz="4" w:space="0"/>
              <w:right w:val="single" w:color="000000" w:sz="4" w:space="0"/>
            </w:tcBorders>
            <w:vAlign w:val="center"/>
          </w:tcPr>
          <w:p w14:paraId="3E2A163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道路专项管护员工资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6FA23C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25</w:t>
            </w:r>
          </w:p>
        </w:tc>
        <w:tc>
          <w:tcPr>
            <w:tcW w:w="1825" w:type="dxa"/>
            <w:tcBorders>
              <w:top w:val="single" w:color="000000" w:sz="4" w:space="0"/>
              <w:left w:val="single" w:color="000000" w:sz="4" w:space="0"/>
              <w:bottom w:val="single" w:color="000000" w:sz="4" w:space="0"/>
              <w:right w:val="single" w:color="000000" w:sz="4" w:space="0"/>
            </w:tcBorders>
            <w:vAlign w:val="center"/>
          </w:tcPr>
          <w:p w14:paraId="3DF60223">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21BCC405">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1B8BC58">
            <w:pPr>
              <w:jc w:val="left"/>
              <w:rPr>
                <w:rFonts w:hint="eastAsia" w:ascii="仿宋" w:hAnsi="仿宋" w:eastAsia="仿宋" w:cs="仿宋"/>
                <w:color w:val="000000"/>
                <w:sz w:val="24"/>
                <w:szCs w:val="24"/>
              </w:rPr>
            </w:pPr>
          </w:p>
        </w:tc>
      </w:tr>
      <w:tr w14:paraId="2C5E7FC9">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691810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2959" w:type="dxa"/>
            <w:tcBorders>
              <w:top w:val="single" w:color="000000" w:sz="4" w:space="0"/>
              <w:left w:val="single" w:color="000000" w:sz="4" w:space="0"/>
              <w:bottom w:val="single" w:color="000000" w:sz="4" w:space="0"/>
              <w:right w:val="single" w:color="000000" w:sz="4" w:space="0"/>
            </w:tcBorders>
            <w:vAlign w:val="center"/>
          </w:tcPr>
          <w:p w14:paraId="0710210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东凌工业区保洁员工资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10D0769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1825" w:type="dxa"/>
            <w:tcBorders>
              <w:top w:val="single" w:color="000000" w:sz="4" w:space="0"/>
              <w:left w:val="single" w:color="000000" w:sz="4" w:space="0"/>
              <w:bottom w:val="single" w:color="000000" w:sz="4" w:space="0"/>
              <w:right w:val="single" w:color="000000" w:sz="4" w:space="0"/>
            </w:tcBorders>
            <w:vAlign w:val="center"/>
          </w:tcPr>
          <w:p w14:paraId="28635A26">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068639FA">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66ADAF3">
            <w:pPr>
              <w:jc w:val="left"/>
              <w:rPr>
                <w:rFonts w:hint="eastAsia" w:ascii="仿宋" w:hAnsi="仿宋" w:eastAsia="仿宋" w:cs="仿宋"/>
                <w:color w:val="000000"/>
                <w:sz w:val="24"/>
                <w:szCs w:val="24"/>
              </w:rPr>
            </w:pPr>
          </w:p>
        </w:tc>
      </w:tr>
      <w:tr w14:paraId="540942F2">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058FDE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w:t>
            </w:r>
          </w:p>
        </w:tc>
        <w:tc>
          <w:tcPr>
            <w:tcW w:w="2959" w:type="dxa"/>
            <w:tcBorders>
              <w:top w:val="single" w:color="000000" w:sz="4" w:space="0"/>
              <w:left w:val="single" w:color="000000" w:sz="4" w:space="0"/>
              <w:bottom w:val="single" w:color="000000" w:sz="4" w:space="0"/>
              <w:right w:val="single" w:color="000000" w:sz="4" w:space="0"/>
            </w:tcBorders>
            <w:vAlign w:val="center"/>
          </w:tcPr>
          <w:p w14:paraId="3110CC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兵房、张謇工业区保洁工资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6C7B645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1825" w:type="dxa"/>
            <w:tcBorders>
              <w:top w:val="single" w:color="000000" w:sz="4" w:space="0"/>
              <w:left w:val="single" w:color="000000" w:sz="4" w:space="0"/>
              <w:bottom w:val="single" w:color="000000" w:sz="4" w:space="0"/>
              <w:right w:val="single" w:color="000000" w:sz="4" w:space="0"/>
            </w:tcBorders>
            <w:vAlign w:val="center"/>
          </w:tcPr>
          <w:p w14:paraId="54C555CA">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31790DB6">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0C0FC51B">
            <w:pPr>
              <w:jc w:val="left"/>
              <w:rPr>
                <w:rFonts w:hint="eastAsia" w:ascii="仿宋" w:hAnsi="仿宋" w:eastAsia="仿宋" w:cs="仿宋"/>
                <w:color w:val="000000"/>
                <w:sz w:val="24"/>
                <w:szCs w:val="24"/>
              </w:rPr>
            </w:pPr>
          </w:p>
        </w:tc>
      </w:tr>
      <w:tr w14:paraId="37983C55">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25A293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6</w:t>
            </w:r>
          </w:p>
        </w:tc>
        <w:tc>
          <w:tcPr>
            <w:tcW w:w="2959" w:type="dxa"/>
            <w:tcBorders>
              <w:top w:val="single" w:color="000000" w:sz="4" w:space="0"/>
              <w:left w:val="single" w:color="000000" w:sz="4" w:space="0"/>
              <w:bottom w:val="single" w:color="000000" w:sz="4" w:space="0"/>
              <w:right w:val="single" w:color="000000" w:sz="4" w:space="0"/>
            </w:tcBorders>
            <w:vAlign w:val="center"/>
          </w:tcPr>
          <w:p w14:paraId="57EBDA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河道长效管护队长工资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0E3010F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1825" w:type="dxa"/>
            <w:tcBorders>
              <w:top w:val="single" w:color="000000" w:sz="4" w:space="0"/>
              <w:left w:val="single" w:color="000000" w:sz="4" w:space="0"/>
              <w:bottom w:val="single" w:color="000000" w:sz="4" w:space="0"/>
              <w:right w:val="single" w:color="000000" w:sz="4" w:space="0"/>
            </w:tcBorders>
            <w:vAlign w:val="center"/>
          </w:tcPr>
          <w:p w14:paraId="6506909E">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47E6D789">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7DE79050">
            <w:pPr>
              <w:jc w:val="left"/>
              <w:rPr>
                <w:rFonts w:hint="eastAsia" w:ascii="仿宋" w:hAnsi="仿宋" w:eastAsia="仿宋" w:cs="仿宋"/>
                <w:color w:val="000000"/>
                <w:sz w:val="24"/>
                <w:szCs w:val="24"/>
              </w:rPr>
            </w:pPr>
          </w:p>
        </w:tc>
      </w:tr>
      <w:tr w14:paraId="26849785">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64F58A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7</w:t>
            </w:r>
          </w:p>
        </w:tc>
        <w:tc>
          <w:tcPr>
            <w:tcW w:w="2959" w:type="dxa"/>
            <w:tcBorders>
              <w:top w:val="single" w:color="000000" w:sz="4" w:space="0"/>
              <w:left w:val="single" w:color="000000" w:sz="4" w:space="0"/>
              <w:bottom w:val="single" w:color="000000" w:sz="4" w:space="0"/>
              <w:right w:val="single" w:color="000000" w:sz="4" w:space="0"/>
            </w:tcBorders>
            <w:vAlign w:val="center"/>
          </w:tcPr>
          <w:p w14:paraId="0D09CFD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河道长效管护队员工资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C7779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36</w:t>
            </w:r>
          </w:p>
        </w:tc>
        <w:tc>
          <w:tcPr>
            <w:tcW w:w="1825" w:type="dxa"/>
            <w:tcBorders>
              <w:top w:val="single" w:color="000000" w:sz="4" w:space="0"/>
              <w:left w:val="single" w:color="000000" w:sz="4" w:space="0"/>
              <w:bottom w:val="single" w:color="000000" w:sz="4" w:space="0"/>
              <w:right w:val="single" w:color="000000" w:sz="4" w:space="0"/>
            </w:tcBorders>
            <w:vAlign w:val="center"/>
          </w:tcPr>
          <w:p w14:paraId="1E8FEE07">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12AB3379">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4CE273E3">
            <w:pPr>
              <w:jc w:val="left"/>
              <w:rPr>
                <w:rFonts w:hint="eastAsia" w:ascii="仿宋" w:hAnsi="仿宋" w:eastAsia="仿宋" w:cs="仿宋"/>
                <w:color w:val="000000"/>
                <w:sz w:val="24"/>
                <w:szCs w:val="24"/>
              </w:rPr>
            </w:pPr>
          </w:p>
        </w:tc>
      </w:tr>
      <w:tr w14:paraId="239084F5">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7B58AC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8</w:t>
            </w:r>
          </w:p>
        </w:tc>
        <w:tc>
          <w:tcPr>
            <w:tcW w:w="2959" w:type="dxa"/>
            <w:tcBorders>
              <w:top w:val="single" w:color="000000" w:sz="4" w:space="0"/>
              <w:left w:val="single" w:color="000000" w:sz="4" w:space="0"/>
              <w:bottom w:val="single" w:color="000000" w:sz="4" w:space="0"/>
              <w:right w:val="single" w:color="000000" w:sz="4" w:space="0"/>
            </w:tcBorders>
            <w:vAlign w:val="center"/>
          </w:tcPr>
          <w:p w14:paraId="1A9AD13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压缩车驾驶员工资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059C0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6</w:t>
            </w:r>
          </w:p>
        </w:tc>
        <w:tc>
          <w:tcPr>
            <w:tcW w:w="1825" w:type="dxa"/>
            <w:tcBorders>
              <w:top w:val="single" w:color="000000" w:sz="4" w:space="0"/>
              <w:left w:val="single" w:color="000000" w:sz="4" w:space="0"/>
              <w:bottom w:val="single" w:color="000000" w:sz="4" w:space="0"/>
              <w:right w:val="single" w:color="000000" w:sz="4" w:space="0"/>
            </w:tcBorders>
            <w:vAlign w:val="center"/>
          </w:tcPr>
          <w:p w14:paraId="4E46D97B">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0F122F6F">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47B27071">
            <w:pPr>
              <w:jc w:val="left"/>
              <w:rPr>
                <w:rFonts w:hint="eastAsia" w:ascii="仿宋" w:hAnsi="仿宋" w:eastAsia="仿宋" w:cs="仿宋"/>
                <w:color w:val="000000"/>
                <w:sz w:val="24"/>
                <w:szCs w:val="24"/>
              </w:rPr>
            </w:pPr>
          </w:p>
        </w:tc>
      </w:tr>
      <w:tr w14:paraId="158233AC">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A495FA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9</w:t>
            </w:r>
          </w:p>
        </w:tc>
        <w:tc>
          <w:tcPr>
            <w:tcW w:w="2959" w:type="dxa"/>
            <w:tcBorders>
              <w:top w:val="single" w:color="000000" w:sz="4" w:space="0"/>
              <w:left w:val="single" w:color="000000" w:sz="4" w:space="0"/>
              <w:bottom w:val="single" w:color="000000" w:sz="4" w:space="0"/>
              <w:right w:val="single" w:color="000000" w:sz="4" w:space="0"/>
            </w:tcBorders>
            <w:vAlign w:val="center"/>
          </w:tcPr>
          <w:p w14:paraId="6BE8644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机械化驾驶员工资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D5C28D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vAlign w:val="center"/>
          </w:tcPr>
          <w:p w14:paraId="6397EF10">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56BB17AC">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287F9AC">
            <w:pPr>
              <w:jc w:val="left"/>
              <w:rPr>
                <w:rFonts w:hint="eastAsia" w:ascii="仿宋" w:hAnsi="仿宋" w:eastAsia="仿宋" w:cs="仿宋"/>
                <w:color w:val="000000"/>
                <w:sz w:val="24"/>
                <w:szCs w:val="24"/>
              </w:rPr>
            </w:pPr>
          </w:p>
        </w:tc>
      </w:tr>
      <w:tr w14:paraId="767D1C11">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F050E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10</w:t>
            </w:r>
          </w:p>
        </w:tc>
        <w:tc>
          <w:tcPr>
            <w:tcW w:w="2959" w:type="dxa"/>
            <w:tcBorders>
              <w:top w:val="single" w:color="000000" w:sz="4" w:space="0"/>
              <w:left w:val="single" w:color="000000" w:sz="4" w:space="0"/>
              <w:bottom w:val="single" w:color="000000" w:sz="4" w:space="0"/>
              <w:right w:val="single" w:color="000000" w:sz="4" w:space="0"/>
            </w:tcBorders>
            <w:vAlign w:val="center"/>
          </w:tcPr>
          <w:p w14:paraId="400817C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轻卡驾驶员工资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1184605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vAlign w:val="center"/>
          </w:tcPr>
          <w:p w14:paraId="1E70D4E8">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69A47FF3">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6CD8BE7">
            <w:pPr>
              <w:jc w:val="left"/>
              <w:rPr>
                <w:rFonts w:hint="eastAsia" w:ascii="仿宋" w:hAnsi="仿宋" w:eastAsia="仿宋" w:cs="仿宋"/>
                <w:color w:val="000000"/>
                <w:sz w:val="24"/>
                <w:szCs w:val="24"/>
              </w:rPr>
            </w:pPr>
          </w:p>
        </w:tc>
      </w:tr>
      <w:tr w14:paraId="19D4AD07">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8AAC1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11</w:t>
            </w:r>
          </w:p>
        </w:tc>
        <w:tc>
          <w:tcPr>
            <w:tcW w:w="2959" w:type="dxa"/>
            <w:tcBorders>
              <w:top w:val="single" w:color="000000" w:sz="4" w:space="0"/>
              <w:left w:val="single" w:color="000000" w:sz="4" w:space="0"/>
              <w:bottom w:val="single" w:color="000000" w:sz="4" w:space="0"/>
              <w:right w:val="single" w:color="000000" w:sz="4" w:space="0"/>
            </w:tcBorders>
            <w:vAlign w:val="center"/>
          </w:tcPr>
          <w:p w14:paraId="09D782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辅助工工资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2BBFA25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vAlign w:val="center"/>
          </w:tcPr>
          <w:p w14:paraId="71C4C6D6">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250D0604">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7FAC8E1B">
            <w:pPr>
              <w:jc w:val="left"/>
              <w:rPr>
                <w:rFonts w:hint="eastAsia" w:ascii="仿宋" w:hAnsi="仿宋" w:eastAsia="仿宋" w:cs="仿宋"/>
                <w:color w:val="000000"/>
                <w:sz w:val="24"/>
                <w:szCs w:val="24"/>
              </w:rPr>
            </w:pPr>
          </w:p>
        </w:tc>
      </w:tr>
      <w:tr w14:paraId="230A30CF">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EFEABE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12</w:t>
            </w:r>
          </w:p>
        </w:tc>
        <w:tc>
          <w:tcPr>
            <w:tcW w:w="2959" w:type="dxa"/>
            <w:tcBorders>
              <w:top w:val="single" w:color="000000" w:sz="4" w:space="0"/>
              <w:left w:val="single" w:color="000000" w:sz="4" w:space="0"/>
              <w:bottom w:val="single" w:color="000000" w:sz="4" w:space="0"/>
              <w:right w:val="single" w:color="000000" w:sz="4" w:space="0"/>
            </w:tcBorders>
            <w:vAlign w:val="center"/>
          </w:tcPr>
          <w:p w14:paraId="5B1585E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倒桶工工资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63BE9F3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12</w:t>
            </w:r>
          </w:p>
        </w:tc>
        <w:tc>
          <w:tcPr>
            <w:tcW w:w="1825" w:type="dxa"/>
            <w:tcBorders>
              <w:top w:val="single" w:color="000000" w:sz="4" w:space="0"/>
              <w:left w:val="single" w:color="000000" w:sz="4" w:space="0"/>
              <w:bottom w:val="single" w:color="000000" w:sz="4" w:space="0"/>
              <w:right w:val="single" w:color="000000" w:sz="4" w:space="0"/>
            </w:tcBorders>
            <w:vAlign w:val="center"/>
          </w:tcPr>
          <w:p w14:paraId="22F013CC">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6F343FC4">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427F270F">
            <w:pPr>
              <w:jc w:val="left"/>
              <w:rPr>
                <w:rFonts w:hint="eastAsia" w:ascii="仿宋" w:hAnsi="仿宋" w:eastAsia="仿宋" w:cs="仿宋"/>
                <w:color w:val="000000"/>
                <w:sz w:val="24"/>
                <w:szCs w:val="24"/>
              </w:rPr>
            </w:pPr>
          </w:p>
        </w:tc>
      </w:tr>
      <w:tr w14:paraId="1635675D">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8FF3E2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13</w:t>
            </w:r>
          </w:p>
        </w:tc>
        <w:tc>
          <w:tcPr>
            <w:tcW w:w="2959" w:type="dxa"/>
            <w:tcBorders>
              <w:top w:val="single" w:color="000000" w:sz="4" w:space="0"/>
              <w:left w:val="single" w:color="000000" w:sz="4" w:space="0"/>
              <w:bottom w:val="single" w:color="000000" w:sz="4" w:space="0"/>
              <w:right w:val="single" w:color="000000" w:sz="4" w:space="0"/>
            </w:tcBorders>
            <w:vAlign w:val="center"/>
          </w:tcPr>
          <w:p w14:paraId="5301416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片长工资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7236EC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5</w:t>
            </w:r>
          </w:p>
        </w:tc>
        <w:tc>
          <w:tcPr>
            <w:tcW w:w="1825" w:type="dxa"/>
            <w:tcBorders>
              <w:top w:val="single" w:color="000000" w:sz="4" w:space="0"/>
              <w:left w:val="single" w:color="000000" w:sz="4" w:space="0"/>
              <w:bottom w:val="single" w:color="000000" w:sz="4" w:space="0"/>
              <w:right w:val="single" w:color="000000" w:sz="4" w:space="0"/>
            </w:tcBorders>
            <w:vAlign w:val="center"/>
          </w:tcPr>
          <w:p w14:paraId="4015192C">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047391EB">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0B18B2F">
            <w:pPr>
              <w:jc w:val="left"/>
              <w:rPr>
                <w:rFonts w:hint="eastAsia" w:ascii="仿宋" w:hAnsi="仿宋" w:eastAsia="仿宋" w:cs="仿宋"/>
                <w:color w:val="000000"/>
                <w:sz w:val="24"/>
                <w:szCs w:val="24"/>
              </w:rPr>
            </w:pPr>
          </w:p>
        </w:tc>
      </w:tr>
      <w:tr w14:paraId="11F7A824">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9CB13B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14</w:t>
            </w:r>
          </w:p>
        </w:tc>
        <w:tc>
          <w:tcPr>
            <w:tcW w:w="2959" w:type="dxa"/>
            <w:tcBorders>
              <w:top w:val="single" w:color="000000" w:sz="4" w:space="0"/>
              <w:left w:val="single" w:color="000000" w:sz="4" w:space="0"/>
              <w:bottom w:val="single" w:color="000000" w:sz="4" w:space="0"/>
              <w:right w:val="single" w:color="000000" w:sz="4" w:space="0"/>
            </w:tcBorders>
            <w:vAlign w:val="center"/>
          </w:tcPr>
          <w:p w14:paraId="1EC0C89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管理人员工资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64DB687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w:t>
            </w:r>
          </w:p>
        </w:tc>
        <w:tc>
          <w:tcPr>
            <w:tcW w:w="1825" w:type="dxa"/>
            <w:tcBorders>
              <w:top w:val="single" w:color="000000" w:sz="4" w:space="0"/>
              <w:left w:val="single" w:color="000000" w:sz="4" w:space="0"/>
              <w:bottom w:val="single" w:color="000000" w:sz="4" w:space="0"/>
              <w:right w:val="single" w:color="000000" w:sz="4" w:space="0"/>
            </w:tcBorders>
            <w:vAlign w:val="center"/>
          </w:tcPr>
          <w:p w14:paraId="5044B9B6">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77955255">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36847134">
            <w:pPr>
              <w:jc w:val="left"/>
              <w:rPr>
                <w:rFonts w:hint="eastAsia" w:ascii="仿宋" w:hAnsi="仿宋" w:eastAsia="仿宋" w:cs="仿宋"/>
                <w:color w:val="000000"/>
                <w:sz w:val="24"/>
                <w:szCs w:val="24"/>
              </w:rPr>
            </w:pPr>
          </w:p>
        </w:tc>
      </w:tr>
      <w:tr w14:paraId="0BC400AB">
        <w:tblPrEx>
          <w:tblCellMar>
            <w:top w:w="0" w:type="dxa"/>
            <w:left w:w="108" w:type="dxa"/>
            <w:bottom w:w="0" w:type="dxa"/>
            <w:right w:w="108" w:type="dxa"/>
          </w:tblCellMar>
        </w:tblPrEx>
        <w:trPr>
          <w:trHeight w:val="636"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4FA352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15</w:t>
            </w:r>
          </w:p>
        </w:tc>
        <w:tc>
          <w:tcPr>
            <w:tcW w:w="2959" w:type="dxa"/>
            <w:tcBorders>
              <w:top w:val="single" w:color="000000" w:sz="4" w:space="0"/>
              <w:left w:val="single" w:color="000000" w:sz="4" w:space="0"/>
              <w:bottom w:val="single" w:color="000000" w:sz="4" w:space="0"/>
              <w:right w:val="single" w:color="000000" w:sz="4" w:space="0"/>
            </w:tcBorders>
            <w:vAlign w:val="center"/>
          </w:tcPr>
          <w:p w14:paraId="6DD635B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环境卫生管理中心站长工资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DD6B24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vAlign w:val="center"/>
          </w:tcPr>
          <w:p w14:paraId="4082F622">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7B295F19">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7D323FBC">
            <w:pPr>
              <w:jc w:val="left"/>
              <w:rPr>
                <w:rFonts w:hint="eastAsia" w:ascii="仿宋" w:hAnsi="仿宋" w:eastAsia="仿宋" w:cs="仿宋"/>
                <w:color w:val="000000"/>
                <w:sz w:val="24"/>
                <w:szCs w:val="24"/>
              </w:rPr>
            </w:pPr>
          </w:p>
        </w:tc>
      </w:tr>
      <w:tr w14:paraId="7EC2F448">
        <w:tblPrEx>
          <w:tblCellMar>
            <w:top w:w="0" w:type="dxa"/>
            <w:left w:w="108" w:type="dxa"/>
            <w:bottom w:w="0" w:type="dxa"/>
            <w:right w:w="108" w:type="dxa"/>
          </w:tblCellMar>
        </w:tblPrEx>
        <w:trPr>
          <w:trHeight w:val="636"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95A4CD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16</w:t>
            </w:r>
          </w:p>
        </w:tc>
        <w:tc>
          <w:tcPr>
            <w:tcW w:w="2959" w:type="dxa"/>
            <w:tcBorders>
              <w:top w:val="single" w:color="000000" w:sz="4" w:space="0"/>
              <w:left w:val="single" w:color="000000" w:sz="4" w:space="0"/>
              <w:bottom w:val="single" w:color="000000" w:sz="4" w:space="0"/>
              <w:right w:val="single" w:color="000000" w:sz="4" w:space="0"/>
            </w:tcBorders>
            <w:vAlign w:val="center"/>
          </w:tcPr>
          <w:p w14:paraId="184331E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环境卫生管理中心统计员工资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64DDEAD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1825" w:type="dxa"/>
            <w:tcBorders>
              <w:top w:val="single" w:color="000000" w:sz="4" w:space="0"/>
              <w:left w:val="single" w:color="000000" w:sz="4" w:space="0"/>
              <w:bottom w:val="single" w:color="000000" w:sz="4" w:space="0"/>
              <w:right w:val="single" w:color="000000" w:sz="4" w:space="0"/>
            </w:tcBorders>
            <w:vAlign w:val="center"/>
          </w:tcPr>
          <w:p w14:paraId="30873357">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4DC96666">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426A3012">
            <w:pPr>
              <w:jc w:val="left"/>
              <w:rPr>
                <w:rFonts w:hint="eastAsia" w:ascii="仿宋" w:hAnsi="仿宋" w:eastAsia="仿宋" w:cs="仿宋"/>
                <w:color w:val="000000"/>
                <w:sz w:val="24"/>
                <w:szCs w:val="24"/>
              </w:rPr>
            </w:pPr>
          </w:p>
        </w:tc>
      </w:tr>
      <w:tr w14:paraId="121EC2A1">
        <w:tblPrEx>
          <w:tblCellMar>
            <w:top w:w="0" w:type="dxa"/>
            <w:left w:w="108" w:type="dxa"/>
            <w:bottom w:w="0" w:type="dxa"/>
            <w:right w:w="108" w:type="dxa"/>
          </w:tblCellMar>
        </w:tblPrEx>
        <w:trPr>
          <w:trHeight w:val="648"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82274E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17</w:t>
            </w:r>
          </w:p>
        </w:tc>
        <w:tc>
          <w:tcPr>
            <w:tcW w:w="2959" w:type="dxa"/>
            <w:tcBorders>
              <w:top w:val="single" w:color="000000" w:sz="4" w:space="0"/>
              <w:left w:val="single" w:color="000000" w:sz="4" w:space="0"/>
              <w:bottom w:val="single" w:color="000000" w:sz="4" w:space="0"/>
              <w:right w:val="single" w:color="000000" w:sz="4" w:space="0"/>
            </w:tcBorders>
            <w:vAlign w:val="center"/>
          </w:tcPr>
          <w:p w14:paraId="7CEAA5F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 xml:space="preserve">环境卫生管理中心操作工工资 </w:t>
            </w:r>
          </w:p>
        </w:tc>
        <w:tc>
          <w:tcPr>
            <w:tcW w:w="1066" w:type="dxa"/>
            <w:tcBorders>
              <w:top w:val="single" w:color="000000" w:sz="4" w:space="0"/>
              <w:left w:val="single" w:color="000000" w:sz="4" w:space="0"/>
              <w:bottom w:val="single" w:color="000000" w:sz="4" w:space="0"/>
              <w:right w:val="single" w:color="000000" w:sz="4" w:space="0"/>
            </w:tcBorders>
            <w:vAlign w:val="center"/>
          </w:tcPr>
          <w:p w14:paraId="50EEDB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w:t>
            </w:r>
          </w:p>
        </w:tc>
        <w:tc>
          <w:tcPr>
            <w:tcW w:w="1825" w:type="dxa"/>
            <w:tcBorders>
              <w:top w:val="single" w:color="000000" w:sz="4" w:space="0"/>
              <w:left w:val="single" w:color="000000" w:sz="4" w:space="0"/>
              <w:bottom w:val="single" w:color="000000" w:sz="4" w:space="0"/>
              <w:right w:val="single" w:color="000000" w:sz="4" w:space="0"/>
            </w:tcBorders>
            <w:vAlign w:val="center"/>
          </w:tcPr>
          <w:p w14:paraId="766158F7">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0F9EFD0F">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615EEFB4">
            <w:pPr>
              <w:jc w:val="left"/>
              <w:rPr>
                <w:rFonts w:hint="eastAsia" w:ascii="仿宋" w:hAnsi="仿宋" w:eastAsia="仿宋" w:cs="仿宋"/>
                <w:color w:val="000000"/>
                <w:sz w:val="24"/>
                <w:szCs w:val="24"/>
              </w:rPr>
            </w:pPr>
          </w:p>
        </w:tc>
      </w:tr>
      <w:tr w14:paraId="7C77E6F8">
        <w:tblPrEx>
          <w:tblCellMar>
            <w:top w:w="0" w:type="dxa"/>
            <w:left w:w="108" w:type="dxa"/>
            <w:bottom w:w="0" w:type="dxa"/>
            <w:right w:w="108" w:type="dxa"/>
          </w:tblCellMar>
        </w:tblPrEx>
        <w:trPr>
          <w:trHeight w:val="612"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11D66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18</w:t>
            </w:r>
          </w:p>
        </w:tc>
        <w:tc>
          <w:tcPr>
            <w:tcW w:w="2959" w:type="dxa"/>
            <w:tcBorders>
              <w:top w:val="single" w:color="000000" w:sz="4" w:space="0"/>
              <w:left w:val="single" w:color="000000" w:sz="4" w:space="0"/>
              <w:bottom w:val="single" w:color="000000" w:sz="4" w:space="0"/>
              <w:right w:val="single" w:color="000000" w:sz="4" w:space="0"/>
            </w:tcBorders>
            <w:vAlign w:val="center"/>
          </w:tcPr>
          <w:p w14:paraId="1FE264C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环境卫生管理中心辅助工工资</w:t>
            </w:r>
          </w:p>
        </w:tc>
        <w:tc>
          <w:tcPr>
            <w:tcW w:w="1066" w:type="dxa"/>
            <w:tcBorders>
              <w:top w:val="single" w:color="000000" w:sz="4" w:space="0"/>
              <w:left w:val="single" w:color="000000" w:sz="4" w:space="0"/>
              <w:bottom w:val="single" w:color="000000" w:sz="4" w:space="0"/>
              <w:right w:val="single" w:color="000000" w:sz="4" w:space="0"/>
            </w:tcBorders>
            <w:vAlign w:val="center"/>
          </w:tcPr>
          <w:p w14:paraId="4B404F9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w:t>
            </w:r>
          </w:p>
        </w:tc>
        <w:tc>
          <w:tcPr>
            <w:tcW w:w="1825" w:type="dxa"/>
            <w:tcBorders>
              <w:top w:val="single" w:color="000000" w:sz="4" w:space="0"/>
              <w:left w:val="single" w:color="000000" w:sz="4" w:space="0"/>
              <w:bottom w:val="single" w:color="000000" w:sz="4" w:space="0"/>
              <w:right w:val="single" w:color="000000" w:sz="4" w:space="0"/>
            </w:tcBorders>
            <w:vAlign w:val="center"/>
          </w:tcPr>
          <w:p w14:paraId="7D3A9AB6">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4C4E3B2B">
            <w:pPr>
              <w:jc w:val="center"/>
              <w:rPr>
                <w:rFonts w:hint="eastAsia" w:ascii="仿宋" w:hAnsi="仿宋" w:eastAsia="仿宋" w:cs="仿宋"/>
                <w:color w:val="000000"/>
                <w:sz w:val="24"/>
                <w:szCs w:val="24"/>
              </w:rPr>
            </w:pPr>
          </w:p>
        </w:tc>
        <w:tc>
          <w:tcPr>
            <w:tcW w:w="2089" w:type="dxa"/>
            <w:vMerge w:val="continue"/>
            <w:tcBorders>
              <w:top w:val="single" w:color="000000" w:sz="4" w:space="0"/>
              <w:left w:val="single" w:color="000000" w:sz="4" w:space="0"/>
              <w:bottom w:val="single" w:color="000000" w:sz="4" w:space="0"/>
              <w:right w:val="single" w:color="000000" w:sz="4" w:space="0"/>
            </w:tcBorders>
            <w:vAlign w:val="center"/>
          </w:tcPr>
          <w:p w14:paraId="7040AE9E">
            <w:pPr>
              <w:jc w:val="left"/>
              <w:rPr>
                <w:rFonts w:hint="eastAsia" w:ascii="仿宋" w:hAnsi="仿宋" w:eastAsia="仿宋" w:cs="仿宋"/>
                <w:color w:val="000000"/>
                <w:sz w:val="24"/>
                <w:szCs w:val="24"/>
              </w:rPr>
            </w:pPr>
          </w:p>
        </w:tc>
      </w:tr>
      <w:tr w14:paraId="002A077D">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EE4B6C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19</w:t>
            </w:r>
          </w:p>
        </w:tc>
        <w:tc>
          <w:tcPr>
            <w:tcW w:w="2959" w:type="dxa"/>
            <w:tcBorders>
              <w:top w:val="single" w:color="000000" w:sz="4" w:space="0"/>
              <w:left w:val="single" w:color="000000" w:sz="4" w:space="0"/>
              <w:bottom w:val="single" w:color="000000" w:sz="4" w:space="0"/>
              <w:right w:val="single" w:color="000000" w:sz="4" w:space="0"/>
            </w:tcBorders>
            <w:vAlign w:val="center"/>
          </w:tcPr>
          <w:p w14:paraId="47458FF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职工保险</w:t>
            </w:r>
          </w:p>
        </w:tc>
        <w:tc>
          <w:tcPr>
            <w:tcW w:w="1066" w:type="dxa"/>
            <w:tcBorders>
              <w:top w:val="single" w:color="000000" w:sz="4" w:space="0"/>
              <w:left w:val="single" w:color="000000" w:sz="4" w:space="0"/>
              <w:bottom w:val="single" w:color="000000" w:sz="4" w:space="0"/>
              <w:right w:val="single" w:color="000000" w:sz="4" w:space="0"/>
            </w:tcBorders>
            <w:vAlign w:val="center"/>
          </w:tcPr>
          <w:p w14:paraId="52AFF69A">
            <w:pPr>
              <w:jc w:val="center"/>
              <w:rPr>
                <w:rFonts w:hint="eastAsia" w:ascii="仿宋" w:hAnsi="仿宋" w:eastAsia="仿宋" w:cs="仿宋"/>
                <w:color w:val="000000"/>
                <w:sz w:val="24"/>
                <w:szCs w:val="24"/>
              </w:rPr>
            </w:pPr>
          </w:p>
        </w:tc>
        <w:tc>
          <w:tcPr>
            <w:tcW w:w="1825" w:type="dxa"/>
            <w:tcBorders>
              <w:top w:val="single" w:color="000000" w:sz="4" w:space="0"/>
              <w:left w:val="single" w:color="000000" w:sz="4" w:space="0"/>
              <w:bottom w:val="single" w:color="auto" w:sz="4" w:space="0"/>
              <w:right w:val="single" w:color="000000" w:sz="4" w:space="0"/>
            </w:tcBorders>
            <w:vAlign w:val="center"/>
          </w:tcPr>
          <w:p w14:paraId="43945AEC">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auto" w:sz="4" w:space="0"/>
              <w:right w:val="single" w:color="000000" w:sz="4" w:space="0"/>
            </w:tcBorders>
            <w:vAlign w:val="center"/>
          </w:tcPr>
          <w:p w14:paraId="2D70D592">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auto" w:sz="4" w:space="0"/>
              <w:right w:val="single" w:color="000000" w:sz="4" w:space="0"/>
            </w:tcBorders>
            <w:vAlign w:val="center"/>
          </w:tcPr>
          <w:p w14:paraId="5CBE009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此项人员合计,数量由投标供应商自行填入</w:t>
            </w:r>
          </w:p>
        </w:tc>
      </w:tr>
      <w:tr w14:paraId="44428066">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76DFD5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20</w:t>
            </w:r>
          </w:p>
        </w:tc>
        <w:tc>
          <w:tcPr>
            <w:tcW w:w="2959" w:type="dxa"/>
            <w:tcBorders>
              <w:top w:val="single" w:color="000000" w:sz="4" w:space="0"/>
              <w:left w:val="single" w:color="000000" w:sz="4" w:space="0"/>
              <w:bottom w:val="single" w:color="000000" w:sz="4" w:space="0"/>
              <w:right w:val="single" w:color="000000" w:sz="4" w:space="0"/>
            </w:tcBorders>
            <w:vAlign w:val="center"/>
          </w:tcPr>
          <w:p w14:paraId="019C853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意外伤害险</w:t>
            </w:r>
          </w:p>
        </w:tc>
        <w:tc>
          <w:tcPr>
            <w:tcW w:w="1066" w:type="dxa"/>
            <w:tcBorders>
              <w:top w:val="single" w:color="000000" w:sz="4" w:space="0"/>
              <w:left w:val="single" w:color="000000" w:sz="4" w:space="0"/>
              <w:bottom w:val="single" w:color="000000" w:sz="4" w:space="0"/>
              <w:right w:val="single" w:color="000000" w:sz="4" w:space="0"/>
            </w:tcBorders>
            <w:vAlign w:val="center"/>
          </w:tcPr>
          <w:p w14:paraId="6CAE6C7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215</w:t>
            </w:r>
          </w:p>
        </w:tc>
        <w:tc>
          <w:tcPr>
            <w:tcW w:w="1825" w:type="dxa"/>
            <w:tcBorders>
              <w:top w:val="single" w:color="auto" w:sz="4" w:space="0"/>
              <w:left w:val="single" w:color="000000" w:sz="4" w:space="0"/>
              <w:bottom w:val="single" w:color="auto" w:sz="4" w:space="0"/>
              <w:right w:val="single" w:color="000000" w:sz="4" w:space="0"/>
            </w:tcBorders>
            <w:vAlign w:val="center"/>
          </w:tcPr>
          <w:p w14:paraId="7A83C587">
            <w:pPr>
              <w:jc w:val="center"/>
              <w:rPr>
                <w:rFonts w:hint="eastAsia" w:ascii="仿宋" w:hAnsi="仿宋" w:eastAsia="仿宋" w:cs="仿宋"/>
                <w:color w:val="000000"/>
                <w:sz w:val="24"/>
                <w:szCs w:val="24"/>
              </w:rPr>
            </w:pPr>
          </w:p>
        </w:tc>
        <w:tc>
          <w:tcPr>
            <w:tcW w:w="1599" w:type="dxa"/>
            <w:tcBorders>
              <w:top w:val="single" w:color="auto" w:sz="4" w:space="0"/>
              <w:left w:val="single" w:color="000000" w:sz="4" w:space="0"/>
              <w:bottom w:val="single" w:color="auto" w:sz="4" w:space="0"/>
              <w:right w:val="single" w:color="000000" w:sz="4" w:space="0"/>
            </w:tcBorders>
            <w:vAlign w:val="center"/>
          </w:tcPr>
          <w:p w14:paraId="2C3DCF8B">
            <w:pPr>
              <w:jc w:val="center"/>
              <w:rPr>
                <w:rFonts w:hint="eastAsia" w:ascii="仿宋" w:hAnsi="仿宋" w:eastAsia="仿宋" w:cs="仿宋"/>
                <w:color w:val="000000"/>
                <w:sz w:val="24"/>
                <w:szCs w:val="24"/>
              </w:rPr>
            </w:pPr>
          </w:p>
        </w:tc>
        <w:tc>
          <w:tcPr>
            <w:tcW w:w="2089" w:type="dxa"/>
            <w:vMerge w:val="restart"/>
            <w:tcBorders>
              <w:top w:val="single" w:color="auto" w:sz="4" w:space="0"/>
              <w:left w:val="single" w:color="000000" w:sz="4" w:space="0"/>
              <w:bottom w:val="single" w:color="auto" w:sz="4" w:space="0"/>
              <w:right w:val="single" w:color="000000" w:sz="4" w:space="0"/>
            </w:tcBorders>
            <w:vAlign w:val="center"/>
          </w:tcPr>
          <w:p w14:paraId="5A4FD8F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153935CF">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644A3A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21</w:t>
            </w:r>
          </w:p>
        </w:tc>
        <w:tc>
          <w:tcPr>
            <w:tcW w:w="2959" w:type="dxa"/>
            <w:tcBorders>
              <w:top w:val="single" w:color="000000" w:sz="4" w:space="0"/>
              <w:left w:val="single" w:color="000000" w:sz="4" w:space="0"/>
              <w:bottom w:val="single" w:color="000000" w:sz="4" w:space="0"/>
              <w:right w:val="single" w:color="000000" w:sz="4" w:space="0"/>
            </w:tcBorders>
            <w:vAlign w:val="center"/>
          </w:tcPr>
          <w:p w14:paraId="5246BB9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福利费及高温补贴</w:t>
            </w:r>
          </w:p>
        </w:tc>
        <w:tc>
          <w:tcPr>
            <w:tcW w:w="1066" w:type="dxa"/>
            <w:tcBorders>
              <w:top w:val="single" w:color="000000" w:sz="4" w:space="0"/>
              <w:left w:val="single" w:color="000000" w:sz="4" w:space="0"/>
              <w:bottom w:val="single" w:color="000000" w:sz="4" w:space="0"/>
              <w:right w:val="single" w:color="000000" w:sz="4" w:space="0"/>
            </w:tcBorders>
            <w:vAlign w:val="center"/>
          </w:tcPr>
          <w:p w14:paraId="7E96A69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215</w:t>
            </w:r>
          </w:p>
        </w:tc>
        <w:tc>
          <w:tcPr>
            <w:tcW w:w="1825" w:type="dxa"/>
            <w:tcBorders>
              <w:top w:val="single" w:color="auto" w:sz="4" w:space="0"/>
              <w:left w:val="single" w:color="000000" w:sz="4" w:space="0"/>
              <w:bottom w:val="single" w:color="000000" w:sz="4" w:space="0"/>
              <w:right w:val="single" w:color="000000" w:sz="4" w:space="0"/>
            </w:tcBorders>
            <w:vAlign w:val="center"/>
          </w:tcPr>
          <w:p w14:paraId="74817419">
            <w:pPr>
              <w:jc w:val="center"/>
              <w:rPr>
                <w:rFonts w:hint="eastAsia" w:ascii="仿宋" w:hAnsi="仿宋" w:eastAsia="仿宋" w:cs="仿宋"/>
                <w:color w:val="000000"/>
                <w:sz w:val="24"/>
                <w:szCs w:val="24"/>
              </w:rPr>
            </w:pPr>
          </w:p>
        </w:tc>
        <w:tc>
          <w:tcPr>
            <w:tcW w:w="1599" w:type="dxa"/>
            <w:tcBorders>
              <w:top w:val="single" w:color="auto" w:sz="4" w:space="0"/>
              <w:left w:val="single" w:color="000000" w:sz="4" w:space="0"/>
              <w:bottom w:val="single" w:color="000000" w:sz="4" w:space="0"/>
              <w:right w:val="single" w:color="000000" w:sz="4" w:space="0"/>
            </w:tcBorders>
            <w:vAlign w:val="center"/>
          </w:tcPr>
          <w:p w14:paraId="254FD87F">
            <w:pPr>
              <w:jc w:val="center"/>
              <w:rPr>
                <w:rFonts w:hint="eastAsia" w:ascii="仿宋" w:hAnsi="仿宋" w:eastAsia="仿宋" w:cs="仿宋"/>
                <w:color w:val="000000"/>
                <w:sz w:val="24"/>
                <w:szCs w:val="24"/>
              </w:rPr>
            </w:pPr>
          </w:p>
        </w:tc>
        <w:tc>
          <w:tcPr>
            <w:tcW w:w="2089" w:type="dxa"/>
            <w:vMerge w:val="continue"/>
            <w:tcBorders>
              <w:top w:val="single" w:color="auto" w:sz="4" w:space="0"/>
              <w:left w:val="single" w:color="000000" w:sz="4" w:space="0"/>
              <w:bottom w:val="single" w:color="000000" w:sz="4" w:space="0"/>
              <w:right w:val="single" w:color="000000" w:sz="4" w:space="0"/>
            </w:tcBorders>
            <w:vAlign w:val="center"/>
          </w:tcPr>
          <w:p w14:paraId="03314BE5">
            <w:pPr>
              <w:jc w:val="left"/>
              <w:rPr>
                <w:rFonts w:hint="eastAsia" w:ascii="仿宋" w:hAnsi="仿宋" w:eastAsia="仿宋" w:cs="仿宋"/>
                <w:color w:val="000000"/>
                <w:sz w:val="24"/>
                <w:szCs w:val="24"/>
              </w:rPr>
            </w:pPr>
          </w:p>
        </w:tc>
      </w:tr>
      <w:tr w14:paraId="4563B379">
        <w:tblPrEx>
          <w:tblCellMar>
            <w:top w:w="0" w:type="dxa"/>
            <w:left w:w="108" w:type="dxa"/>
            <w:bottom w:w="0" w:type="dxa"/>
            <w:right w:w="108" w:type="dxa"/>
          </w:tblCellMar>
        </w:tblPrEx>
        <w:trPr>
          <w:trHeight w:val="720" w:hRule="atLeast"/>
          <w:jc w:val="center"/>
        </w:trPr>
        <w:tc>
          <w:tcPr>
            <w:tcW w:w="6743" w:type="dxa"/>
            <w:gridSpan w:val="4"/>
            <w:tcBorders>
              <w:top w:val="single" w:color="000000" w:sz="4" w:space="0"/>
              <w:left w:val="single" w:color="000000" w:sz="4" w:space="0"/>
              <w:bottom w:val="single" w:color="000000" w:sz="4" w:space="0"/>
              <w:right w:val="single" w:color="000000" w:sz="4" w:space="0"/>
            </w:tcBorders>
            <w:vAlign w:val="center"/>
          </w:tcPr>
          <w:p w14:paraId="4ED200B8">
            <w:pPr>
              <w:widowControl/>
              <w:jc w:val="center"/>
              <w:textAlignment w:val="center"/>
              <w:rPr>
                <w:rFonts w:hint="eastAsia" w:ascii="仿宋" w:hAnsi="仿宋" w:eastAsia="仿宋" w:cs="仿宋"/>
                <w:color w:val="FF0000"/>
                <w:sz w:val="24"/>
                <w:szCs w:val="24"/>
              </w:rPr>
            </w:pPr>
            <w:r>
              <w:rPr>
                <w:rFonts w:hint="eastAsia" w:ascii="仿宋" w:hAnsi="仿宋" w:eastAsia="仿宋" w:cs="仿宋"/>
                <w:color w:val="FF0000"/>
                <w:sz w:val="24"/>
                <w:szCs w:val="24"/>
                <w:lang w:bidi="ar"/>
              </w:rPr>
              <w:t>人员经费合计（元）=以上1-21项小计之和</w:t>
            </w:r>
          </w:p>
        </w:tc>
        <w:tc>
          <w:tcPr>
            <w:tcW w:w="1599" w:type="dxa"/>
            <w:tcBorders>
              <w:top w:val="single" w:color="000000" w:sz="4" w:space="0"/>
              <w:left w:val="single" w:color="000000" w:sz="4" w:space="0"/>
              <w:bottom w:val="single" w:color="000000" w:sz="4" w:space="0"/>
              <w:right w:val="single" w:color="000000" w:sz="4" w:space="0"/>
            </w:tcBorders>
            <w:vAlign w:val="center"/>
          </w:tcPr>
          <w:p w14:paraId="69727E5D">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6866A8B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4FEACE52">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CE902E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22</w:t>
            </w:r>
          </w:p>
        </w:tc>
        <w:tc>
          <w:tcPr>
            <w:tcW w:w="2959" w:type="dxa"/>
            <w:tcBorders>
              <w:top w:val="single" w:color="000000" w:sz="4" w:space="0"/>
              <w:left w:val="single" w:color="000000" w:sz="4" w:space="0"/>
              <w:bottom w:val="single" w:color="000000" w:sz="4" w:space="0"/>
              <w:right w:val="single" w:color="000000" w:sz="4" w:space="0"/>
            </w:tcBorders>
            <w:vAlign w:val="center"/>
          </w:tcPr>
          <w:p w14:paraId="321FFD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保洁人员工具费</w:t>
            </w:r>
          </w:p>
        </w:tc>
        <w:tc>
          <w:tcPr>
            <w:tcW w:w="1066" w:type="dxa"/>
            <w:tcBorders>
              <w:top w:val="single" w:color="000000" w:sz="4" w:space="0"/>
              <w:left w:val="single" w:color="000000" w:sz="4" w:space="0"/>
              <w:bottom w:val="single" w:color="000000" w:sz="4" w:space="0"/>
              <w:right w:val="single" w:color="000000" w:sz="4" w:space="0"/>
            </w:tcBorders>
            <w:vAlign w:val="center"/>
          </w:tcPr>
          <w:p w14:paraId="1052C4F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5259F9C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60D0829D">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3A2F9EC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0CF99308">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DFA090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23</w:t>
            </w:r>
          </w:p>
        </w:tc>
        <w:tc>
          <w:tcPr>
            <w:tcW w:w="2959" w:type="dxa"/>
            <w:tcBorders>
              <w:top w:val="single" w:color="000000" w:sz="4" w:space="0"/>
              <w:left w:val="single" w:color="000000" w:sz="4" w:space="0"/>
              <w:bottom w:val="single" w:color="000000" w:sz="4" w:space="0"/>
              <w:right w:val="single" w:color="000000" w:sz="4" w:space="0"/>
            </w:tcBorders>
            <w:vAlign w:val="center"/>
          </w:tcPr>
          <w:p w14:paraId="7C3A8C8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办公经费</w:t>
            </w:r>
          </w:p>
        </w:tc>
        <w:tc>
          <w:tcPr>
            <w:tcW w:w="1066" w:type="dxa"/>
            <w:tcBorders>
              <w:top w:val="single" w:color="000000" w:sz="4" w:space="0"/>
              <w:left w:val="single" w:color="000000" w:sz="4" w:space="0"/>
              <w:bottom w:val="single" w:color="000000" w:sz="4" w:space="0"/>
              <w:right w:val="single" w:color="000000" w:sz="4" w:space="0"/>
            </w:tcBorders>
            <w:vAlign w:val="center"/>
          </w:tcPr>
          <w:p w14:paraId="6D2D9EC2">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0A306D9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7EE91018">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4E1B6B8B">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26B3655C">
        <w:tblPrEx>
          <w:tblCellMar>
            <w:top w:w="0" w:type="dxa"/>
            <w:left w:w="108" w:type="dxa"/>
            <w:bottom w:w="0" w:type="dxa"/>
            <w:right w:w="108" w:type="dxa"/>
          </w:tblCellMar>
        </w:tblPrEx>
        <w:trPr>
          <w:trHeight w:val="636"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D8A64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24</w:t>
            </w:r>
          </w:p>
        </w:tc>
        <w:tc>
          <w:tcPr>
            <w:tcW w:w="2959" w:type="dxa"/>
            <w:tcBorders>
              <w:top w:val="single" w:color="000000" w:sz="4" w:space="0"/>
              <w:left w:val="single" w:color="000000" w:sz="4" w:space="0"/>
              <w:bottom w:val="single" w:color="000000" w:sz="4" w:space="0"/>
              <w:right w:val="single" w:color="000000" w:sz="4" w:space="0"/>
            </w:tcBorders>
            <w:vAlign w:val="center"/>
          </w:tcPr>
          <w:p w14:paraId="212E73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环境卫生管理中心伙食费、值班费</w:t>
            </w:r>
          </w:p>
        </w:tc>
        <w:tc>
          <w:tcPr>
            <w:tcW w:w="1066" w:type="dxa"/>
            <w:tcBorders>
              <w:top w:val="single" w:color="000000" w:sz="4" w:space="0"/>
              <w:left w:val="single" w:color="000000" w:sz="4" w:space="0"/>
              <w:bottom w:val="single" w:color="000000" w:sz="4" w:space="0"/>
              <w:right w:val="single" w:color="000000" w:sz="4" w:space="0"/>
            </w:tcBorders>
            <w:vAlign w:val="center"/>
          </w:tcPr>
          <w:p w14:paraId="0E01FDB2">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7D6E3BF3">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08FED284">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32DEC18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651BF0FC">
        <w:tblPrEx>
          <w:tblCellMar>
            <w:top w:w="0" w:type="dxa"/>
            <w:left w:w="108" w:type="dxa"/>
            <w:bottom w:w="0" w:type="dxa"/>
            <w:right w:w="108" w:type="dxa"/>
          </w:tblCellMar>
        </w:tblPrEx>
        <w:trPr>
          <w:trHeight w:val="732"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B4443E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25</w:t>
            </w:r>
          </w:p>
        </w:tc>
        <w:tc>
          <w:tcPr>
            <w:tcW w:w="2959" w:type="dxa"/>
            <w:tcBorders>
              <w:top w:val="single" w:color="000000" w:sz="4" w:space="0"/>
              <w:left w:val="single" w:color="000000" w:sz="4" w:space="0"/>
              <w:bottom w:val="single" w:color="000000" w:sz="4" w:space="0"/>
              <w:right w:val="single" w:color="000000" w:sz="4" w:space="0"/>
            </w:tcBorders>
            <w:vAlign w:val="center"/>
          </w:tcPr>
          <w:p w14:paraId="14EEBC3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车辆、船、设备投入分摊（含财务成本）</w:t>
            </w:r>
          </w:p>
        </w:tc>
        <w:tc>
          <w:tcPr>
            <w:tcW w:w="1066" w:type="dxa"/>
            <w:tcBorders>
              <w:top w:val="single" w:color="000000" w:sz="4" w:space="0"/>
              <w:left w:val="single" w:color="000000" w:sz="4" w:space="0"/>
              <w:bottom w:val="single" w:color="000000" w:sz="4" w:space="0"/>
              <w:right w:val="single" w:color="000000" w:sz="4" w:space="0"/>
            </w:tcBorders>
            <w:vAlign w:val="center"/>
          </w:tcPr>
          <w:p w14:paraId="25B7005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7893ECB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5DECA7F4">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5AF4318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156B55C7">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BF8EC8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26</w:t>
            </w:r>
          </w:p>
        </w:tc>
        <w:tc>
          <w:tcPr>
            <w:tcW w:w="2959" w:type="dxa"/>
            <w:tcBorders>
              <w:top w:val="single" w:color="000000" w:sz="4" w:space="0"/>
              <w:left w:val="single" w:color="000000" w:sz="4" w:space="0"/>
              <w:bottom w:val="single" w:color="000000" w:sz="4" w:space="0"/>
              <w:right w:val="single" w:color="000000" w:sz="4" w:space="0"/>
            </w:tcBorders>
            <w:vAlign w:val="center"/>
          </w:tcPr>
          <w:p w14:paraId="1797EAD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车辆维护（修)费</w:t>
            </w:r>
          </w:p>
        </w:tc>
        <w:tc>
          <w:tcPr>
            <w:tcW w:w="1066" w:type="dxa"/>
            <w:tcBorders>
              <w:top w:val="single" w:color="000000" w:sz="4" w:space="0"/>
              <w:left w:val="single" w:color="000000" w:sz="4" w:space="0"/>
              <w:bottom w:val="single" w:color="000000" w:sz="4" w:space="0"/>
              <w:right w:val="single" w:color="000000" w:sz="4" w:space="0"/>
            </w:tcBorders>
            <w:vAlign w:val="center"/>
          </w:tcPr>
          <w:p w14:paraId="3A18F94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6B1FAAA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38E19ECE">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42962738">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6ED95C2D">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1C6833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27</w:t>
            </w:r>
          </w:p>
        </w:tc>
        <w:tc>
          <w:tcPr>
            <w:tcW w:w="2959" w:type="dxa"/>
            <w:tcBorders>
              <w:top w:val="single" w:color="000000" w:sz="4" w:space="0"/>
              <w:left w:val="single" w:color="000000" w:sz="4" w:space="0"/>
              <w:bottom w:val="single" w:color="000000" w:sz="4" w:space="0"/>
              <w:right w:val="single" w:color="000000" w:sz="4" w:space="0"/>
            </w:tcBorders>
            <w:vAlign w:val="center"/>
          </w:tcPr>
          <w:p w14:paraId="47A5B41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车辆油费（含割草机）</w:t>
            </w:r>
          </w:p>
        </w:tc>
        <w:tc>
          <w:tcPr>
            <w:tcW w:w="1066" w:type="dxa"/>
            <w:tcBorders>
              <w:top w:val="single" w:color="000000" w:sz="4" w:space="0"/>
              <w:left w:val="single" w:color="000000" w:sz="4" w:space="0"/>
              <w:bottom w:val="single" w:color="000000" w:sz="4" w:space="0"/>
              <w:right w:val="single" w:color="000000" w:sz="4" w:space="0"/>
            </w:tcBorders>
            <w:vAlign w:val="center"/>
          </w:tcPr>
          <w:p w14:paraId="3AFADD0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44FD3280">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408728C0">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1C3315D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42C08EF9">
        <w:tblPrEx>
          <w:tblCellMar>
            <w:top w:w="0" w:type="dxa"/>
            <w:left w:w="108" w:type="dxa"/>
            <w:bottom w:w="0" w:type="dxa"/>
            <w:right w:w="108" w:type="dxa"/>
          </w:tblCellMar>
        </w:tblPrEx>
        <w:trPr>
          <w:trHeight w:val="684" w:hRule="atLeast"/>
          <w:jc w:val="center"/>
        </w:trPr>
        <w:tc>
          <w:tcPr>
            <w:tcW w:w="6743" w:type="dxa"/>
            <w:gridSpan w:val="4"/>
            <w:tcBorders>
              <w:top w:val="single" w:color="000000" w:sz="4" w:space="0"/>
              <w:left w:val="single" w:color="000000" w:sz="4" w:space="0"/>
              <w:bottom w:val="single" w:color="000000" w:sz="4" w:space="0"/>
              <w:right w:val="single" w:color="000000" w:sz="4" w:space="0"/>
            </w:tcBorders>
            <w:vAlign w:val="center"/>
          </w:tcPr>
          <w:p w14:paraId="23B21559">
            <w:pPr>
              <w:widowControl/>
              <w:jc w:val="center"/>
              <w:textAlignment w:val="center"/>
              <w:rPr>
                <w:rFonts w:hint="eastAsia" w:ascii="仿宋" w:hAnsi="仿宋" w:eastAsia="仿宋" w:cs="仿宋"/>
                <w:color w:val="FF0000"/>
                <w:sz w:val="24"/>
                <w:szCs w:val="24"/>
              </w:rPr>
            </w:pPr>
            <w:r>
              <w:rPr>
                <w:rFonts w:hint="eastAsia" w:ascii="仿宋" w:hAnsi="仿宋" w:eastAsia="仿宋" w:cs="仿宋"/>
                <w:color w:val="FF0000"/>
                <w:sz w:val="24"/>
                <w:szCs w:val="24"/>
                <w:lang w:bidi="ar"/>
              </w:rPr>
              <w:t>辅材经费合计（元）=以上22-27项小计之和</w:t>
            </w:r>
          </w:p>
        </w:tc>
        <w:tc>
          <w:tcPr>
            <w:tcW w:w="1599" w:type="dxa"/>
            <w:tcBorders>
              <w:top w:val="single" w:color="000000" w:sz="4" w:space="0"/>
              <w:left w:val="single" w:color="000000" w:sz="4" w:space="0"/>
              <w:bottom w:val="single" w:color="000000" w:sz="4" w:space="0"/>
              <w:right w:val="single" w:color="000000" w:sz="4" w:space="0"/>
            </w:tcBorders>
            <w:vAlign w:val="center"/>
          </w:tcPr>
          <w:p w14:paraId="01E9B97F">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7E7DFF85">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027F9F5E">
        <w:tblPrEx>
          <w:tblCellMar>
            <w:top w:w="0" w:type="dxa"/>
            <w:left w:w="108" w:type="dxa"/>
            <w:bottom w:w="0" w:type="dxa"/>
            <w:right w:w="108" w:type="dxa"/>
          </w:tblCellMar>
        </w:tblPrEx>
        <w:trPr>
          <w:trHeight w:val="1248" w:hRule="atLeast"/>
          <w:jc w:val="center"/>
        </w:trPr>
        <w:tc>
          <w:tcPr>
            <w:tcW w:w="893" w:type="dxa"/>
            <w:tcBorders>
              <w:top w:val="single" w:color="000000" w:sz="4" w:space="0"/>
              <w:left w:val="single" w:color="000000" w:sz="4" w:space="0"/>
              <w:bottom w:val="single" w:color="000000" w:sz="4" w:space="0"/>
              <w:right w:val="nil"/>
            </w:tcBorders>
            <w:vAlign w:val="center"/>
          </w:tcPr>
          <w:p w14:paraId="7039C8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9675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两分类垃圾小桶</w:t>
            </w:r>
          </w:p>
        </w:tc>
        <w:tc>
          <w:tcPr>
            <w:tcW w:w="1066" w:type="dxa"/>
            <w:tcBorders>
              <w:top w:val="single" w:color="000000" w:sz="4" w:space="0"/>
              <w:left w:val="single" w:color="000000" w:sz="4" w:space="0"/>
              <w:bottom w:val="single" w:color="000000" w:sz="4" w:space="0"/>
              <w:right w:val="single" w:color="000000" w:sz="4" w:space="0"/>
            </w:tcBorders>
            <w:vAlign w:val="center"/>
          </w:tcPr>
          <w:p w14:paraId="108D50E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28000组</w:t>
            </w:r>
          </w:p>
        </w:tc>
        <w:tc>
          <w:tcPr>
            <w:tcW w:w="1825" w:type="dxa"/>
            <w:tcBorders>
              <w:top w:val="single" w:color="000000" w:sz="4" w:space="0"/>
              <w:left w:val="single" w:color="000000" w:sz="4" w:space="0"/>
              <w:bottom w:val="single" w:color="000000" w:sz="4" w:space="0"/>
              <w:right w:val="single" w:color="000000" w:sz="4" w:space="0"/>
            </w:tcBorders>
            <w:vAlign w:val="center"/>
          </w:tcPr>
          <w:p w14:paraId="1864F2CD">
            <w:pPr>
              <w:jc w:val="center"/>
              <w:rPr>
                <w:rFonts w:hint="eastAsia" w:ascii="仿宋" w:hAnsi="仿宋" w:eastAsia="仿宋" w:cs="仿宋"/>
                <w:color w:val="000000"/>
                <w:sz w:val="24"/>
                <w:szCs w:val="24"/>
              </w:rPr>
            </w:pPr>
          </w:p>
        </w:tc>
        <w:tc>
          <w:tcPr>
            <w:tcW w:w="1599" w:type="dxa"/>
            <w:tcBorders>
              <w:top w:val="single" w:color="000000" w:sz="4" w:space="0"/>
              <w:left w:val="single" w:color="000000" w:sz="4" w:space="0"/>
              <w:bottom w:val="single" w:color="000000" w:sz="4" w:space="0"/>
              <w:right w:val="single" w:color="000000" w:sz="4" w:space="0"/>
            </w:tcBorders>
            <w:vAlign w:val="center"/>
          </w:tcPr>
          <w:p w14:paraId="73C3703F">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2BB60F8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垃圾小桶总费用按三年分期摊销，本栏报价为一年摊销费用</w:t>
            </w:r>
          </w:p>
        </w:tc>
      </w:tr>
      <w:tr w14:paraId="5A87E28D">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51198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29</w:t>
            </w:r>
          </w:p>
        </w:tc>
        <w:tc>
          <w:tcPr>
            <w:tcW w:w="2959" w:type="dxa"/>
            <w:tcBorders>
              <w:top w:val="single" w:color="000000" w:sz="4" w:space="0"/>
              <w:left w:val="single" w:color="000000" w:sz="4" w:space="0"/>
              <w:bottom w:val="single" w:color="000000" w:sz="4" w:space="0"/>
              <w:right w:val="single" w:color="000000" w:sz="4" w:space="0"/>
            </w:tcBorders>
            <w:vAlign w:val="center"/>
          </w:tcPr>
          <w:p w14:paraId="3F0FF37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其他费用</w:t>
            </w:r>
          </w:p>
        </w:tc>
        <w:tc>
          <w:tcPr>
            <w:tcW w:w="1066" w:type="dxa"/>
            <w:tcBorders>
              <w:top w:val="single" w:color="000000" w:sz="4" w:space="0"/>
              <w:left w:val="single" w:color="000000" w:sz="4" w:space="0"/>
              <w:bottom w:val="single" w:color="000000" w:sz="4" w:space="0"/>
              <w:right w:val="single" w:color="000000" w:sz="4" w:space="0"/>
            </w:tcBorders>
            <w:vAlign w:val="center"/>
          </w:tcPr>
          <w:p w14:paraId="61FD1E56">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4681A2DB">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76518EB0">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31DBDBB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3BDFD62B">
        <w:tblPrEx>
          <w:tblCellMar>
            <w:top w:w="0" w:type="dxa"/>
            <w:left w:w="108" w:type="dxa"/>
            <w:bottom w:w="0" w:type="dxa"/>
            <w:right w:w="108" w:type="dxa"/>
          </w:tblCellMar>
        </w:tblPrEx>
        <w:trPr>
          <w:trHeight w:val="519" w:hRule="atLeas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A0B1F7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30</w:t>
            </w:r>
          </w:p>
        </w:tc>
        <w:tc>
          <w:tcPr>
            <w:tcW w:w="2959" w:type="dxa"/>
            <w:tcBorders>
              <w:top w:val="single" w:color="000000" w:sz="4" w:space="0"/>
              <w:left w:val="single" w:color="000000" w:sz="4" w:space="0"/>
              <w:bottom w:val="single" w:color="000000" w:sz="4" w:space="0"/>
              <w:right w:val="single" w:color="000000" w:sz="4" w:space="0"/>
            </w:tcBorders>
            <w:vAlign w:val="center"/>
          </w:tcPr>
          <w:p w14:paraId="07C3668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利税</w:t>
            </w:r>
          </w:p>
        </w:tc>
        <w:tc>
          <w:tcPr>
            <w:tcW w:w="1066" w:type="dxa"/>
            <w:tcBorders>
              <w:top w:val="single" w:color="000000" w:sz="4" w:space="0"/>
              <w:left w:val="single" w:color="000000" w:sz="4" w:space="0"/>
              <w:bottom w:val="single" w:color="000000" w:sz="4" w:space="0"/>
              <w:right w:val="single" w:color="000000" w:sz="4" w:space="0"/>
            </w:tcBorders>
            <w:vAlign w:val="center"/>
          </w:tcPr>
          <w:p w14:paraId="6E40653C">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1项</w:t>
            </w:r>
          </w:p>
        </w:tc>
        <w:tc>
          <w:tcPr>
            <w:tcW w:w="1825" w:type="dxa"/>
            <w:tcBorders>
              <w:top w:val="single" w:color="000000" w:sz="4" w:space="0"/>
              <w:left w:val="single" w:color="000000" w:sz="4" w:space="0"/>
              <w:bottom w:val="single" w:color="000000" w:sz="4" w:space="0"/>
              <w:right w:val="single" w:color="000000" w:sz="4" w:space="0"/>
            </w:tcBorders>
            <w:vAlign w:val="center"/>
          </w:tcPr>
          <w:p w14:paraId="3778B11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c>
          <w:tcPr>
            <w:tcW w:w="1599" w:type="dxa"/>
            <w:tcBorders>
              <w:top w:val="single" w:color="000000" w:sz="4" w:space="0"/>
              <w:left w:val="single" w:color="000000" w:sz="4" w:space="0"/>
              <w:bottom w:val="single" w:color="000000" w:sz="4" w:space="0"/>
              <w:right w:val="single" w:color="000000" w:sz="4" w:space="0"/>
            </w:tcBorders>
            <w:vAlign w:val="center"/>
          </w:tcPr>
          <w:p w14:paraId="2C2EE121">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1D7F68AF">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55A33268">
        <w:tblPrEx>
          <w:tblCellMar>
            <w:top w:w="0" w:type="dxa"/>
            <w:left w:w="108" w:type="dxa"/>
            <w:bottom w:w="0" w:type="dxa"/>
            <w:right w:w="108" w:type="dxa"/>
          </w:tblCellMar>
        </w:tblPrEx>
        <w:trPr>
          <w:trHeight w:val="732" w:hRule="atLeast"/>
          <w:jc w:val="center"/>
        </w:trPr>
        <w:tc>
          <w:tcPr>
            <w:tcW w:w="6743" w:type="dxa"/>
            <w:gridSpan w:val="4"/>
            <w:tcBorders>
              <w:top w:val="single" w:color="000000" w:sz="4" w:space="0"/>
              <w:left w:val="single" w:color="000000" w:sz="4" w:space="0"/>
              <w:bottom w:val="single" w:color="000000" w:sz="4" w:space="0"/>
              <w:right w:val="single" w:color="000000" w:sz="4" w:space="0"/>
            </w:tcBorders>
            <w:vAlign w:val="center"/>
          </w:tcPr>
          <w:p w14:paraId="15280C3C">
            <w:pPr>
              <w:widowControl/>
              <w:jc w:val="center"/>
              <w:textAlignment w:val="center"/>
              <w:rPr>
                <w:rFonts w:hint="eastAsia" w:ascii="仿宋" w:hAnsi="仿宋" w:eastAsia="仿宋" w:cs="仿宋"/>
                <w:color w:val="FF0000"/>
                <w:sz w:val="24"/>
                <w:szCs w:val="24"/>
              </w:rPr>
            </w:pPr>
            <w:r>
              <w:rPr>
                <w:rFonts w:hint="eastAsia" w:ascii="仿宋" w:hAnsi="仿宋" w:eastAsia="仿宋" w:cs="仿宋"/>
                <w:color w:val="FF0000"/>
                <w:sz w:val="24"/>
                <w:szCs w:val="24"/>
                <w:lang w:bidi="ar"/>
              </w:rPr>
              <w:t>一年全费用总价（元）=人员经费合计+辅材经费合计+两分类垃圾小桶+其他费用+利税</w:t>
            </w:r>
          </w:p>
        </w:tc>
        <w:tc>
          <w:tcPr>
            <w:tcW w:w="1599" w:type="dxa"/>
            <w:tcBorders>
              <w:top w:val="single" w:color="000000" w:sz="4" w:space="0"/>
              <w:left w:val="single" w:color="000000" w:sz="4" w:space="0"/>
              <w:bottom w:val="single" w:color="000000" w:sz="4" w:space="0"/>
              <w:right w:val="single" w:color="000000" w:sz="4" w:space="0"/>
            </w:tcBorders>
            <w:vAlign w:val="center"/>
          </w:tcPr>
          <w:p w14:paraId="3C6A20C1">
            <w:pPr>
              <w:jc w:val="center"/>
              <w:rPr>
                <w:rFonts w:hint="eastAsia" w:ascii="仿宋" w:hAnsi="仿宋" w:eastAsia="仿宋" w:cs="仿宋"/>
                <w:color w:val="000000"/>
                <w:sz w:val="24"/>
                <w:szCs w:val="24"/>
              </w:rPr>
            </w:pPr>
          </w:p>
        </w:tc>
        <w:tc>
          <w:tcPr>
            <w:tcW w:w="2089" w:type="dxa"/>
            <w:tcBorders>
              <w:top w:val="single" w:color="000000" w:sz="4" w:space="0"/>
              <w:left w:val="single" w:color="000000" w:sz="4" w:space="0"/>
              <w:bottom w:val="single" w:color="000000" w:sz="4" w:space="0"/>
              <w:right w:val="single" w:color="000000" w:sz="4" w:space="0"/>
            </w:tcBorders>
            <w:vAlign w:val="center"/>
          </w:tcPr>
          <w:p w14:paraId="4E77667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p>
        </w:tc>
      </w:tr>
      <w:tr w14:paraId="00B99A90">
        <w:tblPrEx>
          <w:tblCellMar>
            <w:top w:w="0" w:type="dxa"/>
            <w:left w:w="108" w:type="dxa"/>
            <w:bottom w:w="0" w:type="dxa"/>
            <w:right w:w="108" w:type="dxa"/>
          </w:tblCellMar>
        </w:tblPrEx>
        <w:trPr>
          <w:trHeight w:val="732" w:hRule="atLeast"/>
          <w:jc w:val="center"/>
        </w:trPr>
        <w:tc>
          <w:tcPr>
            <w:tcW w:w="6743" w:type="dxa"/>
            <w:gridSpan w:val="4"/>
            <w:tcBorders>
              <w:top w:val="single" w:color="000000" w:sz="4" w:space="0"/>
              <w:left w:val="single" w:color="000000" w:sz="4" w:space="0"/>
              <w:bottom w:val="single" w:color="000000" w:sz="4" w:space="0"/>
              <w:right w:val="single" w:color="000000" w:sz="4" w:space="0"/>
            </w:tcBorders>
            <w:vAlign w:val="center"/>
          </w:tcPr>
          <w:p w14:paraId="70D1A2AF">
            <w:pPr>
              <w:widowControl/>
              <w:jc w:val="center"/>
              <w:textAlignment w:val="center"/>
              <w:rPr>
                <w:rFonts w:hint="eastAsia" w:ascii="仿宋" w:hAnsi="仿宋" w:eastAsia="仿宋" w:cs="仿宋"/>
                <w:color w:val="FF0000"/>
                <w:sz w:val="24"/>
                <w:szCs w:val="24"/>
                <w:lang w:bidi="ar"/>
              </w:rPr>
            </w:pPr>
            <w:r>
              <w:rPr>
                <w:rFonts w:hint="eastAsia" w:ascii="仿宋" w:hAnsi="仿宋" w:eastAsia="仿宋" w:cs="仿宋"/>
                <w:color w:val="FF0000"/>
                <w:sz w:val="24"/>
                <w:szCs w:val="24"/>
                <w:lang w:bidi="ar"/>
              </w:rPr>
              <w:t>三年总报价（元）=一年全费用总价*3年</w:t>
            </w:r>
          </w:p>
        </w:tc>
        <w:tc>
          <w:tcPr>
            <w:tcW w:w="3688" w:type="dxa"/>
            <w:gridSpan w:val="2"/>
            <w:tcBorders>
              <w:top w:val="single" w:color="000000" w:sz="4" w:space="0"/>
              <w:left w:val="single" w:color="000000" w:sz="4" w:space="0"/>
              <w:bottom w:val="single" w:color="000000" w:sz="4" w:space="0"/>
              <w:right w:val="single" w:color="000000" w:sz="4" w:space="0"/>
            </w:tcBorders>
            <w:vAlign w:val="center"/>
          </w:tcPr>
          <w:p w14:paraId="355B0AC9">
            <w:pPr>
              <w:jc w:val="center"/>
              <w:rPr>
                <w:rFonts w:hint="eastAsia" w:ascii="仿宋" w:hAnsi="仿宋" w:eastAsia="仿宋" w:cs="仿宋"/>
                <w:color w:val="000000"/>
                <w:sz w:val="24"/>
                <w:szCs w:val="24"/>
              </w:rPr>
            </w:pPr>
          </w:p>
        </w:tc>
      </w:tr>
      <w:tr w14:paraId="40EBECB3">
        <w:tblPrEx>
          <w:tblCellMar>
            <w:top w:w="0" w:type="dxa"/>
            <w:left w:w="108" w:type="dxa"/>
            <w:bottom w:w="0" w:type="dxa"/>
            <w:right w:w="108" w:type="dxa"/>
          </w:tblCellMar>
        </w:tblPrEx>
        <w:trPr>
          <w:trHeight w:val="479" w:hRule="atLeast"/>
          <w:jc w:val="center"/>
        </w:trPr>
        <w:tc>
          <w:tcPr>
            <w:tcW w:w="10431" w:type="dxa"/>
            <w:gridSpan w:val="6"/>
            <w:tcBorders>
              <w:top w:val="single" w:color="000000" w:sz="4" w:space="0"/>
              <w:left w:val="nil"/>
              <w:bottom w:val="nil"/>
              <w:right w:val="nil"/>
            </w:tcBorders>
            <w:vAlign w:val="center"/>
          </w:tcPr>
          <w:p w14:paraId="6B6B3C1C">
            <w:pPr>
              <w:widowControl/>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1.以上报价清单中数量*月标准工资*12不等于小计的作无效标处理；</w:t>
            </w:r>
            <w:r>
              <w:rPr>
                <w:rFonts w:hint="eastAsia" w:ascii="仿宋" w:hAnsi="仿宋" w:eastAsia="仿宋" w:cs="仿宋"/>
                <w:sz w:val="24"/>
                <w:szCs w:val="24"/>
              </w:rPr>
              <w:br w:type="textWrapping"/>
            </w:r>
            <w:r>
              <w:rPr>
                <w:rFonts w:hint="eastAsia" w:ascii="仿宋" w:hAnsi="仿宋" w:eastAsia="仿宋" w:cs="仿宋"/>
                <w:sz w:val="24"/>
                <w:szCs w:val="24"/>
              </w:rPr>
              <w:t>2.各小计之和不等于合计的作无效标处理；</w:t>
            </w:r>
            <w:r>
              <w:rPr>
                <w:rFonts w:hint="eastAsia" w:ascii="仿宋" w:hAnsi="仿宋" w:eastAsia="仿宋" w:cs="仿宋"/>
                <w:sz w:val="24"/>
                <w:szCs w:val="24"/>
              </w:rPr>
              <w:br w:type="textWrapping"/>
            </w:r>
            <w:r>
              <w:rPr>
                <w:rFonts w:hint="eastAsia" w:ascii="仿宋" w:hAnsi="仿宋" w:eastAsia="仿宋" w:cs="仿宋"/>
                <w:sz w:val="24"/>
                <w:szCs w:val="24"/>
              </w:rPr>
              <w:t>3.各合计之和（包含两分类垃圾桶、其他费用及利税）不等于一年全费用总价的作无效标处理；</w:t>
            </w:r>
            <w:r>
              <w:rPr>
                <w:rFonts w:hint="eastAsia" w:ascii="仿宋" w:hAnsi="仿宋" w:eastAsia="仿宋" w:cs="仿宋"/>
                <w:sz w:val="24"/>
                <w:szCs w:val="24"/>
              </w:rPr>
              <w:br w:type="textWrapping"/>
            </w:r>
            <w:r>
              <w:rPr>
                <w:rFonts w:hint="eastAsia" w:ascii="仿宋" w:hAnsi="仿宋" w:eastAsia="仿宋" w:cs="仿宋"/>
                <w:sz w:val="24"/>
                <w:szCs w:val="24"/>
              </w:rPr>
              <w:t>4.一年全费用总价和三年总报价与投标函中的投标报价不一致的作无效标处理；</w:t>
            </w:r>
            <w:r>
              <w:rPr>
                <w:rFonts w:hint="eastAsia" w:ascii="仿宋" w:hAnsi="仿宋" w:eastAsia="仿宋" w:cs="仿宋"/>
                <w:sz w:val="24"/>
                <w:szCs w:val="24"/>
              </w:rPr>
              <w:br w:type="textWrapping"/>
            </w:r>
            <w:r>
              <w:rPr>
                <w:rFonts w:hint="eastAsia" w:ascii="仿宋" w:hAnsi="仿宋" w:eastAsia="仿宋" w:cs="仿宋"/>
                <w:sz w:val="24"/>
                <w:szCs w:val="24"/>
              </w:rPr>
              <w:t>5.两分类垃圾小桶产品规格和技术要求符合下列标准：50L分类垃圾桶约（每组2个，含架子，颜色均为绿黑配）桶体及桶盖（除配料）采用除必要的颜料和色素外，采用100%高密度聚乙烯全新料一次性注模成型，不得使用回料。单个桶容量≥50L，总重量≥2.4kg，中标方供货时需提供产品检测报告。</w:t>
            </w:r>
          </w:p>
          <w:p w14:paraId="0BEDE80D">
            <w:pPr>
              <w:pStyle w:val="2"/>
              <w:spacing w:line="360" w:lineRule="auto"/>
              <w:rPr>
                <w:rFonts w:hint="eastAsia" w:ascii="仿宋" w:hAnsi="仿宋" w:eastAsia="仿宋" w:cs="仿宋"/>
                <w:b/>
                <w:bCs/>
                <w:color w:val="000000"/>
                <w:sz w:val="24"/>
                <w:szCs w:val="24"/>
                <w:lang w:bidi="ar"/>
              </w:rPr>
            </w:pPr>
            <w:r>
              <w:rPr>
                <w:rFonts w:hint="eastAsia" w:ascii="仿宋" w:hAnsi="仿宋" w:eastAsia="仿宋" w:cs="仿宋"/>
                <w:sz w:val="24"/>
                <w:szCs w:val="24"/>
              </w:rPr>
              <w:t>6.投标总价包含但不限于设备、车辆、船、机具、辅材、油费、保险费、保养维修费、人员工资、保险、福利、不可预见费用、管理费、招标代理服务费、利润、税等完成本项目所需的一切费用。同时，报价也应包含合同履行过程中可能发生的一切风险。</w:t>
            </w:r>
          </w:p>
        </w:tc>
      </w:tr>
    </w:tbl>
    <w:p w14:paraId="35E46EC9">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177AF41B">
      <w:pPr>
        <w:spacing w:line="360" w:lineRule="exact"/>
        <w:rPr>
          <w:rFonts w:hint="eastAsia" w:ascii="仿宋" w:hAnsi="仿宋" w:eastAsia="仿宋" w:cs="仿宋"/>
          <w:b/>
          <w:sz w:val="24"/>
          <w:szCs w:val="24"/>
        </w:rPr>
      </w:pPr>
      <w:r>
        <w:rPr>
          <w:rFonts w:hint="eastAsia" w:ascii="仿宋" w:hAnsi="仿宋" w:eastAsia="仿宋" w:cs="仿宋"/>
          <w:sz w:val="24"/>
          <w:szCs w:val="24"/>
        </w:rPr>
        <w:t>提醒：清单报价表均须加盖CA电子公章。</w:t>
      </w:r>
    </w:p>
    <w:p w14:paraId="62F3768A">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311777F5">
      <w:pPr>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投标人（加盖CA电子公章）：</w:t>
      </w:r>
    </w:p>
    <w:p w14:paraId="6C61B417">
      <w:pPr>
        <w:spacing w:line="360" w:lineRule="exact"/>
        <w:ind w:firstLine="3600" w:firstLineChars="1500"/>
        <w:rPr>
          <w:rFonts w:hint="eastAsia" w:ascii="仿宋" w:hAnsi="仿宋" w:eastAsia="仿宋" w:cs="仿宋"/>
          <w:sz w:val="24"/>
          <w:szCs w:val="24"/>
        </w:rPr>
      </w:pPr>
      <w:r>
        <w:rPr>
          <w:rFonts w:hint="eastAsia" w:ascii="仿宋" w:hAnsi="仿宋" w:eastAsia="仿宋" w:cs="仿宋"/>
          <w:bCs/>
          <w:sz w:val="24"/>
          <w:szCs w:val="24"/>
        </w:rPr>
        <w:t>法定代表人(签章)：</w:t>
      </w:r>
      <w:r>
        <w:rPr>
          <w:rFonts w:hint="eastAsia" w:ascii="仿宋" w:hAnsi="仿宋" w:eastAsia="仿宋" w:cs="仿宋"/>
          <w:bCs/>
          <w:sz w:val="24"/>
          <w:szCs w:val="24"/>
          <w:u w:val="single"/>
        </w:rPr>
        <w:t xml:space="preserve">                      </w:t>
      </w:r>
    </w:p>
    <w:p w14:paraId="7B46B822">
      <w:pPr>
        <w:spacing w:line="400" w:lineRule="exact"/>
        <w:jc w:val="right"/>
        <w:rPr>
          <w:rFonts w:hint="eastAsia" w:ascii="仿宋" w:hAnsi="仿宋" w:eastAsia="仿宋" w:cs="仿宋"/>
          <w:sz w:val="24"/>
          <w:szCs w:val="24"/>
        </w:rPr>
      </w:pPr>
    </w:p>
    <w:p w14:paraId="6312F233">
      <w:pPr>
        <w:spacing w:line="400" w:lineRule="exact"/>
        <w:jc w:val="right"/>
        <w:rPr>
          <w:rFonts w:hint="eastAsia" w:ascii="仿宋" w:hAnsi="仿宋" w:eastAsia="仿宋" w:cs="仿宋"/>
          <w:sz w:val="24"/>
          <w:szCs w:val="24"/>
        </w:rPr>
        <w:sectPr>
          <w:pgSz w:w="11906" w:h="16838"/>
          <w:pgMar w:top="1191" w:right="1587" w:bottom="1191" w:left="1366" w:header="850" w:footer="907" w:gutter="0"/>
          <w:cols w:space="0" w:num="1"/>
          <w:docGrid w:linePitch="294" w:charSpace="0"/>
        </w:sectPr>
      </w:pPr>
      <w:r>
        <w:rPr>
          <w:rFonts w:hint="eastAsia" w:ascii="仿宋" w:hAnsi="仿宋" w:eastAsia="仿宋" w:cs="仿宋"/>
          <w:sz w:val="24"/>
          <w:szCs w:val="24"/>
        </w:rPr>
        <w:t>年     月     日</w:t>
      </w:r>
    </w:p>
    <w:p w14:paraId="68E2867C">
      <w:pPr>
        <w:jc w:val="left"/>
        <w:outlineLvl w:val="0"/>
        <w:rPr>
          <w:rFonts w:hint="eastAsia" w:ascii="仿宋" w:hAnsi="仿宋" w:eastAsia="仿宋" w:cs="仿宋"/>
          <w:b/>
          <w:sz w:val="24"/>
          <w:szCs w:val="24"/>
        </w:rPr>
      </w:pPr>
      <w:r>
        <w:rPr>
          <w:rFonts w:hint="eastAsia" w:ascii="仿宋" w:hAnsi="仿宋" w:eastAsia="仿宋" w:cs="仿宋"/>
          <w:b/>
          <w:sz w:val="24"/>
          <w:szCs w:val="24"/>
        </w:rPr>
        <w:t>附件3</w:t>
      </w:r>
    </w:p>
    <w:p w14:paraId="554E3BD5">
      <w:pPr>
        <w:jc w:val="center"/>
        <w:rPr>
          <w:rFonts w:hint="eastAsia"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355A2CBA">
      <w:pPr>
        <w:spacing w:line="460" w:lineRule="exact"/>
        <w:rPr>
          <w:rFonts w:hint="eastAsia" w:ascii="仿宋" w:hAnsi="仿宋" w:eastAsia="仿宋" w:cs="仿宋"/>
          <w:b/>
          <w:bCs/>
          <w:sz w:val="44"/>
          <w:szCs w:val="44"/>
        </w:rPr>
      </w:pPr>
    </w:p>
    <w:p w14:paraId="5F72A6F2">
      <w:pPr>
        <w:spacing w:line="520" w:lineRule="exact"/>
        <w:ind w:firstLine="480"/>
        <w:rPr>
          <w:rFonts w:hint="eastAsia" w:ascii="仿宋" w:hAnsi="仿宋" w:eastAsia="仿宋" w:cs="仿宋"/>
          <w:b/>
          <w:bCs/>
          <w:sz w:val="24"/>
        </w:rPr>
      </w:pPr>
      <w:r>
        <w:rPr>
          <w:rFonts w:hint="eastAsia" w:ascii="仿宋" w:hAnsi="仿宋" w:eastAsia="仿宋" w:cs="仿宋"/>
          <w:bCs/>
          <w:sz w:val="24"/>
        </w:rPr>
        <w:t>我单位参加（项目名称），（项目编号）投标活动。针对《中华人民共和国政府采购法》第二十二条规定做出如下声明：</w:t>
      </w:r>
    </w:p>
    <w:p w14:paraId="4C7B87C7">
      <w:pPr>
        <w:spacing w:line="520" w:lineRule="exact"/>
        <w:ind w:firstLine="482"/>
        <w:rPr>
          <w:rFonts w:hint="eastAsia" w:ascii="仿宋" w:hAnsi="仿宋" w:eastAsia="仿宋" w:cs="仿宋"/>
          <w:sz w:val="24"/>
        </w:rPr>
      </w:pPr>
      <w:r>
        <w:rPr>
          <w:rFonts w:hint="eastAsia" w:ascii="仿宋" w:hAnsi="仿宋" w:eastAsia="仿宋" w:cs="仿宋"/>
          <w:bCs/>
          <w:sz w:val="24"/>
        </w:rPr>
        <w:t>1.我单位具有独立承担民事责任的能力；</w:t>
      </w:r>
    </w:p>
    <w:p w14:paraId="3A14AC6B">
      <w:pPr>
        <w:spacing w:line="520" w:lineRule="exact"/>
        <w:ind w:firstLine="482"/>
        <w:rPr>
          <w:rFonts w:hint="eastAsia" w:ascii="仿宋" w:hAnsi="仿宋" w:eastAsia="仿宋" w:cs="仿宋"/>
          <w:sz w:val="24"/>
        </w:rPr>
      </w:pPr>
      <w:r>
        <w:rPr>
          <w:rFonts w:hint="eastAsia" w:ascii="仿宋" w:hAnsi="仿宋" w:eastAsia="仿宋" w:cs="仿宋"/>
          <w:sz w:val="24"/>
        </w:rPr>
        <w:t>2.我单位具有良好的商业信誉和健全的财务会计制度；</w:t>
      </w:r>
    </w:p>
    <w:p w14:paraId="46275784">
      <w:pPr>
        <w:spacing w:line="520" w:lineRule="exact"/>
        <w:ind w:firstLine="482"/>
        <w:rPr>
          <w:rFonts w:hint="eastAsia" w:ascii="仿宋" w:hAnsi="仿宋" w:eastAsia="仿宋" w:cs="仿宋"/>
          <w:sz w:val="24"/>
        </w:rPr>
      </w:pPr>
      <w:r>
        <w:rPr>
          <w:rFonts w:hint="eastAsia" w:ascii="仿宋" w:hAnsi="仿宋" w:eastAsia="仿宋" w:cs="仿宋"/>
          <w:sz w:val="24"/>
        </w:rPr>
        <w:t>3.我单位具有履行合同所必需的设备和专业技术能力；</w:t>
      </w:r>
    </w:p>
    <w:p w14:paraId="6E554A34">
      <w:pPr>
        <w:spacing w:line="520" w:lineRule="exact"/>
        <w:ind w:firstLine="482"/>
        <w:rPr>
          <w:rFonts w:hint="eastAsia" w:ascii="仿宋" w:hAnsi="仿宋" w:eastAsia="仿宋" w:cs="仿宋"/>
          <w:sz w:val="24"/>
        </w:rPr>
      </w:pPr>
      <w:r>
        <w:rPr>
          <w:rFonts w:hint="eastAsia" w:ascii="仿宋" w:hAnsi="仿宋" w:eastAsia="仿宋" w:cs="仿宋"/>
          <w:sz w:val="24"/>
        </w:rPr>
        <w:t>4.我单位有依法缴纳税收和社会保障资金的良好记录；</w:t>
      </w:r>
    </w:p>
    <w:p w14:paraId="590C9244">
      <w:pPr>
        <w:spacing w:line="520" w:lineRule="exact"/>
        <w:ind w:firstLine="482"/>
        <w:rPr>
          <w:rFonts w:hint="eastAsia"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25431C3">
      <w:pPr>
        <w:spacing w:line="520" w:lineRule="exact"/>
        <w:ind w:firstLine="482"/>
        <w:rPr>
          <w:rFonts w:hint="eastAsia" w:ascii="仿宋" w:hAnsi="仿宋" w:eastAsia="仿宋" w:cs="仿宋"/>
          <w:sz w:val="24"/>
        </w:rPr>
      </w:pPr>
      <w:r>
        <w:rPr>
          <w:rFonts w:hint="eastAsia" w:ascii="仿宋" w:hAnsi="仿宋" w:eastAsia="仿宋" w:cs="仿宋"/>
          <w:sz w:val="24"/>
        </w:rPr>
        <w:t>6.我单位满足法律、行政法规规定的其他条件。</w:t>
      </w:r>
    </w:p>
    <w:p w14:paraId="0305F7BC">
      <w:pPr>
        <w:spacing w:line="500" w:lineRule="exact"/>
        <w:ind w:firstLine="482"/>
        <w:rPr>
          <w:rFonts w:hint="eastAsia" w:ascii="仿宋" w:hAnsi="仿宋" w:eastAsia="仿宋" w:cs="仿宋"/>
          <w:sz w:val="24"/>
        </w:rPr>
      </w:pPr>
    </w:p>
    <w:p w14:paraId="16FD9E5F">
      <w:pPr>
        <w:spacing w:line="500" w:lineRule="exact"/>
        <w:rPr>
          <w:rFonts w:hint="eastAsia" w:ascii="仿宋" w:hAnsi="仿宋" w:eastAsia="仿宋" w:cs="仿宋"/>
          <w:bCs/>
          <w:sz w:val="24"/>
        </w:rPr>
      </w:pPr>
    </w:p>
    <w:p w14:paraId="1AB16966">
      <w:pPr>
        <w:spacing w:line="500" w:lineRule="exact"/>
        <w:rPr>
          <w:rFonts w:hint="eastAsia" w:ascii="仿宋" w:hAnsi="仿宋" w:eastAsia="仿宋" w:cs="仿宋"/>
          <w:bCs/>
          <w:sz w:val="24"/>
        </w:rPr>
      </w:pPr>
    </w:p>
    <w:p w14:paraId="23253217">
      <w:pPr>
        <w:spacing w:line="460" w:lineRule="exact"/>
        <w:jc w:val="center"/>
        <w:rPr>
          <w:rFonts w:hint="eastAsia" w:ascii="仿宋" w:hAnsi="仿宋" w:eastAsia="仿宋" w:cs="仿宋"/>
          <w:bCs/>
          <w:sz w:val="24"/>
        </w:rPr>
      </w:pPr>
      <w:r>
        <w:rPr>
          <w:rFonts w:hint="eastAsia" w:ascii="仿宋" w:hAnsi="仿宋" w:eastAsia="仿宋" w:cs="仿宋"/>
          <w:bCs/>
          <w:sz w:val="24"/>
        </w:rPr>
        <w:t xml:space="preserve">             承诺人名称（加盖CA电子公章）：</w:t>
      </w:r>
    </w:p>
    <w:p w14:paraId="64FF737F">
      <w:pPr>
        <w:spacing w:line="460" w:lineRule="exact"/>
        <w:jc w:val="right"/>
        <w:rPr>
          <w:rFonts w:hint="eastAsia" w:ascii="仿宋" w:hAnsi="仿宋" w:eastAsia="仿宋" w:cs="仿宋"/>
          <w:bCs/>
          <w:sz w:val="24"/>
        </w:rPr>
      </w:pPr>
    </w:p>
    <w:p w14:paraId="36FEB27E">
      <w:pPr>
        <w:spacing w:line="460" w:lineRule="exact"/>
        <w:jc w:val="right"/>
        <w:rPr>
          <w:rFonts w:hint="eastAsia" w:ascii="仿宋" w:hAnsi="仿宋" w:eastAsia="仿宋" w:cs="仿宋"/>
          <w:bCs/>
          <w:sz w:val="24"/>
        </w:rPr>
      </w:pPr>
      <w:r>
        <w:rPr>
          <w:rFonts w:hint="eastAsia" w:ascii="仿宋" w:hAnsi="仿宋" w:eastAsia="仿宋" w:cs="仿宋"/>
          <w:bCs/>
          <w:sz w:val="24"/>
        </w:rPr>
        <w:t xml:space="preserve">                                 日期：年月日</w:t>
      </w:r>
    </w:p>
    <w:p w14:paraId="64126011">
      <w:pPr>
        <w:spacing w:line="560" w:lineRule="exact"/>
        <w:outlineLvl w:val="0"/>
        <w:rPr>
          <w:rFonts w:hint="eastAsia" w:ascii="仿宋" w:hAnsi="仿宋" w:eastAsia="仿宋" w:cs="仿宋"/>
          <w:b/>
          <w:sz w:val="24"/>
          <w:szCs w:val="24"/>
        </w:rPr>
      </w:pPr>
      <w:r>
        <w:rPr>
          <w:rFonts w:hint="eastAsia" w:ascii="仿宋" w:hAnsi="仿宋" w:eastAsia="仿宋" w:cs="仿宋"/>
          <w:b/>
          <w:sz w:val="24"/>
          <w:szCs w:val="24"/>
        </w:rPr>
        <w:br w:type="page" w:clear="all"/>
      </w:r>
      <w:bookmarkStart w:id="216" w:name="_Toc186493285"/>
      <w:r>
        <w:rPr>
          <w:rFonts w:hint="eastAsia" w:ascii="仿宋" w:hAnsi="仿宋" w:eastAsia="仿宋" w:cs="仿宋"/>
          <w:b/>
          <w:sz w:val="24"/>
          <w:szCs w:val="24"/>
        </w:rPr>
        <w:t>附件</w:t>
      </w:r>
      <w:bookmarkEnd w:id="216"/>
      <w:r>
        <w:rPr>
          <w:rFonts w:hint="eastAsia" w:ascii="仿宋" w:hAnsi="仿宋" w:eastAsia="仿宋" w:cs="仿宋"/>
          <w:b/>
          <w:sz w:val="24"/>
          <w:szCs w:val="24"/>
        </w:rPr>
        <w:t xml:space="preserve">4     </w:t>
      </w:r>
    </w:p>
    <w:p w14:paraId="2FFC5347">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法定代表人身份证明</w:t>
      </w:r>
    </w:p>
    <w:p w14:paraId="7E13A23B">
      <w:pPr>
        <w:spacing w:line="480" w:lineRule="exact"/>
        <w:rPr>
          <w:rFonts w:hint="eastAsia" w:ascii="仿宋" w:hAnsi="仿宋" w:eastAsia="仿宋" w:cs="仿宋"/>
          <w:sz w:val="24"/>
          <w:szCs w:val="24"/>
        </w:rPr>
      </w:pPr>
    </w:p>
    <w:p w14:paraId="5243B0A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先生/女士： 现任我单位职务，为法定代表人，特此证明。</w:t>
      </w:r>
    </w:p>
    <w:p w14:paraId="09DD2DB9">
      <w:pPr>
        <w:spacing w:line="480" w:lineRule="exact"/>
        <w:ind w:firstLine="480"/>
        <w:rPr>
          <w:rFonts w:hint="eastAsia" w:ascii="仿宋" w:hAnsi="仿宋" w:eastAsia="仿宋" w:cs="仿宋"/>
          <w:sz w:val="24"/>
          <w:szCs w:val="24"/>
          <w:u w:val="single"/>
        </w:rPr>
      </w:pPr>
      <w:r>
        <w:rPr>
          <w:rFonts w:hint="eastAsia" w:ascii="仿宋" w:hAnsi="仿宋" w:eastAsia="仿宋" w:cs="仿宋"/>
          <w:sz w:val="24"/>
          <w:szCs w:val="24"/>
        </w:rPr>
        <w:t>身份证号码：</w:t>
      </w:r>
    </w:p>
    <w:p w14:paraId="052FBC05">
      <w:pPr>
        <w:spacing w:line="480" w:lineRule="exact"/>
        <w:ind w:firstLine="480"/>
        <w:rPr>
          <w:rFonts w:hint="eastAsia" w:ascii="仿宋" w:hAnsi="仿宋" w:eastAsia="仿宋" w:cs="仿宋"/>
          <w:sz w:val="24"/>
          <w:szCs w:val="24"/>
        </w:rPr>
      </w:pPr>
    </w:p>
    <w:p w14:paraId="134CCCEF">
      <w:pPr>
        <w:spacing w:line="460" w:lineRule="exact"/>
        <w:ind w:firstLine="480"/>
        <w:rPr>
          <w:rFonts w:hint="eastAsia" w:ascii="仿宋" w:hAnsi="仿宋" w:eastAsia="仿宋" w:cs="仿宋"/>
          <w:b/>
          <w:sz w:val="24"/>
        </w:rPr>
      </w:pPr>
      <w:r>
        <w:rPr>
          <w:rFonts w:hint="eastAsia" w:ascii="仿宋" w:hAnsi="仿宋" w:eastAsia="仿宋" w:cs="仿宋"/>
          <w:b/>
          <w:sz w:val="24"/>
          <w:szCs w:val="24"/>
        </w:rPr>
        <w:t>注：提供法定代表人的身份证扫描件</w:t>
      </w:r>
      <w:r>
        <w:rPr>
          <w:rFonts w:hint="eastAsia" w:ascii="仿宋" w:hAnsi="仿宋" w:eastAsia="仿宋" w:cs="仿宋"/>
          <w:bCs/>
          <w:sz w:val="24"/>
        </w:rPr>
        <w:t>（加盖CA电子公章）</w:t>
      </w:r>
      <w:r>
        <w:rPr>
          <w:rFonts w:hint="eastAsia" w:ascii="仿宋" w:hAnsi="仿宋" w:eastAsia="仿宋" w:cs="仿宋"/>
          <w:b/>
          <w:sz w:val="24"/>
          <w:szCs w:val="24"/>
        </w:rPr>
        <w:br w:type="page" w:clear="all"/>
      </w:r>
      <w:r>
        <w:rPr>
          <w:rFonts w:hint="eastAsia" w:ascii="仿宋" w:hAnsi="仿宋" w:eastAsia="仿宋" w:cs="仿宋"/>
          <w:b/>
          <w:sz w:val="24"/>
        </w:rPr>
        <w:t xml:space="preserve">附件5            </w:t>
      </w:r>
    </w:p>
    <w:p w14:paraId="045E9A62">
      <w:pPr>
        <w:spacing w:line="460" w:lineRule="exact"/>
        <w:ind w:firstLine="480"/>
        <w:jc w:val="center"/>
        <w:rPr>
          <w:rFonts w:hint="eastAsia" w:ascii="仿宋" w:hAnsi="仿宋" w:eastAsia="仿宋" w:cs="仿宋"/>
          <w:bCs/>
          <w:sz w:val="30"/>
          <w:szCs w:val="30"/>
        </w:rPr>
      </w:pPr>
      <w:r>
        <w:rPr>
          <w:rFonts w:hint="eastAsia" w:ascii="仿宋" w:hAnsi="仿宋" w:eastAsia="仿宋" w:cs="仿宋"/>
          <w:b/>
          <w:sz w:val="30"/>
          <w:szCs w:val="30"/>
        </w:rPr>
        <w:t>法人授权书</w:t>
      </w:r>
    </w:p>
    <w:p w14:paraId="3C5565DD">
      <w:pPr>
        <w:tabs>
          <w:tab w:val="left" w:pos="360"/>
        </w:tabs>
        <w:ind w:firstLine="480"/>
        <w:rPr>
          <w:rFonts w:hint="eastAsia" w:ascii="仿宋" w:hAnsi="仿宋" w:eastAsia="仿宋" w:cs="仿宋"/>
          <w:sz w:val="24"/>
          <w:szCs w:val="24"/>
        </w:rPr>
      </w:pPr>
      <w:r>
        <w:rPr>
          <w:rFonts w:hint="eastAsia" w:ascii="仿宋" w:hAnsi="仿宋" w:eastAsia="仿宋" w:cs="仿宋"/>
          <w:sz w:val="24"/>
          <w:szCs w:val="24"/>
        </w:rPr>
        <w:t>本授权书声明：（投标人名称）授权（被授权人的姓名）为我方就项目采购活动的合法代理人，以本单位名义全权处理一切与该项目采购有关的事务。</w:t>
      </w:r>
    </w:p>
    <w:p w14:paraId="333194F8">
      <w:pPr>
        <w:tabs>
          <w:tab w:val="left" w:pos="360"/>
        </w:tabs>
        <w:ind w:firstLine="480"/>
        <w:rPr>
          <w:rFonts w:hint="eastAsia" w:ascii="仿宋" w:hAnsi="仿宋" w:eastAsia="仿宋" w:cs="仿宋"/>
          <w:sz w:val="24"/>
          <w:szCs w:val="24"/>
        </w:rPr>
      </w:pPr>
      <w:r>
        <w:rPr>
          <w:rFonts w:hint="eastAsia" w:ascii="仿宋" w:hAnsi="仿宋" w:eastAsia="仿宋" w:cs="仿宋"/>
          <w:sz w:val="24"/>
          <w:szCs w:val="24"/>
        </w:rPr>
        <w:t>本授权书于______年____月____日起生效，特此声明。</w:t>
      </w:r>
    </w:p>
    <w:p w14:paraId="102CC517">
      <w:pPr>
        <w:tabs>
          <w:tab w:val="left" w:pos="360"/>
        </w:tabs>
        <w:rPr>
          <w:rFonts w:hint="eastAsia" w:ascii="仿宋" w:hAnsi="仿宋" w:eastAsia="仿宋" w:cs="仿宋"/>
          <w:sz w:val="24"/>
          <w:szCs w:val="24"/>
          <w:u w:val="single"/>
        </w:rPr>
      </w:pPr>
      <w:r>
        <w:rPr>
          <w:rFonts w:hint="eastAsia" w:ascii="仿宋" w:hAnsi="仿宋" w:eastAsia="仿宋" w:cs="仿宋"/>
          <w:sz w:val="24"/>
          <w:szCs w:val="24"/>
        </w:rPr>
        <w:t xml:space="preserve">    被授权人身份证号码：</w:t>
      </w:r>
    </w:p>
    <w:p w14:paraId="2091B26A">
      <w:pPr>
        <w:tabs>
          <w:tab w:val="left" w:pos="360"/>
        </w:tabs>
        <w:rPr>
          <w:rFonts w:hint="eastAsia" w:ascii="仿宋" w:hAnsi="仿宋" w:eastAsia="仿宋" w:cs="仿宋"/>
          <w:sz w:val="24"/>
          <w:szCs w:val="24"/>
          <w:u w:val="single"/>
        </w:rPr>
      </w:pPr>
      <w:r>
        <w:rPr>
          <w:rFonts w:hint="eastAsia" w:ascii="仿宋" w:hAnsi="仿宋" w:eastAsia="仿宋" w:cs="仿宋"/>
          <w:sz w:val="24"/>
          <w:szCs w:val="24"/>
        </w:rPr>
        <w:t xml:space="preserve">    被授权人联系电话（手机）：</w:t>
      </w:r>
    </w:p>
    <w:p w14:paraId="107642AF">
      <w:pPr>
        <w:tabs>
          <w:tab w:val="left" w:pos="360"/>
        </w:tabs>
        <w:ind w:firstLine="480"/>
        <w:rPr>
          <w:rFonts w:hint="eastAsia" w:ascii="仿宋" w:hAnsi="仿宋" w:eastAsia="仿宋" w:cs="仿宋"/>
          <w:sz w:val="24"/>
          <w:szCs w:val="24"/>
        </w:rPr>
      </w:pPr>
      <w:r>
        <w:rPr>
          <w:rFonts w:hint="eastAsia" w:ascii="仿宋" w:hAnsi="仿宋" w:eastAsia="仿宋" w:cs="仿宋"/>
          <w:sz w:val="24"/>
          <w:szCs w:val="24"/>
        </w:rPr>
        <w:t>授权单位名称</w:t>
      </w:r>
      <w:r>
        <w:rPr>
          <w:rFonts w:hint="eastAsia" w:ascii="仿宋" w:hAnsi="仿宋" w:eastAsia="仿宋" w:cs="仿宋"/>
          <w:sz w:val="24"/>
          <w:szCs w:val="24"/>
          <w:u w:val="single"/>
        </w:rPr>
        <w:t xml:space="preserve">（加盖CA电子公章）：                   </w:t>
      </w:r>
    </w:p>
    <w:p w14:paraId="23E8F391">
      <w:pPr>
        <w:tabs>
          <w:tab w:val="left" w:pos="360"/>
        </w:tabs>
        <w:ind w:firstLine="480"/>
        <w:rPr>
          <w:rFonts w:hint="eastAsia" w:ascii="仿宋" w:hAnsi="仿宋" w:eastAsia="仿宋" w:cs="仿宋"/>
          <w:sz w:val="24"/>
          <w:szCs w:val="24"/>
          <w:u w:val="single"/>
        </w:rPr>
      </w:pPr>
      <w:r>
        <w:rPr>
          <w:rFonts w:hint="eastAsia" w:ascii="仿宋" w:hAnsi="仿宋" w:eastAsia="仿宋" w:cs="仿宋"/>
          <w:sz w:val="24"/>
          <w:szCs w:val="24"/>
        </w:rPr>
        <w:t>单位地址：</w:t>
      </w:r>
    </w:p>
    <w:p w14:paraId="3AD4B9CC">
      <w:pPr>
        <w:tabs>
          <w:tab w:val="left" w:pos="360"/>
        </w:tabs>
        <w:ind w:firstLine="480"/>
        <w:rPr>
          <w:rFonts w:hint="eastAsia" w:ascii="仿宋" w:hAnsi="仿宋" w:eastAsia="仿宋" w:cs="仿宋"/>
          <w:sz w:val="24"/>
          <w:szCs w:val="24"/>
        </w:rPr>
      </w:pPr>
      <w:r>
        <w:rPr>
          <w:rFonts w:hint="eastAsia" w:ascii="仿宋" w:hAnsi="仿宋" w:eastAsia="仿宋" w:cs="仿宋"/>
          <w:sz w:val="24"/>
          <w:szCs w:val="24"/>
        </w:rPr>
        <w:t>日期：</w:t>
      </w:r>
      <w:bookmarkStart w:id="217" w:name="_Hlt26671380"/>
      <w:bookmarkEnd w:id="217"/>
      <w:bookmarkStart w:id="218" w:name="_格式3__银行出具的资信证明"/>
      <w:bookmarkEnd w:id="218"/>
      <w:bookmarkStart w:id="219" w:name="_Hlt26955070"/>
      <w:bookmarkEnd w:id="219"/>
    </w:p>
    <w:p w14:paraId="0DE8A2D3">
      <w:pPr>
        <w:keepNext/>
        <w:keepLines/>
        <w:spacing w:before="260" w:after="260" w:line="416" w:lineRule="auto"/>
        <w:rPr>
          <w:rFonts w:hint="eastAsia" w:ascii="仿宋" w:hAnsi="仿宋" w:eastAsia="仿宋" w:cs="仿宋"/>
          <w:b/>
          <w:sz w:val="24"/>
          <w:szCs w:val="44"/>
        </w:rPr>
      </w:pPr>
    </w:p>
    <w:p w14:paraId="30BB38B8">
      <w:pPr>
        <w:spacing w:line="460" w:lineRule="exact"/>
        <w:ind w:firstLine="480"/>
        <w:jc w:val="left"/>
        <w:rPr>
          <w:rFonts w:hint="eastAsia" w:ascii="仿宋" w:hAnsi="仿宋" w:eastAsia="仿宋" w:cs="仿宋"/>
          <w:b/>
          <w:sz w:val="24"/>
        </w:rPr>
      </w:pPr>
      <w:r>
        <w:rPr>
          <w:rFonts w:hint="eastAsia" w:ascii="仿宋" w:hAnsi="仿宋" w:eastAsia="仿宋" w:cs="仿宋"/>
          <w:bCs/>
          <w:sz w:val="24"/>
          <w:szCs w:val="44"/>
        </w:rPr>
        <w:t>注：提供被授权人身份证扫描件（加盖CA电子公章）</w:t>
      </w:r>
      <w:r>
        <w:rPr>
          <w:rFonts w:hint="eastAsia" w:ascii="仿宋" w:hAnsi="仿宋" w:eastAsia="仿宋" w:cs="仿宋"/>
          <w:bCs/>
          <w:sz w:val="24"/>
          <w:szCs w:val="44"/>
        </w:rPr>
        <w:br w:type="page" w:clear="all"/>
      </w:r>
      <w:r>
        <w:rPr>
          <w:rFonts w:hint="eastAsia" w:ascii="仿宋" w:hAnsi="仿宋" w:eastAsia="仿宋" w:cs="仿宋"/>
          <w:b/>
          <w:sz w:val="24"/>
        </w:rPr>
        <w:t xml:space="preserve">附件6                            </w:t>
      </w:r>
    </w:p>
    <w:p w14:paraId="197BA9F0">
      <w:pPr>
        <w:spacing w:line="460" w:lineRule="exact"/>
        <w:ind w:firstLine="480"/>
        <w:jc w:val="center"/>
        <w:rPr>
          <w:rFonts w:hint="eastAsia" w:ascii="仿宋" w:hAnsi="仿宋" w:eastAsia="仿宋" w:cs="仿宋"/>
          <w:b/>
          <w:sz w:val="30"/>
          <w:szCs w:val="30"/>
        </w:rPr>
      </w:pPr>
      <w:r>
        <w:rPr>
          <w:rFonts w:hint="eastAsia" w:ascii="仿宋" w:hAnsi="仿宋" w:eastAsia="仿宋" w:cs="仿宋"/>
          <w:b/>
          <w:sz w:val="30"/>
          <w:szCs w:val="30"/>
        </w:rPr>
        <w:t>投标函</w:t>
      </w:r>
    </w:p>
    <w:p w14:paraId="38330D6B">
      <w:pPr>
        <w:spacing w:line="420" w:lineRule="exact"/>
        <w:jc w:val="left"/>
        <w:rPr>
          <w:rFonts w:hint="eastAsia" w:ascii="仿宋" w:hAnsi="仿宋" w:eastAsia="仿宋" w:cs="仿宋"/>
          <w:sz w:val="24"/>
        </w:rPr>
      </w:pPr>
      <w:r>
        <w:rPr>
          <w:rFonts w:hint="eastAsia" w:ascii="仿宋" w:hAnsi="仿宋" w:eastAsia="仿宋" w:cs="仿宋"/>
          <w:sz w:val="24"/>
        </w:rPr>
        <w:t>致：如东县大豫镇人民政府</w:t>
      </w:r>
    </w:p>
    <w:p w14:paraId="19968250">
      <w:pPr>
        <w:spacing w:line="420" w:lineRule="exact"/>
        <w:ind w:firstLine="480"/>
        <w:jc w:val="left"/>
        <w:rPr>
          <w:rFonts w:hint="eastAsia" w:ascii="仿宋" w:hAnsi="仿宋" w:eastAsia="仿宋" w:cs="仿宋"/>
          <w:sz w:val="24"/>
        </w:rPr>
      </w:pPr>
      <w:r>
        <w:rPr>
          <w:rFonts w:hint="eastAsia" w:ascii="仿宋" w:hAnsi="仿宋" w:eastAsia="仿宋" w:cs="仿宋"/>
          <w:sz w:val="24"/>
        </w:rPr>
        <w:t>根据贵方的（项目名称）的招标文件，正式授权下述被授权人_____(姓名)代表我方（投标人的名称），全权处理本次项目投标的有关事宜。</w:t>
      </w:r>
    </w:p>
    <w:p w14:paraId="3E11F2A2">
      <w:pPr>
        <w:spacing w:line="420" w:lineRule="exact"/>
        <w:ind w:firstLine="480"/>
        <w:jc w:val="left"/>
        <w:rPr>
          <w:rFonts w:hint="eastAsia" w:ascii="仿宋" w:hAnsi="仿宋" w:eastAsia="仿宋" w:cs="仿宋"/>
          <w:sz w:val="24"/>
        </w:rPr>
      </w:pPr>
      <w:r>
        <w:rPr>
          <w:rFonts w:hint="eastAsia" w:ascii="仿宋" w:hAnsi="仿宋" w:eastAsia="仿宋" w:cs="仿宋"/>
          <w:sz w:val="24"/>
        </w:rPr>
        <w:t>据此函，被授权人_____(姓名)兹宣布同意如下：</w:t>
      </w:r>
    </w:p>
    <w:p w14:paraId="5195F3D6">
      <w:pPr>
        <w:spacing w:line="420" w:lineRule="exact"/>
        <w:ind w:firstLine="480"/>
        <w:jc w:val="left"/>
        <w:rPr>
          <w:rFonts w:hint="eastAsia" w:ascii="仿宋" w:hAnsi="仿宋" w:eastAsia="仿宋" w:cs="仿宋"/>
          <w:sz w:val="24"/>
        </w:rPr>
      </w:pPr>
      <w:r>
        <w:rPr>
          <w:rFonts w:hint="eastAsia" w:ascii="仿宋" w:hAnsi="仿宋" w:eastAsia="仿宋" w:cs="仿宋"/>
          <w:sz w:val="24"/>
        </w:rPr>
        <w:t>1.按招标文件规定的各项要求，向买方提供所需货物（包含与货物相关的服务）。</w:t>
      </w:r>
    </w:p>
    <w:p w14:paraId="00B8416C">
      <w:pPr>
        <w:spacing w:line="420" w:lineRule="exact"/>
        <w:ind w:firstLine="480"/>
        <w:jc w:val="left"/>
        <w:rPr>
          <w:rFonts w:hint="eastAsia" w:ascii="仿宋" w:hAnsi="仿宋" w:eastAsia="仿宋" w:cs="仿宋"/>
          <w:sz w:val="24"/>
        </w:rPr>
      </w:pPr>
      <w:r>
        <w:rPr>
          <w:rFonts w:hint="eastAsia" w:ascii="仿宋" w:hAnsi="仿宋" w:eastAsia="仿宋" w:cs="仿宋"/>
          <w:sz w:val="24"/>
        </w:rPr>
        <w:t>2.我们完全理解贵方不一定将合同授予最低报价的投标人。</w:t>
      </w:r>
    </w:p>
    <w:p w14:paraId="37B27632">
      <w:pPr>
        <w:spacing w:line="420" w:lineRule="exact"/>
        <w:ind w:firstLine="480"/>
        <w:jc w:val="left"/>
        <w:rPr>
          <w:rFonts w:hint="eastAsia" w:ascii="仿宋" w:hAnsi="仿宋" w:eastAsia="仿宋" w:cs="仿宋"/>
          <w:sz w:val="24"/>
        </w:rPr>
      </w:pPr>
      <w:r>
        <w:rPr>
          <w:rFonts w:hint="eastAsia" w:ascii="仿宋" w:hAnsi="仿宋" w:eastAsia="仿宋" w:cs="仿宋"/>
          <w:sz w:val="24"/>
        </w:rPr>
        <w:t>3.我们已详细审核全部招标文件及其有效补充文件，我们知道必须放弃提出含糊不清或误解问题的权利。</w:t>
      </w:r>
    </w:p>
    <w:p w14:paraId="546D2B37">
      <w:pPr>
        <w:spacing w:line="420" w:lineRule="exact"/>
        <w:ind w:firstLine="480"/>
        <w:jc w:val="left"/>
        <w:rPr>
          <w:rFonts w:hint="eastAsia" w:ascii="仿宋" w:hAnsi="仿宋" w:eastAsia="仿宋" w:cs="仿宋"/>
          <w:sz w:val="24"/>
        </w:rPr>
      </w:pPr>
      <w:r>
        <w:rPr>
          <w:rFonts w:hint="eastAsia" w:ascii="仿宋" w:hAnsi="仿宋" w:eastAsia="仿宋" w:cs="仿宋"/>
          <w:sz w:val="24"/>
        </w:rPr>
        <w:t>4.我们同意从规定的开标日期起遵循本投标文件，并在规定的投标有效期期满之前均具有约束力。</w:t>
      </w:r>
    </w:p>
    <w:p w14:paraId="7B1FB41E">
      <w:pPr>
        <w:spacing w:line="420" w:lineRule="exact"/>
        <w:ind w:firstLine="480"/>
        <w:jc w:val="left"/>
        <w:rPr>
          <w:rFonts w:hint="eastAsia" w:ascii="仿宋" w:hAnsi="仿宋" w:eastAsia="仿宋" w:cs="仿宋"/>
          <w:sz w:val="24"/>
        </w:rPr>
      </w:pPr>
      <w:r>
        <w:rPr>
          <w:rFonts w:hint="eastAsia" w:ascii="仿宋" w:hAnsi="仿宋" w:eastAsia="仿宋" w:cs="仿宋"/>
          <w:sz w:val="24"/>
        </w:rPr>
        <w:t>5.同意向贵方提供贵方可能另外要求的与投标有关的任何证据或资料，并保证我方已提供和将要提供的文件是真实的、准确的。</w:t>
      </w:r>
    </w:p>
    <w:p w14:paraId="0A4DEC9F">
      <w:pPr>
        <w:spacing w:line="420" w:lineRule="exact"/>
        <w:ind w:firstLine="480"/>
        <w:jc w:val="left"/>
        <w:rPr>
          <w:rFonts w:hint="eastAsia" w:ascii="仿宋" w:hAnsi="仿宋" w:eastAsia="仿宋" w:cs="仿宋"/>
          <w:sz w:val="24"/>
        </w:rPr>
      </w:pPr>
      <w:r>
        <w:rPr>
          <w:rFonts w:hint="eastAsia" w:ascii="仿宋" w:hAnsi="仿宋" w:eastAsia="仿宋" w:cs="仿宋"/>
          <w:sz w:val="24"/>
        </w:rPr>
        <w:t>6.一旦我方中标,我方将根据招标文件的规定，严格履行合同的责任和义务,并保证在招标文件规定的时间完成项目，交付买方验收、使用。</w:t>
      </w:r>
    </w:p>
    <w:p w14:paraId="6A7B3DD7">
      <w:pPr>
        <w:spacing w:line="420" w:lineRule="exact"/>
        <w:ind w:left="425"/>
        <w:jc w:val="left"/>
        <w:rPr>
          <w:rFonts w:hint="eastAsia" w:ascii="仿宋" w:hAnsi="仿宋" w:eastAsia="仿宋" w:cs="仿宋"/>
          <w:sz w:val="24"/>
        </w:rPr>
      </w:pPr>
      <w:r>
        <w:rPr>
          <w:rFonts w:hint="eastAsia" w:ascii="仿宋" w:hAnsi="仿宋" w:eastAsia="仿宋" w:cs="仿宋"/>
          <w:sz w:val="24"/>
        </w:rPr>
        <w:t>7.与本投标有关的正式通讯地址为：</w:t>
      </w:r>
    </w:p>
    <w:p w14:paraId="15005625">
      <w:pPr>
        <w:spacing w:line="420" w:lineRule="exact"/>
        <w:ind w:left="420" w:firstLine="480"/>
        <w:jc w:val="left"/>
        <w:rPr>
          <w:rFonts w:hint="eastAsia" w:ascii="仿宋" w:hAnsi="仿宋" w:eastAsia="仿宋" w:cs="仿宋"/>
          <w:sz w:val="24"/>
          <w:u w:val="single"/>
        </w:rPr>
      </w:pPr>
      <w:r>
        <w:rPr>
          <w:rFonts w:hint="eastAsia" w:ascii="仿宋" w:hAnsi="仿宋" w:eastAsia="仿宋" w:cs="仿宋"/>
          <w:sz w:val="24"/>
        </w:rPr>
        <w:t>地          址：</w:t>
      </w:r>
    </w:p>
    <w:p w14:paraId="48F598A4">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邮          编：</w:t>
      </w:r>
    </w:p>
    <w:p w14:paraId="10EDA532">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电          话：</w:t>
      </w:r>
    </w:p>
    <w:p w14:paraId="07E72BEF">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传          真：</w:t>
      </w:r>
    </w:p>
    <w:p w14:paraId="4A8D2F37">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投标人开户行：</w:t>
      </w:r>
    </w:p>
    <w:p w14:paraId="25591E15">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账          号：</w:t>
      </w:r>
    </w:p>
    <w:p w14:paraId="66E3E1F2">
      <w:pPr>
        <w:spacing w:line="420" w:lineRule="exact"/>
        <w:ind w:left="420" w:firstLine="480"/>
        <w:jc w:val="left"/>
        <w:rPr>
          <w:rFonts w:hint="eastAsia" w:ascii="仿宋" w:hAnsi="仿宋" w:eastAsia="仿宋" w:cs="仿宋"/>
          <w:sz w:val="24"/>
        </w:rPr>
      </w:pPr>
      <w:r>
        <w:rPr>
          <w:rFonts w:hint="eastAsia" w:ascii="仿宋" w:hAnsi="仿宋" w:eastAsia="仿宋" w:cs="仿宋"/>
          <w:sz w:val="24"/>
        </w:rPr>
        <w:t>日          期：_____年____月____日</w:t>
      </w:r>
    </w:p>
    <w:p w14:paraId="4F5FE458">
      <w:pPr>
        <w:spacing w:line="560" w:lineRule="exact"/>
        <w:ind w:firstLine="240"/>
        <w:jc w:val="center"/>
        <w:rPr>
          <w:rFonts w:hint="eastAsia" w:ascii="仿宋" w:hAnsi="仿宋" w:eastAsia="仿宋" w:cs="仿宋"/>
          <w:bCs/>
          <w:sz w:val="24"/>
        </w:rPr>
      </w:pPr>
    </w:p>
    <w:p w14:paraId="2CC7DF3C">
      <w:pPr>
        <w:jc w:val="left"/>
        <w:outlineLvl w:val="0"/>
        <w:rPr>
          <w:rFonts w:hint="eastAsia" w:ascii="仿宋" w:hAnsi="仿宋" w:eastAsia="仿宋" w:cs="仿宋"/>
          <w:b/>
          <w:sz w:val="24"/>
        </w:rPr>
      </w:pPr>
      <w:r>
        <w:rPr>
          <w:rFonts w:hint="eastAsia" w:ascii="仿宋" w:hAnsi="仿宋" w:eastAsia="仿宋" w:cs="仿宋"/>
          <w:bCs/>
          <w:sz w:val="24"/>
        </w:rPr>
        <w:br w:type="page" w:clear="all"/>
      </w:r>
      <w:bookmarkStart w:id="220" w:name="_Toc186493286"/>
      <w:r>
        <w:rPr>
          <w:rFonts w:hint="eastAsia" w:ascii="仿宋" w:hAnsi="仿宋" w:eastAsia="仿宋" w:cs="仿宋"/>
          <w:b/>
          <w:sz w:val="24"/>
        </w:rPr>
        <w:t>附件</w:t>
      </w:r>
      <w:bookmarkEnd w:id="220"/>
      <w:r>
        <w:rPr>
          <w:rFonts w:hint="eastAsia" w:ascii="仿宋" w:hAnsi="仿宋" w:eastAsia="仿宋" w:cs="仿宋"/>
          <w:b/>
          <w:sz w:val="24"/>
        </w:rPr>
        <w:t>7</w:t>
      </w:r>
    </w:p>
    <w:p w14:paraId="0ACBBD6B">
      <w:pPr>
        <w:jc w:val="center"/>
        <w:rPr>
          <w:rFonts w:hint="eastAsia" w:ascii="仿宋" w:hAnsi="仿宋" w:eastAsia="仿宋" w:cs="仿宋"/>
          <w:b/>
          <w:sz w:val="30"/>
          <w:szCs w:val="30"/>
        </w:rPr>
      </w:pPr>
      <w:r>
        <w:rPr>
          <w:rFonts w:hint="eastAsia" w:ascii="仿宋" w:hAnsi="仿宋" w:eastAsia="仿宋" w:cs="仿宋"/>
          <w:b/>
          <w:sz w:val="30"/>
          <w:szCs w:val="30"/>
        </w:rPr>
        <w:t>中小企业声明函（服务）</w:t>
      </w:r>
    </w:p>
    <w:p w14:paraId="452E6353">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1FA53C7F">
      <w:pPr>
        <w:spacing w:line="400" w:lineRule="exact"/>
        <w:ind w:firstLine="360"/>
        <w:rPr>
          <w:rFonts w:hint="eastAsia" w:ascii="仿宋" w:hAnsi="仿宋" w:eastAsia="仿宋" w:cs="仿宋"/>
          <w:i/>
          <w:sz w:val="24"/>
          <w:szCs w:val="24"/>
          <w:u w:val="single"/>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 </w:t>
      </w:r>
      <w:r>
        <w:rPr>
          <w:rFonts w:hint="eastAsia" w:ascii="仿宋" w:hAnsi="仿宋" w:eastAsia="仿宋" w:cs="仿宋"/>
          <w:sz w:val="24"/>
          <w:szCs w:val="24"/>
        </w:rPr>
        <w:t>行业；承建（承接）企业为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w:t>
      </w:r>
      <w:r>
        <w:rPr>
          <w:rFonts w:hint="eastAsia" w:ascii="仿宋" w:hAnsi="仿宋" w:eastAsia="仿宋" w:cs="仿宋"/>
          <w:sz w:val="24"/>
          <w:szCs w:val="24"/>
          <w:u w:val="single"/>
        </w:rPr>
        <w:t>（□中型企业 □小型企业 □微型企业）；</w:t>
      </w:r>
    </w:p>
    <w:p w14:paraId="210EA9B5">
      <w:pPr>
        <w:spacing w:line="400" w:lineRule="exact"/>
        <w:ind w:firstLine="360"/>
        <w:rPr>
          <w:rFonts w:hint="eastAsia" w:ascii="仿宋" w:hAnsi="仿宋" w:eastAsia="仿宋" w:cs="仿宋"/>
          <w:i/>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 </w:t>
      </w:r>
      <w:r>
        <w:rPr>
          <w:rFonts w:hint="eastAsia" w:ascii="仿宋" w:hAnsi="仿宋" w:eastAsia="仿宋" w:cs="仿宋"/>
          <w:sz w:val="24"/>
          <w:szCs w:val="24"/>
        </w:rPr>
        <w:t>行业；承建（承接）企业为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w:t>
      </w:r>
      <w:r>
        <w:rPr>
          <w:rFonts w:hint="eastAsia" w:ascii="仿宋" w:hAnsi="仿宋" w:eastAsia="仿宋" w:cs="仿宋"/>
          <w:sz w:val="24"/>
          <w:szCs w:val="24"/>
          <w:u w:val="single"/>
        </w:rPr>
        <w:t>（□中型企业 □小型企业 □微型企业）；</w:t>
      </w:r>
    </w:p>
    <w:p w14:paraId="4A9148DD">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w:t>
      </w:r>
    </w:p>
    <w:p w14:paraId="42A52465">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547215ED">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37BFF9C4">
      <w:pPr>
        <w:spacing w:line="400" w:lineRule="exact"/>
        <w:ind w:right="720"/>
        <w:rPr>
          <w:rFonts w:hint="eastAsia" w:ascii="仿宋" w:hAnsi="仿宋" w:eastAsia="仿宋" w:cs="仿宋"/>
          <w:sz w:val="24"/>
          <w:szCs w:val="24"/>
        </w:rPr>
      </w:pPr>
    </w:p>
    <w:p w14:paraId="5ADDB7C8">
      <w:pPr>
        <w:spacing w:line="400" w:lineRule="exact"/>
        <w:ind w:right="180" w:firstLine="360"/>
        <w:jc w:val="center"/>
        <w:rPr>
          <w:rFonts w:hint="eastAsia" w:ascii="仿宋" w:hAnsi="仿宋" w:eastAsia="仿宋" w:cs="仿宋"/>
          <w:sz w:val="24"/>
          <w:szCs w:val="24"/>
        </w:rPr>
      </w:pPr>
      <w:r>
        <w:rPr>
          <w:rFonts w:hint="eastAsia" w:ascii="仿宋" w:hAnsi="仿宋" w:eastAsia="仿宋" w:cs="仿宋"/>
          <w:sz w:val="24"/>
          <w:szCs w:val="24"/>
        </w:rPr>
        <w:t xml:space="preserve">  供应商全称（加盖CA电子公章）：</w:t>
      </w:r>
    </w:p>
    <w:p w14:paraId="06E05CDC">
      <w:pPr>
        <w:spacing w:line="400" w:lineRule="exact"/>
        <w:ind w:right="480" w:firstLine="5520"/>
        <w:rPr>
          <w:rFonts w:hint="eastAsia" w:ascii="仿宋" w:hAnsi="仿宋" w:eastAsia="仿宋" w:cs="仿宋"/>
          <w:sz w:val="24"/>
          <w:szCs w:val="24"/>
        </w:rPr>
      </w:pPr>
    </w:p>
    <w:p w14:paraId="6857184B">
      <w:pPr>
        <w:spacing w:line="400" w:lineRule="exact"/>
        <w:ind w:right="480" w:firstLine="5520"/>
        <w:rPr>
          <w:rFonts w:hint="eastAsia" w:ascii="仿宋" w:hAnsi="仿宋" w:eastAsia="仿宋" w:cs="仿宋"/>
          <w:sz w:val="24"/>
          <w:szCs w:val="24"/>
        </w:rPr>
      </w:pPr>
      <w:r>
        <w:rPr>
          <w:rFonts w:hint="eastAsia" w:ascii="仿宋" w:hAnsi="仿宋" w:eastAsia="仿宋" w:cs="仿宋"/>
          <w:sz w:val="24"/>
          <w:szCs w:val="24"/>
        </w:rPr>
        <w:t>日  期：</w:t>
      </w:r>
    </w:p>
    <w:p w14:paraId="704BF42C">
      <w:pPr>
        <w:spacing w:line="400" w:lineRule="exact"/>
        <w:ind w:firstLine="240"/>
        <w:rPr>
          <w:rFonts w:hint="eastAsia" w:ascii="仿宋" w:hAnsi="仿宋" w:eastAsia="仿宋" w:cs="仿宋"/>
          <w:sz w:val="24"/>
          <w:szCs w:val="24"/>
        </w:rPr>
      </w:pPr>
    </w:p>
    <w:p w14:paraId="2CE330A6">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备注：</w:t>
      </w:r>
    </w:p>
    <w:p w14:paraId="22CE231A">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1、如项目类型为“服务”，请按照此格式填写。</w:t>
      </w:r>
    </w:p>
    <w:p w14:paraId="59256B45">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2、从业人员、营业收入、资产总额填报上一年度数据，无上一年度数据的新成立企业可不填报。</w:t>
      </w:r>
    </w:p>
    <w:p w14:paraId="0B911335">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3、专门面向中小微型企业采购的项目，投标人如不提供此声明函，则不能通过资格审查；非专门面向中小微型企业采购的项目，投标人如不提供此声明函，价格将不做相应扣除。</w:t>
      </w:r>
    </w:p>
    <w:p w14:paraId="579A8343">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4、投标人自行勾选承接企业的企业规模类型。</w:t>
      </w:r>
    </w:p>
    <w:p w14:paraId="5DAA8538">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5、中标人的《中小企业声明函》将随中标结果同时公告。投标人按照本办法规定提供声明函内容不实的，属于提供虚假材料谋取中标、成交，依照《中华人民共和国政府采购法》等国家有关规定追究相应责任。</w:t>
      </w:r>
    </w:p>
    <w:p w14:paraId="71C5940D">
      <w:pPr>
        <w:spacing w:line="400" w:lineRule="exact"/>
        <w:ind w:firstLine="482"/>
        <w:rPr>
          <w:rFonts w:hint="eastAsia" w:ascii="仿宋" w:hAnsi="仿宋" w:eastAsia="仿宋" w:cs="仿宋"/>
          <w:b/>
          <w:sz w:val="24"/>
          <w:szCs w:val="24"/>
        </w:rPr>
      </w:pPr>
    </w:p>
    <w:p w14:paraId="43CDA757">
      <w:pPr>
        <w:spacing w:line="588" w:lineRule="exact"/>
        <w:jc w:val="left"/>
        <w:outlineLvl w:val="0"/>
        <w:rPr>
          <w:rFonts w:hint="eastAsia" w:ascii="仿宋" w:hAnsi="仿宋" w:eastAsia="仿宋" w:cs="仿宋"/>
          <w:b/>
          <w:sz w:val="24"/>
          <w:szCs w:val="24"/>
        </w:rPr>
      </w:pPr>
      <w:r>
        <w:rPr>
          <w:rFonts w:hint="eastAsia" w:ascii="仿宋" w:hAnsi="仿宋" w:eastAsia="仿宋" w:cs="仿宋"/>
          <w:b/>
          <w:sz w:val="24"/>
          <w:szCs w:val="24"/>
        </w:rPr>
        <w:br w:type="page" w:clear="all"/>
      </w:r>
      <w:bookmarkStart w:id="221" w:name="_Toc186493287"/>
      <w:r>
        <w:rPr>
          <w:rFonts w:hint="eastAsia" w:ascii="仿宋" w:hAnsi="仿宋" w:eastAsia="仿宋" w:cs="仿宋"/>
          <w:b/>
          <w:sz w:val="24"/>
          <w:szCs w:val="24"/>
        </w:rPr>
        <w:t>附件</w:t>
      </w:r>
      <w:bookmarkEnd w:id="221"/>
      <w:r>
        <w:rPr>
          <w:rFonts w:hint="eastAsia" w:ascii="仿宋" w:hAnsi="仿宋" w:eastAsia="仿宋" w:cs="仿宋"/>
          <w:b/>
          <w:sz w:val="24"/>
          <w:szCs w:val="24"/>
        </w:rPr>
        <w:t>8</w:t>
      </w:r>
    </w:p>
    <w:p w14:paraId="43998EBF">
      <w:pPr>
        <w:spacing w:line="588" w:lineRule="exact"/>
        <w:jc w:val="center"/>
        <w:rPr>
          <w:rFonts w:hint="eastAsia" w:ascii="仿宋" w:hAnsi="仿宋" w:eastAsia="仿宋" w:cs="仿宋"/>
          <w:b/>
          <w:sz w:val="30"/>
          <w:szCs w:val="30"/>
        </w:rPr>
      </w:pPr>
      <w:r>
        <w:rPr>
          <w:rFonts w:hint="eastAsia" w:ascii="仿宋" w:hAnsi="仿宋" w:eastAsia="仿宋" w:cs="仿宋"/>
          <w:b/>
          <w:sz w:val="30"/>
          <w:szCs w:val="30"/>
        </w:rPr>
        <w:t>残疾人福利性单位声明函（服务）</w:t>
      </w:r>
    </w:p>
    <w:p w14:paraId="7505FC91">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本单位郑重声明，根据《财政部 民政部 中国残疾人联合会关于促进残疾人就业政府采购政策的通知》（财库〔2017〕 141号）的规定，本单位为符合条件的残疾人福利性单位，且本单位参加单位的采购文件项目编号为的项目采购活动由本单位提供服务。</w:t>
      </w:r>
    </w:p>
    <w:p w14:paraId="01B735F3">
      <w:pPr>
        <w:spacing w:line="400" w:lineRule="exact"/>
        <w:ind w:firstLine="36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6C9D54B6">
      <w:pPr>
        <w:spacing w:line="0" w:lineRule="atLeast"/>
        <w:ind w:firstLine="480"/>
        <w:rPr>
          <w:rFonts w:hint="eastAsia" w:ascii="仿宋" w:hAnsi="仿宋" w:eastAsia="仿宋" w:cs="仿宋"/>
          <w:sz w:val="24"/>
        </w:rPr>
      </w:pPr>
    </w:p>
    <w:p w14:paraId="6AC7B51D">
      <w:pPr>
        <w:spacing w:line="400" w:lineRule="exact"/>
        <w:rPr>
          <w:rFonts w:hint="eastAsia" w:ascii="仿宋" w:hAnsi="仿宋" w:eastAsia="仿宋" w:cs="仿宋"/>
          <w:sz w:val="24"/>
          <w:szCs w:val="24"/>
        </w:rPr>
      </w:pPr>
      <w:r>
        <w:rPr>
          <w:rFonts w:hint="eastAsia" w:ascii="仿宋" w:hAnsi="仿宋" w:eastAsia="仿宋" w:cs="仿宋"/>
          <w:sz w:val="24"/>
          <w:szCs w:val="24"/>
        </w:rPr>
        <w:t>备注：</w:t>
      </w:r>
    </w:p>
    <w:p w14:paraId="0A7C1924">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1、如项目类型为“服务”，请按照此格式填写。</w:t>
      </w:r>
    </w:p>
    <w:p w14:paraId="55DD3A71">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2、专门面向中小微型企业采购的项目，投标人为残疾人福利性单位并提供服务的必须提供此声明函，否则将不能通过资格审查。</w:t>
      </w:r>
    </w:p>
    <w:p w14:paraId="2317DC04">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3、非专门面向中小微型企业采购的项目，投标人如不提供此声明函，价格将不做相应扣除。</w:t>
      </w:r>
    </w:p>
    <w:p w14:paraId="65604C8F">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4、中标人为残疾人福利性单位的，此声明函将随中标结果同时公告，接受社会监督。</w:t>
      </w:r>
    </w:p>
    <w:p w14:paraId="3A65F240">
      <w:pPr>
        <w:spacing w:line="588" w:lineRule="exact"/>
        <w:ind w:firstLine="624"/>
        <w:rPr>
          <w:rFonts w:hint="eastAsia" w:ascii="仿宋" w:hAnsi="仿宋" w:eastAsia="仿宋" w:cs="仿宋"/>
          <w:spacing w:val="6"/>
          <w:sz w:val="30"/>
          <w:szCs w:val="30"/>
        </w:rPr>
      </w:pPr>
    </w:p>
    <w:p w14:paraId="740B5518">
      <w:pPr>
        <w:tabs>
          <w:tab w:val="left" w:pos="4860"/>
        </w:tabs>
        <w:spacing w:line="0" w:lineRule="atLeast"/>
        <w:ind w:right="1559" w:firstLine="624"/>
        <w:jc w:val="center"/>
        <w:rPr>
          <w:rFonts w:hint="eastAsia" w:ascii="仿宋" w:hAnsi="仿宋" w:eastAsia="仿宋" w:cs="仿宋"/>
          <w:sz w:val="24"/>
        </w:rPr>
      </w:pPr>
      <w:r>
        <w:rPr>
          <w:rFonts w:hint="eastAsia" w:ascii="仿宋" w:hAnsi="仿宋" w:eastAsia="仿宋" w:cs="仿宋"/>
          <w:sz w:val="24"/>
        </w:rPr>
        <w:t>供应商全称（加盖CA电子公章）：</w:t>
      </w:r>
    </w:p>
    <w:p w14:paraId="71CC5D5F">
      <w:pPr>
        <w:tabs>
          <w:tab w:val="left" w:pos="4860"/>
        </w:tabs>
        <w:spacing w:line="0" w:lineRule="atLeast"/>
        <w:ind w:right="1559" w:firstLine="480"/>
        <w:jc w:val="center"/>
        <w:rPr>
          <w:rFonts w:hint="eastAsia" w:ascii="仿宋" w:hAnsi="仿宋" w:eastAsia="仿宋" w:cs="仿宋"/>
          <w:sz w:val="24"/>
        </w:rPr>
      </w:pPr>
    </w:p>
    <w:p w14:paraId="4826F5D4">
      <w:pPr>
        <w:tabs>
          <w:tab w:val="left" w:pos="4860"/>
        </w:tabs>
        <w:spacing w:line="0" w:lineRule="atLeast"/>
        <w:ind w:right="1559" w:firstLine="480"/>
        <w:jc w:val="center"/>
        <w:rPr>
          <w:rFonts w:hint="eastAsia" w:ascii="仿宋" w:hAnsi="仿宋" w:eastAsia="仿宋" w:cs="仿宋"/>
          <w:sz w:val="24"/>
        </w:rPr>
      </w:pPr>
      <w:r>
        <w:rPr>
          <w:rFonts w:hint="eastAsia" w:ascii="仿宋" w:hAnsi="仿宋" w:eastAsia="仿宋" w:cs="仿宋"/>
          <w:sz w:val="24"/>
        </w:rPr>
        <w:t xml:space="preserve">                          日  期：</w:t>
      </w:r>
    </w:p>
    <w:p w14:paraId="19B1AAA6">
      <w:pPr>
        <w:spacing w:line="420" w:lineRule="exact"/>
        <w:jc w:val="center"/>
        <w:rPr>
          <w:rFonts w:hint="eastAsia" w:ascii="仿宋" w:hAnsi="仿宋" w:eastAsia="仿宋" w:cs="仿宋"/>
          <w:b/>
          <w:sz w:val="32"/>
          <w:szCs w:val="32"/>
        </w:rPr>
      </w:pPr>
    </w:p>
    <w:p w14:paraId="4FEC539B">
      <w:pPr>
        <w:spacing w:line="420" w:lineRule="exact"/>
        <w:rPr>
          <w:rFonts w:hint="eastAsia" w:ascii="仿宋" w:hAnsi="仿宋" w:eastAsia="仿宋" w:cs="仿宋"/>
          <w:b/>
          <w:sz w:val="24"/>
          <w:szCs w:val="24"/>
        </w:rPr>
      </w:pPr>
    </w:p>
    <w:p w14:paraId="38504F14">
      <w:pPr>
        <w:spacing w:line="420" w:lineRule="exact"/>
        <w:rPr>
          <w:rFonts w:hint="eastAsia" w:ascii="仿宋" w:hAnsi="仿宋" w:eastAsia="仿宋" w:cs="仿宋"/>
          <w:b/>
          <w:sz w:val="24"/>
          <w:szCs w:val="24"/>
        </w:rPr>
      </w:pPr>
    </w:p>
    <w:p w14:paraId="7BF69013">
      <w:pPr>
        <w:spacing w:line="420" w:lineRule="exact"/>
        <w:rPr>
          <w:rFonts w:hint="eastAsia" w:ascii="仿宋" w:hAnsi="仿宋" w:eastAsia="仿宋" w:cs="仿宋"/>
          <w:b/>
          <w:sz w:val="24"/>
          <w:szCs w:val="24"/>
        </w:rPr>
      </w:pPr>
    </w:p>
    <w:p w14:paraId="3D0212A0">
      <w:pPr>
        <w:spacing w:line="420" w:lineRule="exact"/>
        <w:rPr>
          <w:rFonts w:hint="eastAsia" w:ascii="仿宋" w:hAnsi="仿宋" w:eastAsia="仿宋" w:cs="仿宋"/>
          <w:b/>
          <w:sz w:val="24"/>
          <w:szCs w:val="24"/>
        </w:rPr>
      </w:pPr>
    </w:p>
    <w:p w14:paraId="1391695B">
      <w:pPr>
        <w:spacing w:line="420" w:lineRule="exact"/>
        <w:rPr>
          <w:rFonts w:hint="eastAsia" w:ascii="仿宋" w:hAnsi="仿宋" w:eastAsia="仿宋" w:cs="仿宋"/>
          <w:b/>
          <w:sz w:val="24"/>
          <w:szCs w:val="24"/>
        </w:rPr>
      </w:pPr>
    </w:p>
    <w:p w14:paraId="4C838ABF">
      <w:pPr>
        <w:spacing w:line="420" w:lineRule="exact"/>
        <w:rPr>
          <w:rFonts w:hint="eastAsia" w:ascii="仿宋" w:hAnsi="仿宋" w:eastAsia="仿宋" w:cs="仿宋"/>
          <w:b/>
          <w:sz w:val="24"/>
          <w:szCs w:val="24"/>
        </w:rPr>
      </w:pPr>
    </w:p>
    <w:p w14:paraId="6D6E8E30">
      <w:pPr>
        <w:spacing w:line="420" w:lineRule="exact"/>
        <w:rPr>
          <w:rFonts w:hint="eastAsia" w:ascii="仿宋" w:hAnsi="仿宋" w:eastAsia="仿宋" w:cs="仿宋"/>
          <w:b/>
          <w:sz w:val="24"/>
          <w:szCs w:val="24"/>
        </w:rPr>
      </w:pPr>
    </w:p>
    <w:p w14:paraId="4551A83F">
      <w:pPr>
        <w:spacing w:line="420" w:lineRule="exact"/>
        <w:rPr>
          <w:rFonts w:hint="eastAsia" w:ascii="仿宋" w:hAnsi="仿宋" w:eastAsia="仿宋" w:cs="仿宋"/>
          <w:b/>
          <w:sz w:val="24"/>
          <w:szCs w:val="24"/>
        </w:rPr>
      </w:pPr>
    </w:p>
    <w:p w14:paraId="68B0466F">
      <w:pPr>
        <w:spacing w:line="420" w:lineRule="exact"/>
        <w:rPr>
          <w:rFonts w:hint="eastAsia" w:ascii="仿宋" w:hAnsi="仿宋" w:eastAsia="仿宋" w:cs="仿宋"/>
          <w:b/>
          <w:sz w:val="24"/>
          <w:szCs w:val="24"/>
        </w:rPr>
      </w:pPr>
    </w:p>
    <w:p w14:paraId="4D8B1073">
      <w:pPr>
        <w:spacing w:line="420" w:lineRule="exact"/>
        <w:rPr>
          <w:rFonts w:hint="eastAsia" w:ascii="仿宋" w:hAnsi="仿宋" w:eastAsia="仿宋" w:cs="仿宋"/>
          <w:b/>
          <w:sz w:val="24"/>
          <w:szCs w:val="24"/>
        </w:rPr>
      </w:pPr>
    </w:p>
    <w:p w14:paraId="6B02FCD8">
      <w:pPr>
        <w:spacing w:line="420" w:lineRule="exact"/>
        <w:rPr>
          <w:rFonts w:hint="eastAsia" w:ascii="仿宋" w:hAnsi="仿宋" w:eastAsia="仿宋" w:cs="仿宋"/>
          <w:b/>
          <w:sz w:val="24"/>
          <w:szCs w:val="24"/>
        </w:rPr>
      </w:pPr>
    </w:p>
    <w:p w14:paraId="6CAAC7FA">
      <w:pPr>
        <w:spacing w:line="420" w:lineRule="exact"/>
        <w:rPr>
          <w:rFonts w:hint="eastAsia" w:ascii="仿宋" w:hAnsi="仿宋" w:eastAsia="仿宋" w:cs="仿宋"/>
          <w:b/>
          <w:sz w:val="24"/>
          <w:szCs w:val="24"/>
        </w:rPr>
      </w:pPr>
    </w:p>
    <w:p w14:paraId="6EC6B608">
      <w:pPr>
        <w:spacing w:line="420" w:lineRule="exact"/>
        <w:outlineLvl w:val="0"/>
        <w:rPr>
          <w:rFonts w:hint="eastAsia" w:ascii="仿宋" w:hAnsi="仿宋" w:eastAsia="仿宋" w:cs="仿宋"/>
          <w:b/>
          <w:sz w:val="24"/>
          <w:szCs w:val="24"/>
        </w:rPr>
      </w:pPr>
      <w:bookmarkStart w:id="222" w:name="_Toc186493288"/>
    </w:p>
    <w:p w14:paraId="5842469E">
      <w:pPr>
        <w:spacing w:line="420" w:lineRule="exact"/>
        <w:outlineLvl w:val="0"/>
        <w:rPr>
          <w:rFonts w:hint="eastAsia" w:ascii="仿宋" w:hAnsi="仿宋" w:eastAsia="仿宋" w:cs="仿宋"/>
          <w:b/>
          <w:sz w:val="24"/>
          <w:szCs w:val="24"/>
        </w:rPr>
      </w:pPr>
    </w:p>
    <w:p w14:paraId="019C0307">
      <w:pPr>
        <w:spacing w:line="420" w:lineRule="exact"/>
        <w:outlineLvl w:val="0"/>
        <w:rPr>
          <w:rFonts w:hint="eastAsia" w:ascii="仿宋" w:hAnsi="仿宋" w:eastAsia="仿宋" w:cs="仿宋"/>
          <w:b/>
          <w:sz w:val="24"/>
          <w:szCs w:val="24"/>
        </w:rPr>
      </w:pPr>
    </w:p>
    <w:p w14:paraId="592CDF09">
      <w:pPr>
        <w:spacing w:line="420" w:lineRule="exact"/>
        <w:outlineLvl w:val="0"/>
        <w:rPr>
          <w:rFonts w:hint="eastAsia" w:ascii="仿宋" w:hAnsi="仿宋" w:eastAsia="仿宋" w:cs="仿宋"/>
          <w:b/>
          <w:sz w:val="24"/>
          <w:szCs w:val="24"/>
        </w:rPr>
      </w:pPr>
      <w:r>
        <w:rPr>
          <w:rFonts w:hint="eastAsia" w:ascii="仿宋" w:hAnsi="仿宋" w:eastAsia="仿宋" w:cs="仿宋"/>
          <w:b/>
          <w:sz w:val="24"/>
          <w:szCs w:val="24"/>
        </w:rPr>
        <w:t>附件</w:t>
      </w:r>
      <w:bookmarkEnd w:id="222"/>
      <w:r>
        <w:rPr>
          <w:rFonts w:hint="eastAsia" w:ascii="仿宋" w:hAnsi="仿宋" w:eastAsia="仿宋" w:cs="仿宋"/>
          <w:b/>
          <w:sz w:val="24"/>
          <w:szCs w:val="24"/>
        </w:rPr>
        <w:t>9</w:t>
      </w:r>
    </w:p>
    <w:p w14:paraId="29753EA7">
      <w:pPr>
        <w:spacing w:line="420" w:lineRule="exact"/>
        <w:jc w:val="center"/>
        <w:rPr>
          <w:rFonts w:hint="eastAsia" w:ascii="仿宋" w:hAnsi="仿宋" w:eastAsia="仿宋" w:cs="仿宋"/>
          <w:b/>
          <w:bCs/>
          <w:sz w:val="30"/>
          <w:szCs w:val="30"/>
        </w:rPr>
      </w:pPr>
      <w:r>
        <w:rPr>
          <w:rFonts w:hint="eastAsia" w:ascii="仿宋" w:hAnsi="仿宋" w:eastAsia="仿宋" w:cs="仿宋"/>
          <w:b/>
          <w:bCs/>
          <w:sz w:val="30"/>
          <w:szCs w:val="30"/>
        </w:rPr>
        <w:t>监狱和戒毒企业证明材料</w:t>
      </w:r>
    </w:p>
    <w:p w14:paraId="11F15E91">
      <w:pPr>
        <w:spacing w:line="420" w:lineRule="exact"/>
        <w:ind w:firstLine="495"/>
        <w:rPr>
          <w:rFonts w:hint="eastAsia" w:ascii="仿宋" w:hAnsi="仿宋" w:eastAsia="仿宋" w:cs="仿宋"/>
          <w:sz w:val="28"/>
          <w:szCs w:val="28"/>
        </w:rPr>
      </w:pPr>
    </w:p>
    <w:p w14:paraId="73C5A89B">
      <w:pPr>
        <w:spacing w:line="420" w:lineRule="exact"/>
        <w:jc w:val="center"/>
        <w:rPr>
          <w:rFonts w:hint="eastAsia" w:ascii="仿宋" w:hAnsi="仿宋" w:eastAsia="仿宋" w:cs="仿宋"/>
          <w:b/>
          <w:bCs/>
          <w:sz w:val="24"/>
          <w:szCs w:val="24"/>
        </w:rPr>
      </w:pPr>
      <w:r>
        <w:rPr>
          <w:rFonts w:hint="eastAsia" w:ascii="仿宋" w:hAnsi="仿宋" w:eastAsia="仿宋" w:cs="仿宋"/>
          <w:b/>
          <w:bCs/>
          <w:sz w:val="24"/>
          <w:szCs w:val="24"/>
        </w:rPr>
        <w:t>（格式自拟）</w:t>
      </w:r>
    </w:p>
    <w:p w14:paraId="00E22A8A">
      <w:pPr>
        <w:spacing w:line="420" w:lineRule="exact"/>
        <w:ind w:firstLine="495"/>
        <w:rPr>
          <w:rFonts w:hint="eastAsia" w:ascii="仿宋" w:hAnsi="仿宋" w:eastAsia="仿宋" w:cs="仿宋"/>
          <w:sz w:val="28"/>
          <w:szCs w:val="28"/>
        </w:rPr>
      </w:pPr>
    </w:p>
    <w:p w14:paraId="7F8696B8">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950FF96">
      <w:pPr>
        <w:spacing w:line="400" w:lineRule="exact"/>
        <w:ind w:firstLine="480"/>
        <w:rPr>
          <w:rFonts w:hint="eastAsia" w:ascii="仿宋" w:hAnsi="仿宋" w:eastAsia="仿宋" w:cs="仿宋"/>
          <w:sz w:val="24"/>
          <w:szCs w:val="24"/>
        </w:rPr>
      </w:pPr>
    </w:p>
    <w:p w14:paraId="636A14B4">
      <w:pPr>
        <w:spacing w:line="400" w:lineRule="exact"/>
        <w:rPr>
          <w:rFonts w:hint="eastAsia" w:ascii="仿宋" w:hAnsi="仿宋" w:eastAsia="仿宋" w:cs="仿宋"/>
          <w:sz w:val="24"/>
          <w:szCs w:val="24"/>
        </w:rPr>
      </w:pPr>
      <w:r>
        <w:rPr>
          <w:rFonts w:hint="eastAsia" w:ascii="仿宋" w:hAnsi="仿宋" w:eastAsia="仿宋" w:cs="仿宋"/>
          <w:sz w:val="24"/>
          <w:szCs w:val="24"/>
        </w:rPr>
        <w:t>备注：</w:t>
      </w:r>
    </w:p>
    <w:p w14:paraId="77A916DA">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1、专门面向中小微型企业采购的项目，投标人如不提供此证明材料，则不能通过资格审查；非专门面向中小微型企业采购的项目，投标人如不提供此证明材料，价格将不做相应扣除。</w:t>
      </w:r>
    </w:p>
    <w:p w14:paraId="2CDEA4C1">
      <w:pPr>
        <w:spacing w:line="400" w:lineRule="exact"/>
        <w:ind w:firstLine="480"/>
        <w:rPr>
          <w:rFonts w:hint="eastAsia" w:ascii="仿宋" w:hAnsi="仿宋" w:eastAsia="仿宋" w:cs="仿宋"/>
          <w:sz w:val="24"/>
          <w:szCs w:val="24"/>
        </w:rPr>
      </w:pPr>
      <w:r>
        <w:rPr>
          <w:rFonts w:hint="eastAsia" w:ascii="仿宋" w:hAnsi="仿宋" w:eastAsia="仿宋" w:cs="仿宋"/>
          <w:sz w:val="24"/>
          <w:szCs w:val="24"/>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746347D1">
      <w:pPr>
        <w:spacing w:line="400" w:lineRule="exact"/>
        <w:ind w:firstLine="480"/>
        <w:rPr>
          <w:rFonts w:hint="eastAsia" w:ascii="仿宋" w:hAnsi="仿宋" w:eastAsia="仿宋" w:cs="仿宋"/>
          <w:sz w:val="24"/>
          <w:szCs w:val="24"/>
        </w:rPr>
      </w:pPr>
    </w:p>
    <w:p w14:paraId="1FC7169D">
      <w:pPr>
        <w:spacing w:line="560" w:lineRule="exact"/>
        <w:jc w:val="center"/>
        <w:rPr>
          <w:rFonts w:hint="eastAsia" w:ascii="仿宋" w:hAnsi="仿宋" w:eastAsia="仿宋" w:cs="仿宋"/>
          <w:b/>
          <w:sz w:val="32"/>
          <w:szCs w:val="32"/>
        </w:rPr>
      </w:pPr>
    </w:p>
    <w:p w14:paraId="33BB37EA">
      <w:pPr>
        <w:spacing w:line="588" w:lineRule="exact"/>
        <w:ind w:firstLine="624"/>
        <w:rPr>
          <w:rFonts w:hint="eastAsia" w:ascii="仿宋" w:hAnsi="仿宋" w:eastAsia="仿宋" w:cs="仿宋"/>
          <w:spacing w:val="6"/>
          <w:sz w:val="30"/>
          <w:szCs w:val="30"/>
        </w:rPr>
      </w:pPr>
    </w:p>
    <w:p w14:paraId="305CCC4C">
      <w:pPr>
        <w:tabs>
          <w:tab w:val="left" w:pos="4860"/>
        </w:tabs>
        <w:spacing w:line="0" w:lineRule="atLeast"/>
        <w:ind w:right="1559" w:firstLine="624"/>
        <w:jc w:val="center"/>
        <w:rPr>
          <w:rFonts w:hint="eastAsia" w:ascii="仿宋" w:hAnsi="仿宋" w:eastAsia="仿宋" w:cs="仿宋"/>
          <w:sz w:val="24"/>
        </w:rPr>
      </w:pPr>
      <w:r>
        <w:rPr>
          <w:rFonts w:hint="eastAsia" w:ascii="仿宋" w:hAnsi="仿宋" w:eastAsia="仿宋" w:cs="仿宋"/>
          <w:sz w:val="24"/>
        </w:rPr>
        <w:t>供应商全称（加盖CA电子公章）：</w:t>
      </w:r>
    </w:p>
    <w:p w14:paraId="7316539A">
      <w:pPr>
        <w:tabs>
          <w:tab w:val="left" w:pos="4860"/>
        </w:tabs>
        <w:spacing w:line="0" w:lineRule="atLeast"/>
        <w:ind w:right="1559" w:firstLine="480"/>
        <w:jc w:val="center"/>
        <w:rPr>
          <w:rFonts w:hint="eastAsia" w:ascii="仿宋" w:hAnsi="仿宋" w:eastAsia="仿宋" w:cs="仿宋"/>
          <w:sz w:val="24"/>
        </w:rPr>
      </w:pPr>
    </w:p>
    <w:p w14:paraId="3A922C8A">
      <w:pPr>
        <w:tabs>
          <w:tab w:val="left" w:pos="4860"/>
        </w:tabs>
        <w:spacing w:line="0" w:lineRule="atLeast"/>
        <w:ind w:right="1559" w:firstLine="480"/>
        <w:jc w:val="center"/>
        <w:rPr>
          <w:rFonts w:hint="eastAsia" w:ascii="仿宋" w:hAnsi="仿宋" w:eastAsia="仿宋" w:cs="仿宋"/>
          <w:sz w:val="24"/>
        </w:rPr>
      </w:pPr>
      <w:r>
        <w:rPr>
          <w:rFonts w:hint="eastAsia" w:ascii="仿宋" w:hAnsi="仿宋" w:eastAsia="仿宋" w:cs="仿宋"/>
          <w:sz w:val="24"/>
        </w:rPr>
        <w:t xml:space="preserve">                          日  期：</w:t>
      </w:r>
    </w:p>
    <w:p w14:paraId="14C36BB3">
      <w:pPr>
        <w:spacing w:line="560" w:lineRule="exact"/>
        <w:rPr>
          <w:rFonts w:hint="eastAsia" w:ascii="仿宋" w:hAnsi="仿宋" w:eastAsia="仿宋" w:cs="仿宋"/>
          <w:b/>
          <w:sz w:val="32"/>
          <w:szCs w:val="32"/>
        </w:rPr>
      </w:pPr>
    </w:p>
    <w:p w14:paraId="28076308">
      <w:pPr>
        <w:outlineLvl w:val="0"/>
        <w:rPr>
          <w:rFonts w:hint="eastAsia" w:ascii="仿宋" w:hAnsi="仿宋" w:eastAsia="仿宋" w:cs="仿宋"/>
          <w:b/>
          <w:sz w:val="24"/>
          <w:szCs w:val="24"/>
        </w:rPr>
      </w:pPr>
      <w:r>
        <w:rPr>
          <w:rFonts w:hint="eastAsia" w:ascii="仿宋" w:hAnsi="仿宋" w:eastAsia="仿宋" w:cs="仿宋"/>
          <w:b/>
          <w:sz w:val="24"/>
          <w:szCs w:val="24"/>
        </w:rPr>
        <w:br w:type="page" w:clear="all"/>
      </w:r>
      <w:bookmarkEnd w:id="200"/>
      <w:bookmarkEnd w:id="201"/>
      <w:bookmarkEnd w:id="202"/>
      <w:bookmarkStart w:id="223" w:name="_Toc186493289"/>
      <w:bookmarkStart w:id="224" w:name="_Toc120614284"/>
      <w:r>
        <w:rPr>
          <w:rFonts w:hint="eastAsia" w:ascii="仿宋" w:hAnsi="仿宋" w:eastAsia="仿宋" w:cs="仿宋"/>
          <w:b/>
          <w:sz w:val="24"/>
          <w:szCs w:val="24"/>
        </w:rPr>
        <w:t>附件</w:t>
      </w:r>
      <w:bookmarkEnd w:id="223"/>
      <w:r>
        <w:rPr>
          <w:rFonts w:hint="eastAsia" w:ascii="仿宋" w:hAnsi="仿宋" w:eastAsia="仿宋" w:cs="仿宋"/>
          <w:b/>
          <w:sz w:val="24"/>
          <w:szCs w:val="24"/>
        </w:rPr>
        <w:t>10</w:t>
      </w:r>
    </w:p>
    <w:p w14:paraId="3E6EFBCE">
      <w:pPr>
        <w:jc w:val="center"/>
        <w:rPr>
          <w:rFonts w:hint="eastAsia" w:ascii="仿宋" w:hAnsi="仿宋" w:eastAsia="仿宋" w:cs="仿宋"/>
          <w:b/>
          <w:sz w:val="30"/>
          <w:szCs w:val="30"/>
        </w:rPr>
      </w:pPr>
      <w:r>
        <w:rPr>
          <w:rFonts w:hint="eastAsia" w:ascii="仿宋" w:hAnsi="仿宋" w:eastAsia="仿宋" w:cs="仿宋"/>
          <w:b/>
          <w:sz w:val="30"/>
          <w:szCs w:val="30"/>
        </w:rPr>
        <w:t>技术要求响应及偏离表</w:t>
      </w:r>
    </w:p>
    <w:p w14:paraId="42BED5C4">
      <w:pPr>
        <w:ind w:firstLine="480"/>
        <w:jc w:val="center"/>
        <w:rPr>
          <w:rFonts w:hint="eastAsia" w:ascii="仿宋" w:hAnsi="仿宋" w:eastAsia="仿宋" w:cs="仿宋"/>
          <w:sz w:val="24"/>
          <w:szCs w:val="24"/>
        </w:rPr>
      </w:pPr>
      <w:r>
        <w:rPr>
          <w:rFonts w:hint="eastAsia" w:ascii="仿宋" w:hAnsi="仿宋" w:eastAsia="仿宋" w:cs="仿宋"/>
          <w:sz w:val="24"/>
          <w:szCs w:val="24"/>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38417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E1BA86E">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61950D6">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43F0985">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15CFCD2">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275BE566">
            <w:pPr>
              <w:spacing w:line="340" w:lineRule="exact"/>
              <w:jc w:val="center"/>
              <w:rPr>
                <w:rFonts w:hint="eastAsia" w:ascii="仿宋" w:hAnsi="仿宋" w:eastAsia="仿宋" w:cs="仿宋"/>
                <w:sz w:val="24"/>
                <w:szCs w:val="24"/>
              </w:rPr>
            </w:pPr>
          </w:p>
          <w:p w14:paraId="0B7C3D1E">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偏离说明</w:t>
            </w:r>
          </w:p>
        </w:tc>
      </w:tr>
      <w:tr w14:paraId="25E96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19FBDEA">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845896F">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EB62F7C">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E485872">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38761AA8">
            <w:pPr>
              <w:spacing w:line="340" w:lineRule="exact"/>
              <w:jc w:val="left"/>
              <w:rPr>
                <w:rFonts w:hint="eastAsia" w:ascii="仿宋" w:hAnsi="仿宋" w:eastAsia="仿宋" w:cs="仿宋"/>
                <w:sz w:val="24"/>
                <w:szCs w:val="24"/>
              </w:rPr>
            </w:pPr>
          </w:p>
        </w:tc>
      </w:tr>
      <w:tr w14:paraId="631C2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0553BCC7">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87DDCDB">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F8EB11A">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02CE984">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6075A34">
            <w:pPr>
              <w:spacing w:line="340" w:lineRule="exact"/>
              <w:jc w:val="left"/>
              <w:rPr>
                <w:rFonts w:hint="eastAsia" w:ascii="仿宋" w:hAnsi="仿宋" w:eastAsia="仿宋" w:cs="仿宋"/>
                <w:sz w:val="24"/>
                <w:szCs w:val="24"/>
              </w:rPr>
            </w:pPr>
          </w:p>
        </w:tc>
      </w:tr>
      <w:tr w14:paraId="66E9F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A86E2AF">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3B32DDD">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BF34C66">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FC6F272">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E4FCFF6">
            <w:pPr>
              <w:spacing w:line="340" w:lineRule="exact"/>
              <w:jc w:val="left"/>
              <w:rPr>
                <w:rFonts w:hint="eastAsia" w:ascii="仿宋" w:hAnsi="仿宋" w:eastAsia="仿宋" w:cs="仿宋"/>
                <w:sz w:val="24"/>
                <w:szCs w:val="24"/>
              </w:rPr>
            </w:pPr>
          </w:p>
        </w:tc>
      </w:tr>
      <w:tr w14:paraId="18704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84ED378">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431368BA">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AA58202">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7969C9">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3EDBFC71">
            <w:pPr>
              <w:spacing w:line="340" w:lineRule="exact"/>
              <w:jc w:val="left"/>
              <w:rPr>
                <w:rFonts w:hint="eastAsia" w:ascii="仿宋" w:hAnsi="仿宋" w:eastAsia="仿宋" w:cs="仿宋"/>
                <w:sz w:val="24"/>
                <w:szCs w:val="24"/>
              </w:rPr>
            </w:pPr>
          </w:p>
        </w:tc>
      </w:tr>
      <w:tr w14:paraId="53E64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272AEF60">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2300" w:type="dxa"/>
            <w:tcBorders>
              <w:top w:val="single" w:color="auto" w:sz="6" w:space="0"/>
              <w:left w:val="single" w:color="auto" w:sz="6" w:space="0"/>
              <w:bottom w:val="single" w:color="auto" w:sz="6" w:space="0"/>
              <w:right w:val="single" w:color="auto" w:sz="6" w:space="0"/>
            </w:tcBorders>
            <w:vAlign w:val="center"/>
          </w:tcPr>
          <w:p w14:paraId="352DF677">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3F54FCBC">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A709968">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CB9EDD8">
            <w:pPr>
              <w:spacing w:line="340" w:lineRule="exact"/>
              <w:jc w:val="left"/>
              <w:rPr>
                <w:rFonts w:hint="eastAsia" w:ascii="仿宋" w:hAnsi="仿宋" w:eastAsia="仿宋" w:cs="仿宋"/>
                <w:sz w:val="24"/>
                <w:szCs w:val="24"/>
              </w:rPr>
            </w:pPr>
          </w:p>
        </w:tc>
      </w:tr>
    </w:tbl>
    <w:p w14:paraId="434ED1F4">
      <w:pPr>
        <w:spacing w:line="400" w:lineRule="exact"/>
        <w:rPr>
          <w:rFonts w:hint="eastAsia" w:ascii="仿宋" w:hAnsi="仿宋" w:eastAsia="仿宋" w:cs="仿宋"/>
          <w:sz w:val="24"/>
          <w:szCs w:val="24"/>
        </w:rPr>
      </w:pPr>
    </w:p>
    <w:p w14:paraId="41D94D11">
      <w:pPr>
        <w:spacing w:line="400" w:lineRule="exact"/>
        <w:rPr>
          <w:rFonts w:hint="eastAsia" w:ascii="仿宋" w:hAnsi="仿宋" w:eastAsia="仿宋" w:cs="仿宋"/>
          <w:sz w:val="24"/>
          <w:szCs w:val="24"/>
        </w:rPr>
      </w:pPr>
      <w:r>
        <w:rPr>
          <w:rFonts w:hint="eastAsia" w:ascii="仿宋" w:hAnsi="仿宋" w:eastAsia="仿宋" w:cs="仿宋"/>
          <w:sz w:val="24"/>
          <w:szCs w:val="24"/>
        </w:rPr>
        <w:t>备注：</w:t>
      </w:r>
    </w:p>
    <w:p w14:paraId="486E4D55">
      <w:pPr>
        <w:numPr>
          <w:ilvl w:val="0"/>
          <w:numId w:val="4"/>
        </w:numPr>
        <w:spacing w:line="300" w:lineRule="auto"/>
        <w:contextualSpacing/>
        <w:rPr>
          <w:rFonts w:hint="eastAsia" w:ascii="仿宋" w:hAnsi="仿宋" w:eastAsia="仿宋" w:cs="仿宋"/>
          <w:b/>
          <w:bCs/>
          <w:sz w:val="24"/>
        </w:rPr>
      </w:pPr>
      <w:r>
        <w:rPr>
          <w:rFonts w:hint="eastAsia" w:ascii="仿宋" w:hAnsi="仿宋" w:eastAsia="仿宋" w:cs="仿宋"/>
          <w:b/>
          <w:bCs/>
          <w:sz w:val="24"/>
        </w:rPr>
        <w:t>投标人提交的投标文件中与招标文件第四章“采购需求”中的技术要求如有偏离的，应逐条填列在偏离表中。</w:t>
      </w:r>
    </w:p>
    <w:p w14:paraId="4A998CA5">
      <w:pPr>
        <w:spacing w:line="300" w:lineRule="auto"/>
        <w:contextualSpacing/>
        <w:rPr>
          <w:rFonts w:hint="eastAsia" w:ascii="仿宋" w:hAnsi="仿宋" w:eastAsia="仿宋" w:cs="仿宋"/>
          <w:sz w:val="24"/>
        </w:rPr>
      </w:pPr>
      <w:r>
        <w:rPr>
          <w:rFonts w:hint="eastAsia" w:ascii="仿宋" w:hAnsi="仿宋" w:eastAsia="仿宋" w:cs="仿宋"/>
          <w:sz w:val="24"/>
        </w:rPr>
        <w:t>2.“偏离说明”一栏选择“正偏离”、“无偏离”、“负偏离”进行填写。未填写的内容视为完全响应本招标文件要求。正偏离、无偏离的确认和负偏离是否响应招标文件，由评委会认定。</w:t>
      </w:r>
    </w:p>
    <w:p w14:paraId="7FB57CD0">
      <w:pPr>
        <w:pStyle w:val="35"/>
        <w:rPr>
          <w:rFonts w:hint="eastAsia" w:ascii="仿宋" w:hAnsi="仿宋" w:eastAsia="仿宋" w:cs="仿宋"/>
        </w:rPr>
      </w:pPr>
    </w:p>
    <w:p w14:paraId="708246D3">
      <w:pPr>
        <w:spacing w:line="588" w:lineRule="exact"/>
        <w:rPr>
          <w:rFonts w:hint="eastAsia" w:ascii="仿宋" w:hAnsi="仿宋" w:eastAsia="仿宋" w:cs="仿宋"/>
          <w:spacing w:val="6"/>
          <w:sz w:val="30"/>
          <w:szCs w:val="30"/>
        </w:rPr>
      </w:pPr>
    </w:p>
    <w:p w14:paraId="50E3F1E1">
      <w:pPr>
        <w:tabs>
          <w:tab w:val="left" w:pos="4860"/>
        </w:tabs>
        <w:spacing w:line="0" w:lineRule="atLeast"/>
        <w:ind w:right="1559" w:firstLine="624"/>
        <w:jc w:val="center"/>
        <w:rPr>
          <w:rFonts w:hint="eastAsia" w:ascii="仿宋" w:hAnsi="仿宋" w:eastAsia="仿宋" w:cs="仿宋"/>
          <w:sz w:val="24"/>
        </w:rPr>
      </w:pPr>
      <w:r>
        <w:rPr>
          <w:rFonts w:hint="eastAsia" w:ascii="仿宋" w:hAnsi="仿宋" w:eastAsia="仿宋" w:cs="仿宋"/>
          <w:sz w:val="24"/>
        </w:rPr>
        <w:t>供应商全称（加盖CA电子公章）：</w:t>
      </w:r>
    </w:p>
    <w:p w14:paraId="53C32DDD">
      <w:pPr>
        <w:tabs>
          <w:tab w:val="left" w:pos="4860"/>
        </w:tabs>
        <w:spacing w:line="0" w:lineRule="atLeast"/>
        <w:ind w:right="1559" w:firstLine="480"/>
        <w:jc w:val="center"/>
        <w:rPr>
          <w:rFonts w:hint="eastAsia" w:ascii="仿宋" w:hAnsi="仿宋" w:eastAsia="仿宋" w:cs="仿宋"/>
          <w:sz w:val="24"/>
        </w:rPr>
      </w:pPr>
    </w:p>
    <w:p w14:paraId="01C34B0F">
      <w:pPr>
        <w:tabs>
          <w:tab w:val="left" w:pos="4860"/>
        </w:tabs>
        <w:spacing w:line="0" w:lineRule="atLeast"/>
        <w:ind w:right="1559" w:firstLine="480"/>
        <w:jc w:val="center"/>
        <w:rPr>
          <w:rFonts w:hint="eastAsia" w:ascii="仿宋" w:hAnsi="仿宋" w:eastAsia="仿宋" w:cs="仿宋"/>
          <w:sz w:val="24"/>
        </w:rPr>
      </w:pPr>
      <w:r>
        <w:rPr>
          <w:rFonts w:hint="eastAsia" w:ascii="仿宋" w:hAnsi="仿宋" w:eastAsia="仿宋" w:cs="仿宋"/>
          <w:sz w:val="24"/>
        </w:rPr>
        <w:t xml:space="preserve">                          日  期：</w:t>
      </w:r>
    </w:p>
    <w:p w14:paraId="3C2334C6">
      <w:pPr>
        <w:spacing w:line="400" w:lineRule="exact"/>
        <w:rPr>
          <w:rFonts w:hint="eastAsia" w:ascii="仿宋" w:hAnsi="仿宋" w:eastAsia="仿宋" w:cs="仿宋"/>
          <w:sz w:val="24"/>
          <w:szCs w:val="24"/>
        </w:rPr>
      </w:pPr>
    </w:p>
    <w:p w14:paraId="2DAC5DDC">
      <w:pPr>
        <w:outlineLvl w:val="0"/>
        <w:rPr>
          <w:rFonts w:hint="eastAsia" w:ascii="仿宋" w:hAnsi="仿宋" w:eastAsia="仿宋" w:cs="仿宋"/>
          <w:b/>
          <w:sz w:val="24"/>
          <w:szCs w:val="24"/>
        </w:rPr>
      </w:pPr>
      <w:r>
        <w:rPr>
          <w:rFonts w:hint="eastAsia" w:ascii="仿宋" w:hAnsi="仿宋" w:eastAsia="仿宋" w:cs="仿宋"/>
          <w:b/>
          <w:sz w:val="24"/>
          <w:szCs w:val="24"/>
        </w:rPr>
        <w:br w:type="page" w:clear="all"/>
      </w:r>
      <w:bookmarkStart w:id="225" w:name="_Toc186493290"/>
      <w:r>
        <w:rPr>
          <w:rFonts w:hint="eastAsia" w:ascii="仿宋" w:hAnsi="仿宋" w:eastAsia="仿宋" w:cs="仿宋"/>
          <w:b/>
          <w:sz w:val="24"/>
          <w:szCs w:val="24"/>
        </w:rPr>
        <w:t>附件1</w:t>
      </w:r>
      <w:bookmarkEnd w:id="225"/>
      <w:r>
        <w:rPr>
          <w:rFonts w:hint="eastAsia" w:ascii="仿宋" w:hAnsi="仿宋" w:eastAsia="仿宋" w:cs="仿宋"/>
          <w:b/>
          <w:sz w:val="24"/>
          <w:szCs w:val="24"/>
        </w:rPr>
        <w:t>1</w:t>
      </w:r>
    </w:p>
    <w:p w14:paraId="489987CE">
      <w:pPr>
        <w:jc w:val="center"/>
        <w:rPr>
          <w:rFonts w:hint="eastAsia" w:ascii="仿宋" w:hAnsi="仿宋" w:eastAsia="仿宋" w:cs="仿宋"/>
          <w:b/>
          <w:sz w:val="30"/>
          <w:szCs w:val="30"/>
        </w:rPr>
      </w:pPr>
      <w:r>
        <w:rPr>
          <w:rFonts w:hint="eastAsia" w:ascii="仿宋" w:hAnsi="仿宋" w:eastAsia="仿宋" w:cs="仿宋"/>
          <w:b/>
          <w:sz w:val="30"/>
          <w:szCs w:val="30"/>
        </w:rPr>
        <w:t>商务要求响应及偏离表</w:t>
      </w:r>
    </w:p>
    <w:p w14:paraId="44FBBD3B">
      <w:pPr>
        <w:ind w:firstLine="480"/>
        <w:jc w:val="center"/>
        <w:rPr>
          <w:rFonts w:hint="eastAsia" w:ascii="仿宋" w:hAnsi="仿宋" w:eastAsia="仿宋" w:cs="仿宋"/>
          <w:sz w:val="24"/>
          <w:szCs w:val="24"/>
        </w:rPr>
      </w:pPr>
      <w:r>
        <w:rPr>
          <w:rFonts w:hint="eastAsia" w:ascii="仿宋" w:hAnsi="仿宋" w:eastAsia="仿宋" w:cs="仿宋"/>
          <w:sz w:val="24"/>
          <w:szCs w:val="24"/>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2300"/>
        <w:gridCol w:w="2008"/>
        <w:gridCol w:w="2591"/>
        <w:gridCol w:w="1427"/>
      </w:tblGrid>
      <w:tr w14:paraId="08358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89760A5">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263561C">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7EB448B">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7B15035">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385EAE36">
            <w:pPr>
              <w:spacing w:line="340" w:lineRule="exact"/>
              <w:jc w:val="center"/>
              <w:rPr>
                <w:rFonts w:hint="eastAsia" w:ascii="仿宋" w:hAnsi="仿宋" w:eastAsia="仿宋" w:cs="仿宋"/>
                <w:sz w:val="24"/>
                <w:szCs w:val="24"/>
              </w:rPr>
            </w:pPr>
          </w:p>
          <w:p w14:paraId="234E26DC">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偏离说明</w:t>
            </w:r>
          </w:p>
        </w:tc>
      </w:tr>
      <w:tr w14:paraId="6ACF8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460" w:type="pct"/>
            <w:tcBorders>
              <w:top w:val="single" w:color="auto" w:sz="6" w:space="0"/>
              <w:left w:val="single" w:color="auto" w:sz="12" w:space="0"/>
              <w:bottom w:val="single" w:color="auto" w:sz="6" w:space="0"/>
              <w:right w:val="single" w:color="auto" w:sz="6" w:space="0"/>
            </w:tcBorders>
          </w:tcPr>
          <w:p w14:paraId="086A999E">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C93E743">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11BDD44">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5045125">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1A9D14F">
            <w:pPr>
              <w:spacing w:line="340" w:lineRule="exact"/>
              <w:jc w:val="left"/>
              <w:rPr>
                <w:rFonts w:hint="eastAsia" w:ascii="仿宋" w:hAnsi="仿宋" w:eastAsia="仿宋" w:cs="仿宋"/>
                <w:sz w:val="24"/>
                <w:szCs w:val="24"/>
              </w:rPr>
            </w:pPr>
          </w:p>
        </w:tc>
      </w:tr>
      <w:tr w14:paraId="3DB86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68E6ED4">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13E8FEA">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823AFC5">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C1ACF09">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2B858E7F">
            <w:pPr>
              <w:spacing w:line="340" w:lineRule="exact"/>
              <w:jc w:val="left"/>
              <w:rPr>
                <w:rFonts w:hint="eastAsia" w:ascii="仿宋" w:hAnsi="仿宋" w:eastAsia="仿宋" w:cs="仿宋"/>
                <w:sz w:val="24"/>
                <w:szCs w:val="24"/>
              </w:rPr>
            </w:pPr>
          </w:p>
        </w:tc>
      </w:tr>
      <w:tr w14:paraId="208EC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71F17AA">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EDBCB39">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11003DA">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E709A3D">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0D9DA0B">
            <w:pPr>
              <w:spacing w:line="340" w:lineRule="exact"/>
              <w:jc w:val="left"/>
              <w:rPr>
                <w:rFonts w:hint="eastAsia" w:ascii="仿宋" w:hAnsi="仿宋" w:eastAsia="仿宋" w:cs="仿宋"/>
                <w:sz w:val="24"/>
                <w:szCs w:val="24"/>
              </w:rPr>
            </w:pPr>
          </w:p>
        </w:tc>
      </w:tr>
      <w:tr w14:paraId="23EFF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08ACAE9">
            <w:pPr>
              <w:spacing w:line="3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7972031">
            <w:pPr>
              <w:spacing w:line="340" w:lineRule="exact"/>
              <w:jc w:val="left"/>
              <w:rPr>
                <w:rFonts w:hint="eastAsia" w:ascii="仿宋" w:hAnsi="仿宋" w:eastAsia="仿宋" w:cs="仿宋"/>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BBABF95">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654916B">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55B8AFE">
            <w:pPr>
              <w:spacing w:line="340" w:lineRule="exact"/>
              <w:jc w:val="left"/>
              <w:rPr>
                <w:rFonts w:hint="eastAsia" w:ascii="仿宋" w:hAnsi="仿宋" w:eastAsia="仿宋" w:cs="仿宋"/>
                <w:sz w:val="24"/>
                <w:szCs w:val="24"/>
              </w:rPr>
            </w:pPr>
          </w:p>
        </w:tc>
      </w:tr>
      <w:tr w14:paraId="13F09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vAlign w:val="center"/>
          </w:tcPr>
          <w:p w14:paraId="4747B1A9">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2300" w:type="dxa"/>
            <w:tcBorders>
              <w:top w:val="single" w:color="auto" w:sz="6" w:space="0"/>
              <w:left w:val="single" w:color="auto" w:sz="6" w:space="0"/>
              <w:bottom w:val="single" w:color="auto" w:sz="6" w:space="0"/>
              <w:right w:val="single" w:color="auto" w:sz="6" w:space="0"/>
            </w:tcBorders>
            <w:vAlign w:val="center"/>
          </w:tcPr>
          <w:p w14:paraId="24777D62">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1095" w:type="pct"/>
            <w:tcBorders>
              <w:top w:val="single" w:color="auto" w:sz="6" w:space="0"/>
              <w:left w:val="single" w:color="auto" w:sz="6" w:space="0"/>
              <w:bottom w:val="single" w:color="auto" w:sz="6" w:space="0"/>
              <w:right w:val="single" w:color="auto" w:sz="6" w:space="0"/>
            </w:tcBorders>
            <w:vAlign w:val="center"/>
          </w:tcPr>
          <w:p w14:paraId="1711DC0A">
            <w:pPr>
              <w:spacing w:line="340" w:lineRule="exact"/>
              <w:jc w:val="left"/>
              <w:rPr>
                <w:rFonts w:hint="eastAsia" w:ascii="仿宋" w:hAnsi="仿宋" w:eastAsia="仿宋" w:cs="仿宋"/>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3333165">
            <w:pPr>
              <w:spacing w:line="340" w:lineRule="exact"/>
              <w:jc w:val="left"/>
              <w:rPr>
                <w:rFonts w:hint="eastAsia" w:ascii="仿宋" w:hAnsi="仿宋" w:eastAsia="仿宋" w:cs="仿宋"/>
                <w:sz w:val="24"/>
                <w:szCs w:val="24"/>
              </w:rPr>
            </w:pPr>
          </w:p>
        </w:tc>
        <w:tc>
          <w:tcPr>
            <w:tcW w:w="778" w:type="pct"/>
            <w:tcBorders>
              <w:top w:val="single" w:color="auto" w:sz="6" w:space="0"/>
              <w:left w:val="single" w:color="auto" w:sz="6" w:space="0"/>
              <w:bottom w:val="single" w:color="auto" w:sz="6" w:space="0"/>
              <w:right w:val="single" w:color="auto" w:sz="12" w:space="0"/>
            </w:tcBorders>
          </w:tcPr>
          <w:p w14:paraId="7DFAA749">
            <w:pPr>
              <w:spacing w:line="340" w:lineRule="exact"/>
              <w:jc w:val="left"/>
              <w:rPr>
                <w:rFonts w:hint="eastAsia" w:ascii="仿宋" w:hAnsi="仿宋" w:eastAsia="仿宋" w:cs="仿宋"/>
                <w:sz w:val="24"/>
                <w:szCs w:val="24"/>
              </w:rPr>
            </w:pPr>
          </w:p>
        </w:tc>
      </w:tr>
    </w:tbl>
    <w:p w14:paraId="0F4B28B3">
      <w:pPr>
        <w:spacing w:line="400" w:lineRule="exact"/>
        <w:rPr>
          <w:rFonts w:hint="eastAsia" w:ascii="仿宋" w:hAnsi="仿宋" w:eastAsia="仿宋" w:cs="仿宋"/>
          <w:sz w:val="24"/>
          <w:szCs w:val="24"/>
        </w:rPr>
      </w:pPr>
    </w:p>
    <w:p w14:paraId="51651E76">
      <w:pPr>
        <w:spacing w:line="400" w:lineRule="exact"/>
        <w:rPr>
          <w:rFonts w:hint="eastAsia" w:ascii="仿宋" w:hAnsi="仿宋" w:eastAsia="仿宋" w:cs="仿宋"/>
          <w:sz w:val="24"/>
          <w:szCs w:val="24"/>
        </w:rPr>
      </w:pPr>
      <w:r>
        <w:rPr>
          <w:rFonts w:hint="eastAsia" w:ascii="仿宋" w:hAnsi="仿宋" w:eastAsia="仿宋" w:cs="仿宋"/>
          <w:sz w:val="24"/>
          <w:szCs w:val="24"/>
        </w:rPr>
        <w:t>备注：</w:t>
      </w:r>
    </w:p>
    <w:p w14:paraId="2F4E80FD">
      <w:pPr>
        <w:numPr>
          <w:ilvl w:val="0"/>
          <w:numId w:val="5"/>
        </w:numPr>
        <w:spacing w:line="400" w:lineRule="exact"/>
        <w:rPr>
          <w:rFonts w:hint="eastAsia" w:ascii="仿宋" w:hAnsi="仿宋" w:eastAsia="仿宋" w:cs="仿宋"/>
          <w:sz w:val="24"/>
          <w:szCs w:val="24"/>
        </w:rPr>
      </w:pPr>
      <w:r>
        <w:rPr>
          <w:rFonts w:hint="eastAsia" w:ascii="仿宋" w:hAnsi="仿宋" w:eastAsia="仿宋" w:cs="仿宋"/>
          <w:sz w:val="24"/>
          <w:szCs w:val="24"/>
        </w:rPr>
        <w:t xml:space="preserve">投标人提交的投标文件中与招标文件第四章“采购需求”中的商务要求如有偏离的，应逐条填列在偏离表中。 </w:t>
      </w:r>
    </w:p>
    <w:p w14:paraId="71B747DE">
      <w:pPr>
        <w:spacing w:line="400" w:lineRule="exact"/>
        <w:rPr>
          <w:rFonts w:hint="eastAsia" w:ascii="仿宋" w:hAnsi="仿宋" w:eastAsia="仿宋" w:cs="仿宋"/>
          <w:sz w:val="24"/>
          <w:szCs w:val="24"/>
        </w:rPr>
      </w:pPr>
      <w:r>
        <w:rPr>
          <w:rFonts w:hint="eastAsia" w:ascii="仿宋" w:hAnsi="仿宋" w:eastAsia="仿宋" w:cs="仿宋"/>
          <w:sz w:val="24"/>
          <w:szCs w:val="24"/>
        </w:rPr>
        <w:t>2.“偏离说明”一栏选择“正偏离”、“无偏离”、“负偏离”进行填写。未填写的内容视为完全响应本招标文件要求。正偏离、无偏离的确认和负偏离是否响应招标文件，由评委会认定。</w:t>
      </w:r>
    </w:p>
    <w:p w14:paraId="1F4D0750">
      <w:pPr>
        <w:spacing w:line="400" w:lineRule="exact"/>
        <w:rPr>
          <w:rFonts w:hint="eastAsia" w:ascii="仿宋" w:hAnsi="仿宋" w:eastAsia="仿宋" w:cs="仿宋"/>
          <w:sz w:val="24"/>
          <w:szCs w:val="24"/>
        </w:rPr>
      </w:pPr>
    </w:p>
    <w:p w14:paraId="691E3EAF">
      <w:pPr>
        <w:rPr>
          <w:rFonts w:hint="eastAsia" w:ascii="仿宋" w:hAnsi="仿宋" w:eastAsia="仿宋" w:cs="仿宋"/>
        </w:rPr>
      </w:pPr>
    </w:p>
    <w:p w14:paraId="4857A95F">
      <w:pPr>
        <w:spacing w:line="588" w:lineRule="exact"/>
        <w:ind w:firstLine="624"/>
        <w:rPr>
          <w:rFonts w:hint="eastAsia" w:ascii="仿宋" w:hAnsi="仿宋" w:eastAsia="仿宋" w:cs="仿宋"/>
          <w:spacing w:val="6"/>
          <w:sz w:val="30"/>
          <w:szCs w:val="30"/>
        </w:rPr>
      </w:pPr>
    </w:p>
    <w:p w14:paraId="66098DA2">
      <w:pPr>
        <w:tabs>
          <w:tab w:val="left" w:pos="4860"/>
        </w:tabs>
        <w:spacing w:line="0" w:lineRule="atLeast"/>
        <w:ind w:right="1559" w:firstLine="624"/>
        <w:jc w:val="center"/>
        <w:rPr>
          <w:rFonts w:hint="eastAsia" w:ascii="仿宋" w:hAnsi="仿宋" w:eastAsia="仿宋" w:cs="仿宋"/>
          <w:sz w:val="24"/>
        </w:rPr>
      </w:pPr>
      <w:r>
        <w:rPr>
          <w:rFonts w:hint="eastAsia" w:ascii="仿宋" w:hAnsi="仿宋" w:eastAsia="仿宋" w:cs="仿宋"/>
          <w:sz w:val="24"/>
        </w:rPr>
        <w:t>供应商全称（加盖CA电子公章）：</w:t>
      </w:r>
    </w:p>
    <w:p w14:paraId="178B5DD0">
      <w:pPr>
        <w:tabs>
          <w:tab w:val="left" w:pos="4860"/>
        </w:tabs>
        <w:spacing w:line="0" w:lineRule="atLeast"/>
        <w:ind w:right="1559" w:firstLine="480"/>
        <w:jc w:val="center"/>
        <w:rPr>
          <w:rFonts w:hint="eastAsia" w:ascii="仿宋" w:hAnsi="仿宋" w:eastAsia="仿宋" w:cs="仿宋"/>
          <w:sz w:val="24"/>
        </w:rPr>
      </w:pPr>
    </w:p>
    <w:p w14:paraId="589AC5DC">
      <w:pPr>
        <w:tabs>
          <w:tab w:val="left" w:pos="4860"/>
        </w:tabs>
        <w:spacing w:line="0" w:lineRule="atLeast"/>
        <w:ind w:right="1559" w:firstLine="480"/>
        <w:jc w:val="center"/>
        <w:rPr>
          <w:rFonts w:hint="eastAsia" w:ascii="仿宋" w:hAnsi="仿宋" w:eastAsia="仿宋" w:cs="仿宋"/>
          <w:sz w:val="24"/>
        </w:rPr>
      </w:pPr>
      <w:r>
        <w:rPr>
          <w:rFonts w:hint="eastAsia" w:ascii="仿宋" w:hAnsi="仿宋" w:eastAsia="仿宋" w:cs="仿宋"/>
          <w:sz w:val="24"/>
        </w:rPr>
        <w:t xml:space="preserve">                          日  期：</w:t>
      </w:r>
    </w:p>
    <w:p w14:paraId="44A565D5">
      <w:pPr>
        <w:rPr>
          <w:rFonts w:hint="eastAsia" w:ascii="仿宋" w:hAnsi="仿宋" w:eastAsia="仿宋" w:cs="仿宋"/>
        </w:rPr>
      </w:pPr>
    </w:p>
    <w:p w14:paraId="18407F36">
      <w:pPr>
        <w:rPr>
          <w:rFonts w:hint="eastAsia" w:ascii="仿宋" w:hAnsi="仿宋" w:eastAsia="仿宋" w:cs="仿宋"/>
        </w:rPr>
      </w:pPr>
    </w:p>
    <w:p w14:paraId="7D5D047E">
      <w:pPr>
        <w:jc w:val="center"/>
        <w:rPr>
          <w:rFonts w:hint="eastAsia" w:ascii="仿宋" w:hAnsi="仿宋" w:eastAsia="仿宋" w:cs="仿宋"/>
          <w:b/>
          <w:sz w:val="24"/>
          <w:szCs w:val="24"/>
        </w:rPr>
      </w:pPr>
    </w:p>
    <w:p w14:paraId="748259B8">
      <w:pPr>
        <w:jc w:val="left"/>
        <w:rPr>
          <w:rFonts w:hint="eastAsia" w:ascii="仿宋" w:hAnsi="仿宋" w:eastAsia="仿宋" w:cs="仿宋"/>
          <w:b/>
          <w:sz w:val="32"/>
          <w:szCs w:val="32"/>
        </w:rPr>
      </w:pPr>
    </w:p>
    <w:p w14:paraId="47B8E31A">
      <w:pPr>
        <w:rPr>
          <w:rFonts w:hint="eastAsia" w:ascii="仿宋" w:hAnsi="仿宋" w:eastAsia="仿宋" w:cs="仿宋"/>
          <w:b/>
          <w:sz w:val="24"/>
          <w:szCs w:val="24"/>
        </w:rPr>
      </w:pPr>
    </w:p>
    <w:p w14:paraId="1AED2EA5">
      <w:pPr>
        <w:rPr>
          <w:rFonts w:hint="eastAsia" w:ascii="仿宋" w:hAnsi="仿宋" w:eastAsia="仿宋" w:cs="仿宋"/>
          <w:b/>
          <w:sz w:val="24"/>
          <w:szCs w:val="24"/>
        </w:rPr>
      </w:pPr>
    </w:p>
    <w:p w14:paraId="18232D63">
      <w:pPr>
        <w:rPr>
          <w:rFonts w:hint="eastAsia" w:ascii="仿宋" w:hAnsi="仿宋" w:eastAsia="仿宋" w:cs="仿宋"/>
          <w:b/>
          <w:sz w:val="24"/>
          <w:szCs w:val="24"/>
        </w:rPr>
      </w:pPr>
    </w:p>
    <w:p w14:paraId="1890E058">
      <w:pPr>
        <w:pStyle w:val="2"/>
        <w:rPr>
          <w:rFonts w:hint="eastAsia" w:ascii="仿宋" w:hAnsi="仿宋" w:eastAsia="仿宋" w:cs="仿宋"/>
          <w:b/>
          <w:sz w:val="24"/>
          <w:szCs w:val="24"/>
        </w:rPr>
      </w:pPr>
    </w:p>
    <w:p w14:paraId="08FB5E59">
      <w:pPr>
        <w:rPr>
          <w:rFonts w:hint="eastAsia" w:ascii="仿宋" w:hAnsi="仿宋" w:eastAsia="仿宋" w:cs="仿宋"/>
          <w:b/>
          <w:sz w:val="24"/>
          <w:szCs w:val="24"/>
        </w:rPr>
      </w:pPr>
      <w:bookmarkStart w:id="226" w:name="_Toc186493291"/>
      <w:r>
        <w:rPr>
          <w:rFonts w:hint="eastAsia" w:ascii="仿宋" w:hAnsi="仿宋" w:eastAsia="仿宋" w:cs="仿宋"/>
          <w:b/>
          <w:sz w:val="24"/>
          <w:szCs w:val="24"/>
        </w:rPr>
        <w:br w:type="page"/>
      </w:r>
    </w:p>
    <w:p w14:paraId="2E5F2FA9">
      <w:pPr>
        <w:outlineLvl w:val="0"/>
        <w:rPr>
          <w:rFonts w:hint="eastAsia" w:ascii="仿宋" w:hAnsi="仿宋" w:eastAsia="仿宋" w:cs="仿宋"/>
          <w:b/>
          <w:sz w:val="24"/>
          <w:szCs w:val="24"/>
        </w:rPr>
      </w:pPr>
      <w:r>
        <w:rPr>
          <w:rFonts w:hint="eastAsia" w:ascii="仿宋" w:hAnsi="仿宋" w:eastAsia="仿宋" w:cs="仿宋"/>
          <w:b/>
          <w:sz w:val="24"/>
          <w:szCs w:val="24"/>
        </w:rPr>
        <w:t>附件1</w:t>
      </w:r>
      <w:bookmarkEnd w:id="226"/>
      <w:r>
        <w:rPr>
          <w:rFonts w:hint="eastAsia" w:ascii="仿宋" w:hAnsi="仿宋" w:eastAsia="仿宋" w:cs="仿宋"/>
          <w:b/>
          <w:sz w:val="24"/>
          <w:szCs w:val="24"/>
        </w:rPr>
        <w:t xml:space="preserve">2      </w:t>
      </w:r>
    </w:p>
    <w:p w14:paraId="14B42A22">
      <w:pPr>
        <w:rPr>
          <w:rFonts w:hint="eastAsia" w:ascii="仿宋" w:hAnsi="仿宋" w:eastAsia="仿宋" w:cs="仿宋"/>
          <w:b/>
          <w:sz w:val="30"/>
          <w:szCs w:val="30"/>
        </w:rPr>
      </w:pPr>
      <w:r>
        <w:rPr>
          <w:rFonts w:hint="eastAsia" w:ascii="仿宋" w:hAnsi="仿宋" w:eastAsia="仿宋" w:cs="仿宋"/>
          <w:b/>
          <w:sz w:val="30"/>
          <w:szCs w:val="30"/>
        </w:rPr>
        <w:t xml:space="preserve"> 实质性要求响应及偏离表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047"/>
        <w:gridCol w:w="1796"/>
      </w:tblGrid>
      <w:tr w14:paraId="5E58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vAlign w:val="center"/>
          </w:tcPr>
          <w:p w14:paraId="5EC1159E">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3609" w:type="dxa"/>
            <w:vAlign w:val="center"/>
          </w:tcPr>
          <w:p w14:paraId="3067423D">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招标文件技术要求和商务要求中的实质性要求</w:t>
            </w:r>
            <w:r>
              <w:rPr>
                <w:rFonts w:hint="eastAsia" w:ascii="仿宋" w:hAnsi="仿宋" w:eastAsia="仿宋" w:cs="仿宋"/>
                <w:i/>
                <w:sz w:val="24"/>
                <w:szCs w:val="24"/>
                <w:u w:val="single"/>
              </w:rPr>
              <w:t>（加斜体下划线内容）</w:t>
            </w:r>
          </w:p>
        </w:tc>
        <w:tc>
          <w:tcPr>
            <w:tcW w:w="3047" w:type="dxa"/>
            <w:vAlign w:val="center"/>
          </w:tcPr>
          <w:p w14:paraId="0464F0F6">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投标响应情况</w:t>
            </w:r>
          </w:p>
        </w:tc>
        <w:tc>
          <w:tcPr>
            <w:tcW w:w="1796" w:type="dxa"/>
            <w:vAlign w:val="center"/>
          </w:tcPr>
          <w:p w14:paraId="2F7CB5D4">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正偏离、无偏离、负偏离</w:t>
            </w:r>
          </w:p>
        </w:tc>
      </w:tr>
      <w:tr w14:paraId="3D45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7FE0A089">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609" w:type="dxa"/>
          </w:tcPr>
          <w:p w14:paraId="677BB203">
            <w:pPr>
              <w:spacing w:line="400" w:lineRule="exact"/>
              <w:jc w:val="center"/>
              <w:rPr>
                <w:rFonts w:hint="eastAsia" w:ascii="仿宋" w:hAnsi="仿宋" w:eastAsia="仿宋" w:cs="仿宋"/>
                <w:sz w:val="24"/>
                <w:szCs w:val="24"/>
              </w:rPr>
            </w:pPr>
          </w:p>
        </w:tc>
        <w:tc>
          <w:tcPr>
            <w:tcW w:w="3047" w:type="dxa"/>
          </w:tcPr>
          <w:p w14:paraId="0F68FBE1">
            <w:pPr>
              <w:spacing w:line="400" w:lineRule="exact"/>
              <w:jc w:val="center"/>
              <w:rPr>
                <w:rFonts w:hint="eastAsia" w:ascii="仿宋" w:hAnsi="仿宋" w:eastAsia="仿宋" w:cs="仿宋"/>
                <w:sz w:val="24"/>
                <w:szCs w:val="24"/>
              </w:rPr>
            </w:pPr>
          </w:p>
        </w:tc>
        <w:tc>
          <w:tcPr>
            <w:tcW w:w="1796" w:type="dxa"/>
          </w:tcPr>
          <w:p w14:paraId="49939199">
            <w:pPr>
              <w:spacing w:line="400" w:lineRule="exact"/>
              <w:jc w:val="center"/>
              <w:rPr>
                <w:rFonts w:hint="eastAsia" w:ascii="仿宋" w:hAnsi="仿宋" w:eastAsia="仿宋" w:cs="仿宋"/>
                <w:sz w:val="24"/>
                <w:szCs w:val="24"/>
              </w:rPr>
            </w:pPr>
          </w:p>
        </w:tc>
      </w:tr>
      <w:tr w14:paraId="70CA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tcPr>
          <w:p w14:paraId="2BFAABA2">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609" w:type="dxa"/>
          </w:tcPr>
          <w:p w14:paraId="4A972F5B">
            <w:pPr>
              <w:spacing w:line="400" w:lineRule="exact"/>
              <w:jc w:val="center"/>
              <w:rPr>
                <w:rFonts w:hint="eastAsia" w:ascii="仿宋" w:hAnsi="仿宋" w:eastAsia="仿宋" w:cs="仿宋"/>
                <w:sz w:val="24"/>
                <w:szCs w:val="24"/>
              </w:rPr>
            </w:pPr>
          </w:p>
        </w:tc>
        <w:tc>
          <w:tcPr>
            <w:tcW w:w="3047" w:type="dxa"/>
          </w:tcPr>
          <w:p w14:paraId="2500972B">
            <w:pPr>
              <w:spacing w:line="400" w:lineRule="exact"/>
              <w:jc w:val="center"/>
              <w:rPr>
                <w:rFonts w:hint="eastAsia" w:ascii="仿宋" w:hAnsi="仿宋" w:eastAsia="仿宋" w:cs="仿宋"/>
                <w:sz w:val="24"/>
                <w:szCs w:val="24"/>
              </w:rPr>
            </w:pPr>
          </w:p>
        </w:tc>
        <w:tc>
          <w:tcPr>
            <w:tcW w:w="1796" w:type="dxa"/>
          </w:tcPr>
          <w:p w14:paraId="22B40FAF">
            <w:pPr>
              <w:spacing w:line="400" w:lineRule="exact"/>
              <w:jc w:val="center"/>
              <w:rPr>
                <w:rFonts w:hint="eastAsia" w:ascii="仿宋" w:hAnsi="仿宋" w:eastAsia="仿宋" w:cs="仿宋"/>
                <w:sz w:val="24"/>
                <w:szCs w:val="24"/>
              </w:rPr>
            </w:pPr>
          </w:p>
        </w:tc>
      </w:tr>
      <w:tr w14:paraId="4CA0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vAlign w:val="center"/>
          </w:tcPr>
          <w:p w14:paraId="22181EC3">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3609" w:type="dxa"/>
            <w:vAlign w:val="center"/>
          </w:tcPr>
          <w:p w14:paraId="1260EE58">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3047" w:type="dxa"/>
          </w:tcPr>
          <w:p w14:paraId="2BA44EBB">
            <w:pPr>
              <w:spacing w:line="400" w:lineRule="exact"/>
              <w:jc w:val="center"/>
              <w:rPr>
                <w:rFonts w:hint="eastAsia" w:ascii="仿宋" w:hAnsi="仿宋" w:eastAsia="仿宋" w:cs="仿宋"/>
                <w:sz w:val="24"/>
                <w:szCs w:val="24"/>
              </w:rPr>
            </w:pPr>
          </w:p>
        </w:tc>
        <w:tc>
          <w:tcPr>
            <w:tcW w:w="1796" w:type="dxa"/>
          </w:tcPr>
          <w:p w14:paraId="596D2E94">
            <w:pPr>
              <w:spacing w:line="400" w:lineRule="exact"/>
              <w:jc w:val="center"/>
              <w:rPr>
                <w:rFonts w:hint="eastAsia" w:ascii="仿宋" w:hAnsi="仿宋" w:eastAsia="仿宋" w:cs="仿宋"/>
                <w:sz w:val="24"/>
                <w:szCs w:val="24"/>
              </w:rPr>
            </w:pPr>
          </w:p>
        </w:tc>
      </w:tr>
    </w:tbl>
    <w:p w14:paraId="4F993DD5">
      <w:pPr>
        <w:spacing w:line="400" w:lineRule="exact"/>
        <w:rPr>
          <w:rFonts w:hint="eastAsia" w:ascii="仿宋" w:hAnsi="仿宋" w:eastAsia="仿宋" w:cs="仿宋"/>
          <w:sz w:val="24"/>
          <w:szCs w:val="24"/>
        </w:rPr>
      </w:pPr>
    </w:p>
    <w:p w14:paraId="44E5E500">
      <w:pPr>
        <w:spacing w:line="400" w:lineRule="exact"/>
        <w:rPr>
          <w:rFonts w:hint="eastAsia" w:ascii="仿宋" w:hAnsi="仿宋" w:eastAsia="仿宋" w:cs="仿宋"/>
          <w:sz w:val="24"/>
        </w:rPr>
      </w:pPr>
      <w:r>
        <w:rPr>
          <w:rFonts w:hint="eastAsia" w:ascii="仿宋" w:hAnsi="仿宋" w:eastAsia="仿宋" w:cs="仿宋"/>
          <w:sz w:val="24"/>
          <w:szCs w:val="24"/>
        </w:rPr>
        <w:t>备注：</w:t>
      </w:r>
      <w:r>
        <w:rPr>
          <w:rFonts w:hint="eastAsia" w:ascii="仿宋" w:hAnsi="仿宋" w:eastAsia="仿宋" w:cs="仿宋"/>
          <w:sz w:val="24"/>
        </w:rPr>
        <w:t>供应商必须对技术要求和商务要求中的实质性要求（加斜体下划线内容）做出明确响应，未填写的内容视为完全响应本采购文件实质性要求。</w:t>
      </w:r>
    </w:p>
    <w:p w14:paraId="428F1BEC">
      <w:pPr>
        <w:spacing w:line="400" w:lineRule="exact"/>
        <w:rPr>
          <w:rFonts w:hint="eastAsia" w:ascii="仿宋" w:hAnsi="仿宋" w:eastAsia="仿宋" w:cs="仿宋"/>
          <w:sz w:val="24"/>
          <w:szCs w:val="24"/>
        </w:rPr>
      </w:pPr>
    </w:p>
    <w:p w14:paraId="072F0E4B">
      <w:pPr>
        <w:spacing w:line="588" w:lineRule="exact"/>
        <w:ind w:firstLine="624"/>
        <w:rPr>
          <w:rFonts w:hint="eastAsia" w:ascii="仿宋" w:hAnsi="仿宋" w:eastAsia="仿宋" w:cs="仿宋"/>
          <w:spacing w:val="6"/>
          <w:sz w:val="30"/>
          <w:szCs w:val="30"/>
        </w:rPr>
      </w:pPr>
    </w:p>
    <w:p w14:paraId="334419C1">
      <w:pPr>
        <w:tabs>
          <w:tab w:val="left" w:pos="4860"/>
        </w:tabs>
        <w:spacing w:line="0" w:lineRule="atLeast"/>
        <w:ind w:right="1559" w:firstLine="624"/>
        <w:jc w:val="center"/>
        <w:rPr>
          <w:rFonts w:hint="eastAsia" w:ascii="仿宋" w:hAnsi="仿宋" w:eastAsia="仿宋" w:cs="仿宋"/>
          <w:sz w:val="24"/>
        </w:rPr>
      </w:pPr>
      <w:r>
        <w:rPr>
          <w:rFonts w:hint="eastAsia" w:ascii="仿宋" w:hAnsi="仿宋" w:eastAsia="仿宋" w:cs="仿宋"/>
          <w:sz w:val="24"/>
        </w:rPr>
        <w:t>供应商全称（加盖CA电子公章）：</w:t>
      </w:r>
    </w:p>
    <w:p w14:paraId="569CD807">
      <w:pPr>
        <w:tabs>
          <w:tab w:val="left" w:pos="4860"/>
        </w:tabs>
        <w:spacing w:line="0" w:lineRule="atLeast"/>
        <w:ind w:right="1559" w:firstLine="480"/>
        <w:jc w:val="center"/>
        <w:rPr>
          <w:rFonts w:hint="eastAsia" w:ascii="仿宋" w:hAnsi="仿宋" w:eastAsia="仿宋" w:cs="仿宋"/>
          <w:sz w:val="24"/>
        </w:rPr>
      </w:pPr>
    </w:p>
    <w:p w14:paraId="5A18795B">
      <w:pPr>
        <w:tabs>
          <w:tab w:val="left" w:pos="4860"/>
        </w:tabs>
        <w:spacing w:line="0" w:lineRule="atLeast"/>
        <w:ind w:right="1559" w:firstLine="480"/>
        <w:jc w:val="center"/>
        <w:rPr>
          <w:rFonts w:hint="eastAsia" w:ascii="仿宋" w:hAnsi="仿宋" w:eastAsia="仿宋" w:cs="仿宋"/>
          <w:sz w:val="24"/>
        </w:rPr>
      </w:pPr>
      <w:r>
        <w:rPr>
          <w:rFonts w:hint="eastAsia" w:ascii="仿宋" w:hAnsi="仿宋" w:eastAsia="仿宋" w:cs="仿宋"/>
          <w:sz w:val="24"/>
        </w:rPr>
        <w:t xml:space="preserve">                          日  期：</w:t>
      </w:r>
    </w:p>
    <w:p w14:paraId="77F478B7">
      <w:pPr>
        <w:jc w:val="center"/>
        <w:rPr>
          <w:rFonts w:hint="eastAsia" w:ascii="仿宋" w:hAnsi="仿宋" w:eastAsia="仿宋" w:cs="仿宋"/>
          <w:b/>
          <w:sz w:val="32"/>
          <w:szCs w:val="32"/>
        </w:rPr>
      </w:pPr>
    </w:p>
    <w:p w14:paraId="78C7EA74">
      <w:pPr>
        <w:spacing w:line="560" w:lineRule="exact"/>
        <w:jc w:val="left"/>
        <w:rPr>
          <w:rFonts w:hint="eastAsia" w:ascii="仿宋" w:hAnsi="仿宋" w:eastAsia="仿宋" w:cs="仿宋"/>
          <w:b/>
          <w:sz w:val="24"/>
          <w:szCs w:val="24"/>
        </w:rPr>
      </w:pPr>
    </w:p>
    <w:p w14:paraId="287A6C96">
      <w:pPr>
        <w:pStyle w:val="35"/>
        <w:ind w:firstLine="482"/>
        <w:rPr>
          <w:rFonts w:hint="eastAsia" w:ascii="仿宋" w:hAnsi="仿宋" w:eastAsia="仿宋" w:cs="仿宋"/>
          <w:b/>
          <w:sz w:val="24"/>
          <w:szCs w:val="24"/>
        </w:rPr>
      </w:pPr>
    </w:p>
    <w:p w14:paraId="7BA4877D">
      <w:pPr>
        <w:rPr>
          <w:rFonts w:hint="eastAsia" w:ascii="仿宋" w:hAnsi="仿宋" w:eastAsia="仿宋" w:cs="仿宋"/>
          <w:b/>
          <w:sz w:val="24"/>
          <w:szCs w:val="24"/>
        </w:rPr>
      </w:pPr>
    </w:p>
    <w:p w14:paraId="71EEADCF">
      <w:pPr>
        <w:pStyle w:val="35"/>
        <w:ind w:firstLine="482"/>
        <w:rPr>
          <w:rFonts w:hint="eastAsia" w:ascii="仿宋" w:hAnsi="仿宋" w:eastAsia="仿宋" w:cs="仿宋"/>
          <w:b/>
          <w:sz w:val="24"/>
          <w:szCs w:val="24"/>
        </w:rPr>
      </w:pPr>
    </w:p>
    <w:p w14:paraId="6C8ED183">
      <w:pPr>
        <w:rPr>
          <w:rFonts w:hint="eastAsia" w:ascii="仿宋" w:hAnsi="仿宋" w:eastAsia="仿宋" w:cs="仿宋"/>
          <w:b/>
          <w:sz w:val="24"/>
          <w:szCs w:val="24"/>
        </w:rPr>
      </w:pPr>
    </w:p>
    <w:p w14:paraId="3E087D69"/>
    <w:p w14:paraId="66BFF17F">
      <w:pPr>
        <w:spacing w:line="560" w:lineRule="exact"/>
        <w:rPr>
          <w:rFonts w:hint="eastAsia" w:ascii="仿宋" w:hAnsi="仿宋" w:eastAsia="仿宋" w:cs="仿宋"/>
          <w:b/>
          <w:sz w:val="24"/>
          <w:szCs w:val="24"/>
        </w:rPr>
      </w:pPr>
    </w:p>
    <w:p w14:paraId="6CA0727F">
      <w:pPr>
        <w:pStyle w:val="212"/>
        <w:rPr>
          <w:rFonts w:eastAsia="仿宋"/>
          <w:color w:val="auto"/>
        </w:rPr>
      </w:pPr>
    </w:p>
    <w:p w14:paraId="62555869">
      <w:pPr>
        <w:rPr>
          <w:rFonts w:eastAsia="仿宋"/>
        </w:rPr>
      </w:pPr>
      <w:r>
        <w:rPr>
          <w:rFonts w:hint="eastAsia" w:eastAsia="仿宋"/>
        </w:rPr>
        <w:br w:type="page"/>
      </w:r>
    </w:p>
    <w:p w14:paraId="7F2DB218">
      <w:pPr>
        <w:pStyle w:val="212"/>
        <w:rPr>
          <w:rFonts w:eastAsia="仿宋"/>
          <w:color w:val="auto"/>
        </w:rPr>
      </w:pPr>
      <w:r>
        <w:rPr>
          <w:rFonts w:hint="eastAsia" w:eastAsia="仿宋"/>
          <w:color w:val="auto"/>
        </w:rPr>
        <w:t>附件1</w:t>
      </w:r>
      <w:bookmarkEnd w:id="189"/>
      <w:bookmarkEnd w:id="190"/>
      <w:bookmarkEnd w:id="224"/>
      <w:r>
        <w:rPr>
          <w:rFonts w:hint="eastAsia" w:eastAsia="仿宋"/>
          <w:color w:val="auto"/>
        </w:rPr>
        <w:t>3</w:t>
      </w:r>
    </w:p>
    <w:p w14:paraId="17164FE3">
      <w:pPr>
        <w:jc w:val="center"/>
        <w:outlineLvl w:val="0"/>
        <w:rPr>
          <w:rFonts w:hint="eastAsia" w:ascii="仿宋" w:hAnsi="仿宋" w:eastAsia="仿宋" w:cs="仿宋"/>
          <w:b/>
          <w:bCs/>
          <w:sz w:val="32"/>
          <w:szCs w:val="32"/>
        </w:rPr>
      </w:pPr>
      <w:bookmarkStart w:id="227" w:name="_Toc186493292"/>
      <w:r>
        <w:rPr>
          <w:rFonts w:hint="eastAsia" w:ascii="仿宋" w:hAnsi="仿宋" w:eastAsia="仿宋" w:cs="仿宋"/>
          <w:b/>
          <w:bCs/>
          <w:sz w:val="32"/>
          <w:szCs w:val="32"/>
        </w:rPr>
        <w:t>质疑函范本</w:t>
      </w:r>
      <w:bookmarkEnd w:id="227"/>
    </w:p>
    <w:p w14:paraId="4E037308">
      <w:pPr>
        <w:spacing w:before="290" w:line="360" w:lineRule="auto"/>
        <w:outlineLvl w:val="0"/>
        <w:rPr>
          <w:rFonts w:hint="eastAsia" w:ascii="仿宋" w:hAnsi="仿宋" w:eastAsia="仿宋" w:cs="仿宋"/>
          <w:bCs/>
          <w:sz w:val="24"/>
          <w:szCs w:val="24"/>
        </w:rPr>
      </w:pPr>
      <w:bookmarkStart w:id="228" w:name="_Toc186493293"/>
      <w:r>
        <w:rPr>
          <w:rFonts w:hint="eastAsia" w:ascii="仿宋" w:hAnsi="仿宋" w:eastAsia="仿宋" w:cs="仿宋"/>
          <w:bCs/>
          <w:sz w:val="24"/>
          <w:szCs w:val="24"/>
        </w:rPr>
        <w:t>一、质疑供应商基本信息</w:t>
      </w:r>
      <w:bookmarkEnd w:id="228"/>
    </w:p>
    <w:p w14:paraId="7560E341">
      <w:pPr>
        <w:spacing w:line="360" w:lineRule="auto"/>
        <w:rPr>
          <w:rFonts w:hint="eastAsia" w:ascii="仿宋" w:hAnsi="仿宋" w:eastAsia="仿宋" w:cs="仿宋"/>
          <w:sz w:val="24"/>
          <w:szCs w:val="24"/>
          <w:u w:val="single"/>
        </w:rPr>
      </w:pPr>
      <w:r>
        <w:rPr>
          <w:rFonts w:hint="eastAsia" w:ascii="仿宋" w:hAnsi="仿宋" w:eastAsia="仿宋" w:cs="仿宋"/>
          <w:sz w:val="24"/>
          <w:szCs w:val="24"/>
        </w:rPr>
        <w:t>质疑供应商：</w:t>
      </w:r>
    </w:p>
    <w:p w14:paraId="20FB1D4A">
      <w:pPr>
        <w:spacing w:line="360" w:lineRule="auto"/>
        <w:rPr>
          <w:rFonts w:hint="eastAsia" w:ascii="仿宋" w:hAnsi="仿宋" w:eastAsia="仿宋" w:cs="仿宋"/>
          <w:sz w:val="24"/>
          <w:szCs w:val="24"/>
        </w:rPr>
      </w:pPr>
      <w:r>
        <w:rPr>
          <w:rFonts w:hint="eastAsia" w:ascii="仿宋" w:hAnsi="仿宋" w:eastAsia="仿宋" w:cs="仿宋"/>
          <w:sz w:val="24"/>
          <w:szCs w:val="24"/>
        </w:rPr>
        <w:t>地址：邮编：</w:t>
      </w:r>
    </w:p>
    <w:p w14:paraId="5C9F7048">
      <w:pPr>
        <w:spacing w:line="360" w:lineRule="auto"/>
        <w:rPr>
          <w:rFonts w:hint="eastAsia" w:ascii="仿宋" w:hAnsi="仿宋" w:eastAsia="仿宋" w:cs="仿宋"/>
          <w:sz w:val="24"/>
          <w:szCs w:val="24"/>
        </w:rPr>
      </w:pPr>
      <w:r>
        <w:rPr>
          <w:rFonts w:hint="eastAsia" w:ascii="仿宋" w:hAnsi="仿宋" w:eastAsia="仿宋" w:cs="仿宋"/>
          <w:sz w:val="24"/>
          <w:szCs w:val="24"/>
        </w:rPr>
        <w:t>联系人：联系电话：</w:t>
      </w:r>
    </w:p>
    <w:p w14:paraId="6BA3502C">
      <w:pPr>
        <w:spacing w:line="360" w:lineRule="auto"/>
        <w:rPr>
          <w:rFonts w:hint="eastAsia" w:ascii="仿宋" w:hAnsi="仿宋" w:eastAsia="仿宋" w:cs="仿宋"/>
          <w:sz w:val="24"/>
          <w:szCs w:val="24"/>
          <w:u w:val="single"/>
        </w:rPr>
      </w:pPr>
      <w:r>
        <w:rPr>
          <w:rFonts w:hint="eastAsia" w:ascii="仿宋" w:hAnsi="仿宋" w:eastAsia="仿宋" w:cs="仿宋"/>
          <w:sz w:val="24"/>
          <w:szCs w:val="24"/>
        </w:rPr>
        <w:t>授权代表：</w:t>
      </w:r>
    </w:p>
    <w:p w14:paraId="734795E7">
      <w:pPr>
        <w:spacing w:line="360" w:lineRule="auto"/>
        <w:rPr>
          <w:rFonts w:hint="eastAsia" w:ascii="仿宋" w:hAnsi="仿宋" w:eastAsia="仿宋" w:cs="仿宋"/>
          <w:sz w:val="24"/>
          <w:szCs w:val="24"/>
        </w:rPr>
      </w:pPr>
      <w:r>
        <w:rPr>
          <w:rFonts w:hint="eastAsia" w:ascii="仿宋" w:hAnsi="仿宋" w:eastAsia="仿宋" w:cs="仿宋"/>
          <w:sz w:val="24"/>
          <w:szCs w:val="24"/>
        </w:rPr>
        <w:t>联系电话：</w:t>
      </w:r>
    </w:p>
    <w:p w14:paraId="1C4EAABE">
      <w:pPr>
        <w:spacing w:line="360" w:lineRule="auto"/>
        <w:rPr>
          <w:rFonts w:hint="eastAsia" w:ascii="仿宋" w:hAnsi="仿宋" w:eastAsia="仿宋" w:cs="仿宋"/>
          <w:sz w:val="24"/>
          <w:szCs w:val="24"/>
        </w:rPr>
      </w:pPr>
      <w:r>
        <w:rPr>
          <w:rFonts w:hint="eastAsia" w:ascii="仿宋" w:hAnsi="仿宋" w:eastAsia="仿宋" w:cs="仿宋"/>
          <w:sz w:val="24"/>
          <w:szCs w:val="24"/>
        </w:rPr>
        <w:t>地址： 邮编：</w:t>
      </w:r>
    </w:p>
    <w:p w14:paraId="10F8FD30">
      <w:pPr>
        <w:spacing w:line="360" w:lineRule="auto"/>
        <w:outlineLvl w:val="0"/>
        <w:rPr>
          <w:rFonts w:hint="eastAsia" w:ascii="仿宋" w:hAnsi="仿宋" w:eastAsia="仿宋" w:cs="仿宋"/>
          <w:bCs/>
          <w:sz w:val="24"/>
          <w:szCs w:val="24"/>
        </w:rPr>
      </w:pPr>
      <w:bookmarkStart w:id="229" w:name="_Toc186493294"/>
      <w:r>
        <w:rPr>
          <w:rFonts w:hint="eastAsia" w:ascii="仿宋" w:hAnsi="仿宋" w:eastAsia="仿宋" w:cs="仿宋"/>
          <w:bCs/>
          <w:sz w:val="24"/>
          <w:szCs w:val="24"/>
        </w:rPr>
        <w:t>二、质疑项目基本情况</w:t>
      </w:r>
      <w:bookmarkEnd w:id="229"/>
    </w:p>
    <w:p w14:paraId="3B15DCD3">
      <w:pPr>
        <w:spacing w:line="360" w:lineRule="auto"/>
        <w:rPr>
          <w:rFonts w:hint="eastAsia" w:ascii="仿宋" w:hAnsi="仿宋" w:eastAsia="仿宋" w:cs="仿宋"/>
          <w:sz w:val="24"/>
          <w:szCs w:val="24"/>
        </w:rPr>
      </w:pPr>
      <w:r>
        <w:rPr>
          <w:rFonts w:hint="eastAsia" w:ascii="仿宋" w:hAnsi="仿宋" w:eastAsia="仿宋" w:cs="仿宋"/>
          <w:sz w:val="24"/>
          <w:szCs w:val="24"/>
        </w:rPr>
        <w:t>质疑项目的名称：</w:t>
      </w:r>
    </w:p>
    <w:p w14:paraId="50C561F1">
      <w:pPr>
        <w:spacing w:line="360" w:lineRule="auto"/>
        <w:rPr>
          <w:rFonts w:hint="eastAsia" w:ascii="仿宋" w:hAnsi="仿宋" w:eastAsia="仿宋" w:cs="仿宋"/>
          <w:sz w:val="24"/>
          <w:szCs w:val="24"/>
        </w:rPr>
      </w:pPr>
      <w:r>
        <w:rPr>
          <w:rFonts w:hint="eastAsia" w:ascii="仿宋" w:hAnsi="仿宋" w:eastAsia="仿宋" w:cs="仿宋"/>
          <w:sz w:val="24"/>
          <w:szCs w:val="24"/>
        </w:rPr>
        <w:t>质疑项目的编号：包号：</w:t>
      </w:r>
    </w:p>
    <w:p w14:paraId="3F4B4BD8">
      <w:pPr>
        <w:spacing w:line="360" w:lineRule="auto"/>
        <w:rPr>
          <w:rFonts w:hint="eastAsia" w:ascii="仿宋" w:hAnsi="仿宋" w:eastAsia="仿宋" w:cs="仿宋"/>
          <w:sz w:val="24"/>
          <w:szCs w:val="24"/>
          <w:u w:val="single"/>
        </w:rPr>
      </w:pPr>
      <w:r>
        <w:rPr>
          <w:rFonts w:hint="eastAsia" w:ascii="仿宋" w:hAnsi="仿宋" w:eastAsia="仿宋" w:cs="仿宋"/>
          <w:sz w:val="24"/>
          <w:szCs w:val="24"/>
        </w:rPr>
        <w:t>采购人名称：</w:t>
      </w:r>
    </w:p>
    <w:p w14:paraId="46A96985">
      <w:pPr>
        <w:spacing w:line="360" w:lineRule="auto"/>
        <w:rPr>
          <w:rFonts w:hint="eastAsia" w:ascii="仿宋" w:hAnsi="仿宋" w:eastAsia="仿宋" w:cs="仿宋"/>
          <w:sz w:val="24"/>
          <w:szCs w:val="24"/>
        </w:rPr>
      </w:pPr>
      <w:r>
        <w:rPr>
          <w:rFonts w:hint="eastAsia" w:ascii="仿宋" w:hAnsi="仿宋" w:eastAsia="仿宋" w:cs="仿宋"/>
          <w:sz w:val="24"/>
          <w:szCs w:val="24"/>
        </w:rPr>
        <w:t>采购文件获取日期：</w:t>
      </w:r>
    </w:p>
    <w:p w14:paraId="6C41FB2A">
      <w:pPr>
        <w:spacing w:line="360" w:lineRule="auto"/>
        <w:outlineLvl w:val="0"/>
        <w:rPr>
          <w:rFonts w:hint="eastAsia" w:ascii="仿宋" w:hAnsi="仿宋" w:eastAsia="仿宋" w:cs="仿宋"/>
          <w:bCs/>
          <w:sz w:val="24"/>
          <w:szCs w:val="24"/>
        </w:rPr>
      </w:pPr>
      <w:bookmarkStart w:id="230" w:name="_Toc186493295"/>
      <w:r>
        <w:rPr>
          <w:rFonts w:hint="eastAsia" w:ascii="仿宋" w:hAnsi="仿宋" w:eastAsia="仿宋" w:cs="仿宋"/>
          <w:bCs/>
          <w:sz w:val="24"/>
          <w:szCs w:val="24"/>
        </w:rPr>
        <w:t>三、质疑事项具体内容</w:t>
      </w:r>
      <w:bookmarkEnd w:id="230"/>
    </w:p>
    <w:p w14:paraId="3A4D7105">
      <w:pPr>
        <w:spacing w:line="360" w:lineRule="auto"/>
        <w:rPr>
          <w:rFonts w:hint="eastAsia" w:ascii="仿宋" w:hAnsi="仿宋" w:eastAsia="仿宋" w:cs="仿宋"/>
          <w:sz w:val="24"/>
          <w:szCs w:val="24"/>
          <w:u w:val="single"/>
        </w:rPr>
      </w:pPr>
      <w:r>
        <w:rPr>
          <w:rFonts w:hint="eastAsia" w:ascii="仿宋" w:hAnsi="仿宋" w:eastAsia="仿宋" w:cs="仿宋"/>
          <w:sz w:val="24"/>
          <w:szCs w:val="24"/>
        </w:rPr>
        <w:t>质疑事项1：</w:t>
      </w:r>
    </w:p>
    <w:p w14:paraId="47F5A2E9">
      <w:pPr>
        <w:spacing w:line="360" w:lineRule="auto"/>
        <w:rPr>
          <w:rFonts w:hint="eastAsia" w:ascii="仿宋" w:hAnsi="仿宋" w:eastAsia="仿宋" w:cs="仿宋"/>
          <w:sz w:val="24"/>
          <w:szCs w:val="24"/>
          <w:u w:val="single"/>
        </w:rPr>
      </w:pPr>
      <w:r>
        <w:rPr>
          <w:rFonts w:hint="eastAsia" w:ascii="仿宋" w:hAnsi="仿宋" w:eastAsia="仿宋" w:cs="仿宋"/>
          <w:sz w:val="24"/>
          <w:szCs w:val="24"/>
        </w:rPr>
        <w:t>事实依据：</w:t>
      </w:r>
    </w:p>
    <w:p w14:paraId="3577932C">
      <w:pPr>
        <w:spacing w:line="360" w:lineRule="auto"/>
        <w:rPr>
          <w:rFonts w:hint="eastAsia" w:ascii="仿宋" w:hAnsi="仿宋" w:eastAsia="仿宋" w:cs="仿宋"/>
          <w:sz w:val="24"/>
          <w:szCs w:val="24"/>
        </w:rPr>
      </w:pPr>
    </w:p>
    <w:p w14:paraId="4755C03F">
      <w:pPr>
        <w:spacing w:line="360" w:lineRule="auto"/>
        <w:rPr>
          <w:rFonts w:hint="eastAsia" w:ascii="仿宋" w:hAnsi="仿宋" w:eastAsia="仿宋" w:cs="仿宋"/>
          <w:sz w:val="24"/>
          <w:szCs w:val="24"/>
          <w:u w:val="single"/>
        </w:rPr>
      </w:pPr>
      <w:r>
        <w:rPr>
          <w:rFonts w:hint="eastAsia" w:ascii="仿宋" w:hAnsi="仿宋" w:eastAsia="仿宋" w:cs="仿宋"/>
          <w:sz w:val="24"/>
          <w:szCs w:val="24"/>
        </w:rPr>
        <w:t>法律依据：</w:t>
      </w:r>
    </w:p>
    <w:p w14:paraId="3FBD12BE">
      <w:pPr>
        <w:spacing w:line="360" w:lineRule="auto"/>
        <w:rPr>
          <w:rFonts w:hint="eastAsia" w:ascii="仿宋" w:hAnsi="仿宋" w:eastAsia="仿宋" w:cs="仿宋"/>
          <w:sz w:val="24"/>
          <w:szCs w:val="24"/>
          <w:u w:val="single"/>
        </w:rPr>
      </w:pPr>
    </w:p>
    <w:p w14:paraId="5384E567">
      <w:pPr>
        <w:spacing w:line="360" w:lineRule="auto"/>
        <w:rPr>
          <w:rFonts w:hint="eastAsia" w:ascii="仿宋" w:hAnsi="仿宋" w:eastAsia="仿宋" w:cs="仿宋"/>
          <w:sz w:val="24"/>
          <w:szCs w:val="24"/>
          <w:u w:val="single"/>
        </w:rPr>
      </w:pPr>
      <w:r>
        <w:rPr>
          <w:rFonts w:hint="eastAsia" w:ascii="仿宋" w:hAnsi="仿宋" w:eastAsia="仿宋" w:cs="仿宋"/>
          <w:sz w:val="24"/>
          <w:szCs w:val="24"/>
        </w:rPr>
        <w:t>质疑事项2</w:t>
      </w:r>
    </w:p>
    <w:p w14:paraId="2C618D37">
      <w:pPr>
        <w:spacing w:line="360" w:lineRule="auto"/>
        <w:rPr>
          <w:rFonts w:hint="eastAsia" w:ascii="仿宋" w:hAnsi="仿宋" w:eastAsia="仿宋" w:cs="仿宋"/>
          <w:sz w:val="24"/>
          <w:szCs w:val="24"/>
        </w:rPr>
      </w:pPr>
      <w:r>
        <w:rPr>
          <w:rFonts w:hint="eastAsia" w:ascii="仿宋" w:hAnsi="仿宋" w:eastAsia="仿宋" w:cs="仿宋"/>
          <w:sz w:val="24"/>
          <w:szCs w:val="24"/>
        </w:rPr>
        <w:t>……</w:t>
      </w:r>
    </w:p>
    <w:p w14:paraId="357346EE">
      <w:pPr>
        <w:spacing w:line="360" w:lineRule="auto"/>
        <w:outlineLvl w:val="0"/>
        <w:rPr>
          <w:rFonts w:hint="eastAsia" w:ascii="仿宋" w:hAnsi="仿宋" w:eastAsia="仿宋" w:cs="仿宋"/>
          <w:bCs/>
          <w:sz w:val="24"/>
          <w:szCs w:val="24"/>
        </w:rPr>
      </w:pPr>
      <w:bookmarkStart w:id="231" w:name="_Toc186493296"/>
      <w:r>
        <w:rPr>
          <w:rFonts w:hint="eastAsia" w:ascii="仿宋" w:hAnsi="仿宋" w:eastAsia="仿宋" w:cs="仿宋"/>
          <w:bCs/>
          <w:sz w:val="24"/>
          <w:szCs w:val="24"/>
        </w:rPr>
        <w:t>四、与质疑事项相关的质疑请求</w:t>
      </w:r>
      <w:bookmarkEnd w:id="231"/>
    </w:p>
    <w:p w14:paraId="2274EB09">
      <w:pPr>
        <w:spacing w:line="360" w:lineRule="auto"/>
        <w:rPr>
          <w:rFonts w:hint="eastAsia" w:ascii="仿宋" w:hAnsi="仿宋" w:eastAsia="仿宋" w:cs="仿宋"/>
          <w:sz w:val="24"/>
          <w:szCs w:val="24"/>
          <w:u w:val="single"/>
        </w:rPr>
      </w:pPr>
      <w:r>
        <w:rPr>
          <w:rFonts w:hint="eastAsia" w:ascii="仿宋" w:hAnsi="仿宋" w:eastAsia="仿宋" w:cs="仿宋"/>
          <w:sz w:val="24"/>
          <w:szCs w:val="24"/>
        </w:rPr>
        <w:t>请求：</w:t>
      </w:r>
    </w:p>
    <w:p w14:paraId="7A697230">
      <w:pPr>
        <w:rPr>
          <w:rFonts w:hint="eastAsia" w:ascii="仿宋" w:hAnsi="仿宋" w:eastAsia="仿宋" w:cs="仿宋"/>
          <w:sz w:val="24"/>
          <w:szCs w:val="24"/>
        </w:rPr>
      </w:pPr>
      <w:r>
        <w:rPr>
          <w:rFonts w:hint="eastAsia" w:ascii="仿宋" w:hAnsi="仿宋" w:eastAsia="仿宋" w:cs="仿宋"/>
          <w:sz w:val="24"/>
          <w:szCs w:val="24"/>
        </w:rPr>
        <w:t xml:space="preserve">签字(签章)：                   公章：                      </w:t>
      </w:r>
    </w:p>
    <w:p w14:paraId="3A4E84F0">
      <w:pPr>
        <w:rPr>
          <w:rFonts w:hint="eastAsia" w:ascii="仿宋" w:hAnsi="仿宋" w:eastAsia="仿宋" w:cs="仿宋"/>
          <w:sz w:val="24"/>
          <w:szCs w:val="24"/>
        </w:rPr>
      </w:pPr>
      <w:r>
        <w:rPr>
          <w:rFonts w:hint="eastAsia" w:ascii="仿宋" w:hAnsi="仿宋" w:eastAsia="仿宋" w:cs="仿宋"/>
          <w:sz w:val="24"/>
          <w:szCs w:val="24"/>
        </w:rPr>
        <w:t xml:space="preserve">日期：    </w:t>
      </w:r>
    </w:p>
    <w:p w14:paraId="714EBB6F">
      <w:pPr>
        <w:spacing w:line="400" w:lineRule="exact"/>
        <w:rPr>
          <w:rFonts w:hint="eastAsia" w:ascii="仿宋" w:hAnsi="仿宋" w:eastAsia="仿宋" w:cs="仿宋"/>
          <w:b/>
          <w:sz w:val="24"/>
          <w:szCs w:val="24"/>
        </w:rPr>
      </w:pPr>
    </w:p>
    <w:p w14:paraId="74797FC4">
      <w:pPr>
        <w:spacing w:line="400" w:lineRule="exact"/>
        <w:rPr>
          <w:rFonts w:hint="eastAsia" w:ascii="仿宋" w:hAnsi="仿宋" w:eastAsia="仿宋" w:cs="仿宋"/>
          <w:b/>
          <w:sz w:val="24"/>
          <w:szCs w:val="24"/>
        </w:rPr>
      </w:pPr>
    </w:p>
    <w:p w14:paraId="74277883">
      <w:pPr>
        <w:spacing w:line="400" w:lineRule="exact"/>
        <w:rPr>
          <w:rFonts w:hint="eastAsia" w:ascii="仿宋" w:hAnsi="仿宋" w:eastAsia="仿宋" w:cs="仿宋"/>
          <w:b/>
          <w:sz w:val="24"/>
          <w:szCs w:val="24"/>
        </w:rPr>
      </w:pPr>
      <w:r>
        <w:rPr>
          <w:rFonts w:hint="eastAsia" w:ascii="仿宋" w:hAnsi="仿宋" w:eastAsia="仿宋" w:cs="仿宋"/>
          <w:b/>
          <w:sz w:val="24"/>
          <w:szCs w:val="24"/>
        </w:rPr>
        <w:t>质疑函制作说明：</w:t>
      </w:r>
    </w:p>
    <w:p w14:paraId="2947329A">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14:paraId="2B6CFEE9">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7BF6A1">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14:paraId="21B14AFE">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14:paraId="2996B736">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5.质疑函的质疑请求应与质疑事项相关。</w:t>
      </w:r>
    </w:p>
    <w:p w14:paraId="15FF4A4B">
      <w:pPr>
        <w:widowControl/>
        <w:spacing w:line="400" w:lineRule="exact"/>
        <w:ind w:firstLine="480"/>
        <w:jc w:val="left"/>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14:paraId="7DD1D125">
      <w:pPr>
        <w:pStyle w:val="13"/>
        <w:rPr>
          <w:rFonts w:hint="eastAsia" w:ascii="仿宋" w:hAnsi="仿宋" w:eastAsia="仿宋" w:cs="仿宋"/>
          <w:sz w:val="24"/>
          <w:szCs w:val="24"/>
        </w:rPr>
      </w:pPr>
    </w:p>
    <w:p w14:paraId="75517797">
      <w:pPr>
        <w:pStyle w:val="13"/>
        <w:rPr>
          <w:rFonts w:hint="eastAsia" w:ascii="仿宋" w:hAnsi="仿宋" w:eastAsia="仿宋" w:cs="仿宋"/>
          <w:sz w:val="24"/>
          <w:szCs w:val="24"/>
        </w:rPr>
      </w:pPr>
    </w:p>
    <w:p w14:paraId="5165E57F">
      <w:pPr>
        <w:widowControl/>
        <w:spacing w:line="700" w:lineRule="exact"/>
        <w:jc w:val="left"/>
        <w:rPr>
          <w:rFonts w:hint="eastAsia" w:ascii="仿宋" w:hAnsi="仿宋" w:eastAsia="仿宋" w:cs="仿宋"/>
          <w:sz w:val="24"/>
          <w:szCs w:val="24"/>
        </w:rPr>
      </w:pPr>
    </w:p>
    <w:p w14:paraId="4D222CE7"/>
    <w:p w14:paraId="332165BF"/>
    <w:sectPr>
      <w:pgSz w:w="11906" w:h="16838"/>
      <w:pgMar w:top="1191" w:right="1587" w:bottom="1191" w:left="1366" w:header="850" w:footer="907" w:gutter="0"/>
      <w:cols w:space="0" w:num="1"/>
      <w:docGrid w:linePitch="29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AE10">
    <w:pPr>
      <w:pStyle w:val="22"/>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5A51">
    <w:pPr>
      <w:pStyle w:val="22"/>
      <w:jc w:val="center"/>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938CC">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7938CC">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1C4E">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65577">
                          <w:pPr>
                            <w:pStyle w:val="22"/>
                            <w:jc w:val="center"/>
                          </w:pPr>
                          <w:r>
                            <w:fldChar w:fldCharType="begin"/>
                          </w:r>
                          <w:r>
                            <w:instrText xml:space="preserve"> PAGE   \* MERGEFORMAT </w:instrText>
                          </w:r>
                          <w:r>
                            <w:fldChar w:fldCharType="separate"/>
                          </w:r>
                          <w:r>
                            <w:rPr>
                              <w:lang w:val="zh-CN"/>
                            </w:rPr>
                            <w:t>19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B65577">
                    <w:pPr>
                      <w:pStyle w:val="22"/>
                      <w:jc w:val="center"/>
                    </w:pPr>
                    <w:r>
                      <w:fldChar w:fldCharType="begin"/>
                    </w:r>
                    <w:r>
                      <w:instrText xml:space="preserve"> PAGE   \* MERGEFORMAT </w:instrText>
                    </w:r>
                    <w:r>
                      <w:fldChar w:fldCharType="separate"/>
                    </w:r>
                    <w:r>
                      <w:rPr>
                        <w:lang w:val="zh-CN"/>
                      </w:rPr>
                      <w:t>19</w:t>
                    </w:r>
                    <w:r>
                      <w:rPr>
                        <w:lang w:val="zh-CN"/>
                      </w:rPr>
                      <w:fldChar w:fldCharType="end"/>
                    </w:r>
                  </w:p>
                </w:txbxContent>
              </v:textbox>
            </v:shape>
          </w:pict>
        </mc:Fallback>
      </mc:AlternateContent>
    </w:r>
  </w:p>
  <w:p w14:paraId="7779C5AF">
    <w:pPr>
      <w:pStyle w:val="22"/>
      <w:jc w:val="center"/>
      <w:rPr>
        <w:b/>
        <w:i/>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D25BC"/>
    <w:multiLevelType w:val="multilevel"/>
    <w:tmpl w:val="A48D25BC"/>
    <w:lvl w:ilvl="0" w:tentative="0">
      <w:start w:val="1"/>
      <w:numFmt w:val="decimal"/>
      <w:suff w:val="space"/>
      <w:lvlText w:val="%1."/>
      <w:lvlJc w:val="left"/>
    </w:lvl>
    <w:lvl w:ilvl="1" w:tentative="0">
      <w:start w:val="1"/>
      <w:numFmt w:val="bullet"/>
      <w:lvlText w:val="o"/>
      <w:lvlJc w:val="left"/>
      <w:pPr>
        <w:ind w:left="2007" w:hanging="360"/>
      </w:pPr>
      <w:rPr>
        <w:rFonts w:hint="default" w:ascii="Courier New" w:hAnsi="Courier New" w:eastAsia="Courier New" w:cs="Courier New"/>
      </w:rPr>
    </w:lvl>
    <w:lvl w:ilvl="2" w:tentative="0">
      <w:start w:val="1"/>
      <w:numFmt w:val="bullet"/>
      <w:lvlText w:val="§"/>
      <w:lvlJc w:val="left"/>
      <w:pPr>
        <w:ind w:left="2727" w:hanging="360"/>
      </w:pPr>
      <w:rPr>
        <w:rFonts w:hint="default" w:ascii="Wingdings" w:hAnsi="Wingdings" w:eastAsia="Wingdings" w:cs="Wingdings"/>
      </w:rPr>
    </w:lvl>
    <w:lvl w:ilvl="3" w:tentative="0">
      <w:start w:val="1"/>
      <w:numFmt w:val="bullet"/>
      <w:lvlText w:val="·"/>
      <w:lvlJc w:val="left"/>
      <w:pPr>
        <w:ind w:left="3447" w:hanging="360"/>
      </w:pPr>
      <w:rPr>
        <w:rFonts w:hint="default" w:ascii="Symbol" w:hAnsi="Symbol" w:eastAsia="Symbol" w:cs="Symbol"/>
      </w:rPr>
    </w:lvl>
    <w:lvl w:ilvl="4" w:tentative="0">
      <w:start w:val="1"/>
      <w:numFmt w:val="bullet"/>
      <w:lvlText w:val="o"/>
      <w:lvlJc w:val="left"/>
      <w:pPr>
        <w:ind w:left="4167" w:hanging="360"/>
      </w:pPr>
      <w:rPr>
        <w:rFonts w:hint="default" w:ascii="Courier New" w:hAnsi="Courier New" w:eastAsia="Courier New" w:cs="Courier New"/>
      </w:rPr>
    </w:lvl>
    <w:lvl w:ilvl="5" w:tentative="0">
      <w:start w:val="1"/>
      <w:numFmt w:val="bullet"/>
      <w:lvlText w:val="§"/>
      <w:lvlJc w:val="left"/>
      <w:pPr>
        <w:ind w:left="4887" w:hanging="360"/>
      </w:pPr>
      <w:rPr>
        <w:rFonts w:hint="default" w:ascii="Wingdings" w:hAnsi="Wingdings" w:eastAsia="Wingdings" w:cs="Wingdings"/>
      </w:rPr>
    </w:lvl>
    <w:lvl w:ilvl="6" w:tentative="0">
      <w:start w:val="1"/>
      <w:numFmt w:val="bullet"/>
      <w:lvlText w:val="·"/>
      <w:lvlJc w:val="left"/>
      <w:pPr>
        <w:ind w:left="5607" w:hanging="360"/>
      </w:pPr>
      <w:rPr>
        <w:rFonts w:hint="default" w:ascii="Symbol" w:hAnsi="Symbol" w:eastAsia="Symbol" w:cs="Symbol"/>
      </w:rPr>
    </w:lvl>
    <w:lvl w:ilvl="7" w:tentative="0">
      <w:start w:val="1"/>
      <w:numFmt w:val="bullet"/>
      <w:lvlText w:val="o"/>
      <w:lvlJc w:val="left"/>
      <w:pPr>
        <w:ind w:left="6327" w:hanging="360"/>
      </w:pPr>
      <w:rPr>
        <w:rFonts w:hint="default" w:ascii="Courier New" w:hAnsi="Courier New" w:eastAsia="Courier New" w:cs="Courier New"/>
      </w:rPr>
    </w:lvl>
    <w:lvl w:ilvl="8" w:tentative="0">
      <w:start w:val="1"/>
      <w:numFmt w:val="bullet"/>
      <w:lvlText w:val="§"/>
      <w:lvlJc w:val="left"/>
      <w:pPr>
        <w:ind w:left="7047" w:hanging="360"/>
      </w:pPr>
      <w:rPr>
        <w:rFonts w:hint="default" w:ascii="Wingdings" w:hAnsi="Wingdings" w:eastAsia="Wingdings" w:cs="Wingdings"/>
      </w:rPr>
    </w:lvl>
  </w:abstractNum>
  <w:abstractNum w:abstractNumId="1">
    <w:nsid w:val="AA21EA28"/>
    <w:multiLevelType w:val="multilevel"/>
    <w:tmpl w:val="AA21EA28"/>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AB44DFAB"/>
    <w:multiLevelType w:val="singleLevel"/>
    <w:tmpl w:val="AB44DFAB"/>
    <w:lvl w:ilvl="0" w:tentative="0">
      <w:start w:val="1"/>
      <w:numFmt w:val="decimal"/>
      <w:suff w:val="nothing"/>
      <w:lvlText w:val="%1、"/>
      <w:lvlJc w:val="left"/>
    </w:lvl>
  </w:abstractNum>
  <w:abstractNum w:abstractNumId="3">
    <w:nsid w:val="0053208E"/>
    <w:multiLevelType w:val="multilevel"/>
    <w:tmpl w:val="0053208E"/>
    <w:lvl w:ilvl="0" w:tentative="0">
      <w:start w:val="1"/>
      <w:numFmt w:val="upperLetter"/>
      <w:pStyle w:val="210"/>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2FB157CC"/>
    <w:multiLevelType w:val="multilevel"/>
    <w:tmpl w:val="2FB157CC"/>
    <w:lvl w:ilvl="0" w:tentative="0">
      <w:start w:val="1"/>
      <w:numFmt w:val="decimal"/>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10"/>
  <w:drawingGridVerticalSpacing w:val="-7946"/>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FD"/>
    <w:rsid w:val="000F0E93"/>
    <w:rsid w:val="00137E3F"/>
    <w:rsid w:val="001B537B"/>
    <w:rsid w:val="002A24C3"/>
    <w:rsid w:val="002E6413"/>
    <w:rsid w:val="002E6A1B"/>
    <w:rsid w:val="003218E2"/>
    <w:rsid w:val="00326C47"/>
    <w:rsid w:val="00396B4B"/>
    <w:rsid w:val="003A6B87"/>
    <w:rsid w:val="003F520A"/>
    <w:rsid w:val="004B5B60"/>
    <w:rsid w:val="005D038D"/>
    <w:rsid w:val="00866E24"/>
    <w:rsid w:val="008C0D4E"/>
    <w:rsid w:val="009D751C"/>
    <w:rsid w:val="009F117A"/>
    <w:rsid w:val="00AB25D0"/>
    <w:rsid w:val="00BC1E36"/>
    <w:rsid w:val="00BF623C"/>
    <w:rsid w:val="00C27B5C"/>
    <w:rsid w:val="00C77B74"/>
    <w:rsid w:val="00CA2ED6"/>
    <w:rsid w:val="00CA3D4C"/>
    <w:rsid w:val="00CA42FD"/>
    <w:rsid w:val="00CC2686"/>
    <w:rsid w:val="00CF306B"/>
    <w:rsid w:val="00D060C0"/>
    <w:rsid w:val="00DC38F3"/>
    <w:rsid w:val="00DC6F33"/>
    <w:rsid w:val="00E30EC7"/>
    <w:rsid w:val="00E41F9A"/>
    <w:rsid w:val="00FC4D0B"/>
    <w:rsid w:val="01062EEC"/>
    <w:rsid w:val="011078C7"/>
    <w:rsid w:val="014E23E0"/>
    <w:rsid w:val="01AC28DD"/>
    <w:rsid w:val="01FF0067"/>
    <w:rsid w:val="020C008E"/>
    <w:rsid w:val="022B3727"/>
    <w:rsid w:val="02443CCC"/>
    <w:rsid w:val="03030A3E"/>
    <w:rsid w:val="03322962"/>
    <w:rsid w:val="03D12CCC"/>
    <w:rsid w:val="03D96696"/>
    <w:rsid w:val="040A684F"/>
    <w:rsid w:val="041871BE"/>
    <w:rsid w:val="04293EB0"/>
    <w:rsid w:val="04837A47"/>
    <w:rsid w:val="04DB24E5"/>
    <w:rsid w:val="05450D48"/>
    <w:rsid w:val="05AF57AD"/>
    <w:rsid w:val="06F86E33"/>
    <w:rsid w:val="074A1D85"/>
    <w:rsid w:val="07FE349D"/>
    <w:rsid w:val="08002443"/>
    <w:rsid w:val="080621EE"/>
    <w:rsid w:val="08107187"/>
    <w:rsid w:val="08C40E78"/>
    <w:rsid w:val="090C5E9C"/>
    <w:rsid w:val="09F935EE"/>
    <w:rsid w:val="0A77431C"/>
    <w:rsid w:val="0A876E4C"/>
    <w:rsid w:val="0BCD4D32"/>
    <w:rsid w:val="0C2F32F7"/>
    <w:rsid w:val="0C395F24"/>
    <w:rsid w:val="0C4C7D0E"/>
    <w:rsid w:val="0C700DD7"/>
    <w:rsid w:val="0C90769F"/>
    <w:rsid w:val="0D762A91"/>
    <w:rsid w:val="0D872355"/>
    <w:rsid w:val="0DD570CD"/>
    <w:rsid w:val="0DE13138"/>
    <w:rsid w:val="0E1E1875"/>
    <w:rsid w:val="0E340610"/>
    <w:rsid w:val="0E732330"/>
    <w:rsid w:val="0E9037CB"/>
    <w:rsid w:val="0F45587B"/>
    <w:rsid w:val="0F7537A4"/>
    <w:rsid w:val="0FB5271F"/>
    <w:rsid w:val="10125B88"/>
    <w:rsid w:val="10BD12C2"/>
    <w:rsid w:val="10DC4A8E"/>
    <w:rsid w:val="10E36DA6"/>
    <w:rsid w:val="11A66CA4"/>
    <w:rsid w:val="11CE7C31"/>
    <w:rsid w:val="11D30BC8"/>
    <w:rsid w:val="12372FC7"/>
    <w:rsid w:val="125B4CBE"/>
    <w:rsid w:val="129C6B7B"/>
    <w:rsid w:val="12DA277F"/>
    <w:rsid w:val="13236BA6"/>
    <w:rsid w:val="13F26515"/>
    <w:rsid w:val="14866A15"/>
    <w:rsid w:val="156C2EC6"/>
    <w:rsid w:val="16B21029"/>
    <w:rsid w:val="17012AEA"/>
    <w:rsid w:val="171B2659"/>
    <w:rsid w:val="171E2D8F"/>
    <w:rsid w:val="174065B3"/>
    <w:rsid w:val="175005C5"/>
    <w:rsid w:val="17691658"/>
    <w:rsid w:val="17E65852"/>
    <w:rsid w:val="19834C82"/>
    <w:rsid w:val="19AA144C"/>
    <w:rsid w:val="19B3604F"/>
    <w:rsid w:val="19BE3676"/>
    <w:rsid w:val="1B7421A9"/>
    <w:rsid w:val="1BA15893"/>
    <w:rsid w:val="1BB10651"/>
    <w:rsid w:val="1BD75E2C"/>
    <w:rsid w:val="1C150C0C"/>
    <w:rsid w:val="1C232984"/>
    <w:rsid w:val="1C5D1849"/>
    <w:rsid w:val="1D3137F6"/>
    <w:rsid w:val="1D395729"/>
    <w:rsid w:val="1D5030CD"/>
    <w:rsid w:val="1D68045E"/>
    <w:rsid w:val="1DAD5E38"/>
    <w:rsid w:val="1DAF719A"/>
    <w:rsid w:val="1E036392"/>
    <w:rsid w:val="1ED86226"/>
    <w:rsid w:val="1F356A1F"/>
    <w:rsid w:val="1F952153"/>
    <w:rsid w:val="1FB21CE5"/>
    <w:rsid w:val="218464AE"/>
    <w:rsid w:val="21A36E5D"/>
    <w:rsid w:val="21A41C3A"/>
    <w:rsid w:val="21A70001"/>
    <w:rsid w:val="21C1459A"/>
    <w:rsid w:val="21D020D9"/>
    <w:rsid w:val="21EF63D2"/>
    <w:rsid w:val="22734459"/>
    <w:rsid w:val="22BF2BDC"/>
    <w:rsid w:val="23580F2E"/>
    <w:rsid w:val="241237D2"/>
    <w:rsid w:val="24174B94"/>
    <w:rsid w:val="241B709D"/>
    <w:rsid w:val="25223F74"/>
    <w:rsid w:val="25CB3C39"/>
    <w:rsid w:val="264D28A0"/>
    <w:rsid w:val="26A56238"/>
    <w:rsid w:val="27201D62"/>
    <w:rsid w:val="27207FB4"/>
    <w:rsid w:val="275F6D2E"/>
    <w:rsid w:val="279261C1"/>
    <w:rsid w:val="27AE7A61"/>
    <w:rsid w:val="27E66335"/>
    <w:rsid w:val="28011B94"/>
    <w:rsid w:val="28154809"/>
    <w:rsid w:val="28362E2B"/>
    <w:rsid w:val="28556C31"/>
    <w:rsid w:val="28CC431B"/>
    <w:rsid w:val="29622B06"/>
    <w:rsid w:val="299A404E"/>
    <w:rsid w:val="29BE4DE0"/>
    <w:rsid w:val="2A071F1F"/>
    <w:rsid w:val="2A075D21"/>
    <w:rsid w:val="2A5D507B"/>
    <w:rsid w:val="2A720B27"/>
    <w:rsid w:val="2AAD3775"/>
    <w:rsid w:val="2BBA2193"/>
    <w:rsid w:val="2C1D328F"/>
    <w:rsid w:val="2C270644"/>
    <w:rsid w:val="2C446EDF"/>
    <w:rsid w:val="2C604D64"/>
    <w:rsid w:val="2CBE5118"/>
    <w:rsid w:val="2CCB53C6"/>
    <w:rsid w:val="2D1136B6"/>
    <w:rsid w:val="2D1A49BD"/>
    <w:rsid w:val="2D630BFB"/>
    <w:rsid w:val="2DC572CF"/>
    <w:rsid w:val="2DC84F02"/>
    <w:rsid w:val="2E1B61BA"/>
    <w:rsid w:val="2EF64565"/>
    <w:rsid w:val="2EFF622A"/>
    <w:rsid w:val="2F952E60"/>
    <w:rsid w:val="301C6D51"/>
    <w:rsid w:val="30575990"/>
    <w:rsid w:val="310C5ADB"/>
    <w:rsid w:val="3202507E"/>
    <w:rsid w:val="32233065"/>
    <w:rsid w:val="325038C0"/>
    <w:rsid w:val="326A2A2B"/>
    <w:rsid w:val="33AD2BD0"/>
    <w:rsid w:val="346D3E53"/>
    <w:rsid w:val="34C86836"/>
    <w:rsid w:val="35B67D87"/>
    <w:rsid w:val="35C0308E"/>
    <w:rsid w:val="360C7D55"/>
    <w:rsid w:val="36284168"/>
    <w:rsid w:val="3651207C"/>
    <w:rsid w:val="368925F7"/>
    <w:rsid w:val="36B17579"/>
    <w:rsid w:val="36B83D65"/>
    <w:rsid w:val="36C95C32"/>
    <w:rsid w:val="36D73248"/>
    <w:rsid w:val="370B137F"/>
    <w:rsid w:val="371D7F62"/>
    <w:rsid w:val="37256F21"/>
    <w:rsid w:val="3779661A"/>
    <w:rsid w:val="377D6D5D"/>
    <w:rsid w:val="378C567A"/>
    <w:rsid w:val="378C63B1"/>
    <w:rsid w:val="37B41122"/>
    <w:rsid w:val="38EF579E"/>
    <w:rsid w:val="398D772B"/>
    <w:rsid w:val="39B91FEE"/>
    <w:rsid w:val="39F72DF7"/>
    <w:rsid w:val="39F96B6F"/>
    <w:rsid w:val="3A437DEA"/>
    <w:rsid w:val="3A865F28"/>
    <w:rsid w:val="3A9514DA"/>
    <w:rsid w:val="3AB042CB"/>
    <w:rsid w:val="3ACE37A5"/>
    <w:rsid w:val="3ADF1782"/>
    <w:rsid w:val="3AED7D56"/>
    <w:rsid w:val="3B5B2575"/>
    <w:rsid w:val="3B660234"/>
    <w:rsid w:val="3BB45E27"/>
    <w:rsid w:val="3BED46A3"/>
    <w:rsid w:val="3CBB45AF"/>
    <w:rsid w:val="3D0418D3"/>
    <w:rsid w:val="3D36579B"/>
    <w:rsid w:val="3D881438"/>
    <w:rsid w:val="3DDC3759"/>
    <w:rsid w:val="3DE10046"/>
    <w:rsid w:val="3E23069C"/>
    <w:rsid w:val="3E3C3120"/>
    <w:rsid w:val="3EB50271"/>
    <w:rsid w:val="3EB805C7"/>
    <w:rsid w:val="3FA0183A"/>
    <w:rsid w:val="3FE1193D"/>
    <w:rsid w:val="404B17A6"/>
    <w:rsid w:val="405C41EF"/>
    <w:rsid w:val="407D653E"/>
    <w:rsid w:val="409C46F8"/>
    <w:rsid w:val="412F6470"/>
    <w:rsid w:val="41F50E78"/>
    <w:rsid w:val="42192F7B"/>
    <w:rsid w:val="422D771F"/>
    <w:rsid w:val="424E3E69"/>
    <w:rsid w:val="428131C9"/>
    <w:rsid w:val="42E33231"/>
    <w:rsid w:val="43281A31"/>
    <w:rsid w:val="43D11CBB"/>
    <w:rsid w:val="43DC1A0D"/>
    <w:rsid w:val="43FE2133"/>
    <w:rsid w:val="44725636"/>
    <w:rsid w:val="44FA35FD"/>
    <w:rsid w:val="453A628D"/>
    <w:rsid w:val="45637592"/>
    <w:rsid w:val="457A5EF2"/>
    <w:rsid w:val="45984F2B"/>
    <w:rsid w:val="45A92BC9"/>
    <w:rsid w:val="46560EA5"/>
    <w:rsid w:val="4689127A"/>
    <w:rsid w:val="474C3F5D"/>
    <w:rsid w:val="47BB0CCB"/>
    <w:rsid w:val="47CA56A6"/>
    <w:rsid w:val="47E22F6B"/>
    <w:rsid w:val="48A90EBB"/>
    <w:rsid w:val="493D634C"/>
    <w:rsid w:val="496B4CA0"/>
    <w:rsid w:val="4A5B7E34"/>
    <w:rsid w:val="4AF64B7C"/>
    <w:rsid w:val="4AFA62A3"/>
    <w:rsid w:val="4AFB21DE"/>
    <w:rsid w:val="4BA64E06"/>
    <w:rsid w:val="4BC539B4"/>
    <w:rsid w:val="4BE73F62"/>
    <w:rsid w:val="4C0F1D02"/>
    <w:rsid w:val="4C1E393E"/>
    <w:rsid w:val="4C7205A5"/>
    <w:rsid w:val="4D663ABA"/>
    <w:rsid w:val="4DB37B38"/>
    <w:rsid w:val="4DCA62DD"/>
    <w:rsid w:val="4E525304"/>
    <w:rsid w:val="4EBE573E"/>
    <w:rsid w:val="4EE44497"/>
    <w:rsid w:val="4FB34975"/>
    <w:rsid w:val="50D51236"/>
    <w:rsid w:val="50EC2B32"/>
    <w:rsid w:val="5164364B"/>
    <w:rsid w:val="51765DFD"/>
    <w:rsid w:val="519E6ECF"/>
    <w:rsid w:val="52547743"/>
    <w:rsid w:val="528154FB"/>
    <w:rsid w:val="52DE294E"/>
    <w:rsid w:val="52EB59D1"/>
    <w:rsid w:val="52F35C31"/>
    <w:rsid w:val="531A43CF"/>
    <w:rsid w:val="536F7A4A"/>
    <w:rsid w:val="53786204"/>
    <w:rsid w:val="53AA2830"/>
    <w:rsid w:val="53D33B35"/>
    <w:rsid w:val="544D7D8B"/>
    <w:rsid w:val="54E84E40"/>
    <w:rsid w:val="55077873"/>
    <w:rsid w:val="5521466C"/>
    <w:rsid w:val="554307C8"/>
    <w:rsid w:val="554A6E6E"/>
    <w:rsid w:val="55C51BA3"/>
    <w:rsid w:val="55F73214"/>
    <w:rsid w:val="55F92552"/>
    <w:rsid w:val="563665FD"/>
    <w:rsid w:val="56D83F29"/>
    <w:rsid w:val="56DE10C7"/>
    <w:rsid w:val="572216F1"/>
    <w:rsid w:val="57405985"/>
    <w:rsid w:val="57727B09"/>
    <w:rsid w:val="578357F2"/>
    <w:rsid w:val="584C3E7F"/>
    <w:rsid w:val="58B33F35"/>
    <w:rsid w:val="58D00F8B"/>
    <w:rsid w:val="59162E41"/>
    <w:rsid w:val="59CD7278"/>
    <w:rsid w:val="59EC50C7"/>
    <w:rsid w:val="5A032EEA"/>
    <w:rsid w:val="5A654426"/>
    <w:rsid w:val="5A946B2A"/>
    <w:rsid w:val="5B7955BD"/>
    <w:rsid w:val="5C2C64D8"/>
    <w:rsid w:val="5C6B79B4"/>
    <w:rsid w:val="5C7142EE"/>
    <w:rsid w:val="5C721E19"/>
    <w:rsid w:val="5D722610"/>
    <w:rsid w:val="5DA41571"/>
    <w:rsid w:val="5DA76D9D"/>
    <w:rsid w:val="5DD821C1"/>
    <w:rsid w:val="607758A4"/>
    <w:rsid w:val="60A56859"/>
    <w:rsid w:val="60A76A75"/>
    <w:rsid w:val="614534C9"/>
    <w:rsid w:val="61585D0B"/>
    <w:rsid w:val="615C5477"/>
    <w:rsid w:val="61842381"/>
    <w:rsid w:val="61BA27D8"/>
    <w:rsid w:val="61C977B9"/>
    <w:rsid w:val="6220263B"/>
    <w:rsid w:val="62570027"/>
    <w:rsid w:val="6299163B"/>
    <w:rsid w:val="62C878A5"/>
    <w:rsid w:val="62E01DCA"/>
    <w:rsid w:val="6324615B"/>
    <w:rsid w:val="647D0F5E"/>
    <w:rsid w:val="64DA6254"/>
    <w:rsid w:val="65225751"/>
    <w:rsid w:val="656729C2"/>
    <w:rsid w:val="656F7435"/>
    <w:rsid w:val="65985489"/>
    <w:rsid w:val="660164E0"/>
    <w:rsid w:val="6686712D"/>
    <w:rsid w:val="669874FF"/>
    <w:rsid w:val="66B92259"/>
    <w:rsid w:val="67DB4126"/>
    <w:rsid w:val="68064081"/>
    <w:rsid w:val="68217862"/>
    <w:rsid w:val="682F23A6"/>
    <w:rsid w:val="686B20E8"/>
    <w:rsid w:val="68D52A98"/>
    <w:rsid w:val="68D550AF"/>
    <w:rsid w:val="69912D7D"/>
    <w:rsid w:val="6A136F29"/>
    <w:rsid w:val="6A5E135C"/>
    <w:rsid w:val="6A7A0D56"/>
    <w:rsid w:val="6A966A50"/>
    <w:rsid w:val="6A984704"/>
    <w:rsid w:val="6B182A49"/>
    <w:rsid w:val="6B4020DA"/>
    <w:rsid w:val="6B4A563E"/>
    <w:rsid w:val="6B916358"/>
    <w:rsid w:val="6BF54B38"/>
    <w:rsid w:val="6C16685D"/>
    <w:rsid w:val="6C755C79"/>
    <w:rsid w:val="6D090170"/>
    <w:rsid w:val="6D2D0302"/>
    <w:rsid w:val="6DF62992"/>
    <w:rsid w:val="6E82467D"/>
    <w:rsid w:val="6EFA7BFF"/>
    <w:rsid w:val="6F5A4CB2"/>
    <w:rsid w:val="6F5B1156"/>
    <w:rsid w:val="6F775864"/>
    <w:rsid w:val="6F7C08F2"/>
    <w:rsid w:val="6FBF5649"/>
    <w:rsid w:val="6FE0165C"/>
    <w:rsid w:val="70900510"/>
    <w:rsid w:val="710B7DC9"/>
    <w:rsid w:val="712E4649"/>
    <w:rsid w:val="71976CEE"/>
    <w:rsid w:val="719E17CE"/>
    <w:rsid w:val="71DB1320"/>
    <w:rsid w:val="724B20B5"/>
    <w:rsid w:val="727B1B10"/>
    <w:rsid w:val="72916C3D"/>
    <w:rsid w:val="72F74C46"/>
    <w:rsid w:val="72FA5B9A"/>
    <w:rsid w:val="7318611E"/>
    <w:rsid w:val="73214465"/>
    <w:rsid w:val="737208DB"/>
    <w:rsid w:val="739F6935"/>
    <w:rsid w:val="74161AF0"/>
    <w:rsid w:val="74B35591"/>
    <w:rsid w:val="753A5550"/>
    <w:rsid w:val="75740D36"/>
    <w:rsid w:val="759AC977"/>
    <w:rsid w:val="759C7DD3"/>
    <w:rsid w:val="75EC43AC"/>
    <w:rsid w:val="76377481"/>
    <w:rsid w:val="765D7381"/>
    <w:rsid w:val="766C6C2F"/>
    <w:rsid w:val="76A4359C"/>
    <w:rsid w:val="76EA2DC0"/>
    <w:rsid w:val="774D3558"/>
    <w:rsid w:val="77A9459E"/>
    <w:rsid w:val="77FC495B"/>
    <w:rsid w:val="785C53F5"/>
    <w:rsid w:val="78E86DDB"/>
    <w:rsid w:val="79BC6C95"/>
    <w:rsid w:val="7A5F39FD"/>
    <w:rsid w:val="7C2A25DC"/>
    <w:rsid w:val="7D4421C5"/>
    <w:rsid w:val="7D556963"/>
    <w:rsid w:val="7E345985"/>
    <w:rsid w:val="7E783185"/>
    <w:rsid w:val="7F1C1122"/>
    <w:rsid w:val="7F1DD288"/>
    <w:rsid w:val="7F8244DD"/>
    <w:rsid w:val="7F9D30C5"/>
    <w:rsid w:val="F5FF5C12"/>
    <w:rsid w:val="FD74E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1"/>
    <w:link w:val="80"/>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81"/>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82"/>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83"/>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84"/>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85"/>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86"/>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87"/>
    <w:unhideWhenUsed/>
    <w:qFormat/>
    <w:uiPriority w:val="9"/>
    <w:pPr>
      <w:keepNext/>
      <w:keepLines/>
      <w:spacing w:before="320" w:after="200"/>
      <w:outlineLvl w:val="8"/>
    </w:pPr>
    <w:rPr>
      <w:rFonts w:ascii="Arial" w:hAnsi="Arial" w:eastAsia="Arial" w:cs="Arial"/>
      <w:i/>
      <w:iCs/>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12">
    <w:name w:val="toc 7"/>
    <w:basedOn w:val="1"/>
    <w:next w:val="1"/>
    <w:unhideWhenUsed/>
    <w:qFormat/>
    <w:uiPriority w:val="39"/>
    <w:pPr>
      <w:spacing w:after="57"/>
      <w:ind w:left="1701"/>
    </w:pPr>
  </w:style>
  <w:style w:type="paragraph" w:styleId="13">
    <w:name w:val="Normal Indent"/>
    <w:basedOn w:val="1"/>
    <w:qFormat/>
    <w:uiPriority w:val="0"/>
    <w:pPr>
      <w:ind w:firstLine="420"/>
    </w:pPr>
  </w:style>
  <w:style w:type="paragraph" w:styleId="14">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5">
    <w:name w:val="Body Text Indent"/>
    <w:basedOn w:val="1"/>
    <w:next w:val="16"/>
    <w:qFormat/>
    <w:uiPriority w:val="0"/>
    <w:pPr>
      <w:ind w:firstLine="645"/>
    </w:pPr>
    <w:rPr>
      <w:rFonts w:ascii="楷体_GB2312" w:eastAsia="楷体_GB2312"/>
      <w:sz w:val="32"/>
      <w:szCs w:val="32"/>
    </w:rPr>
  </w:style>
  <w:style w:type="paragraph" w:styleId="16">
    <w:name w:val="envelope return"/>
    <w:basedOn w:val="1"/>
    <w:unhideWhenUsed/>
    <w:qFormat/>
    <w:uiPriority w:val="99"/>
    <w:rPr>
      <w:rFonts w:ascii="Arial" w:hAnsi="Arial"/>
    </w:r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Plain Text"/>
    <w:basedOn w:val="1"/>
    <w:next w:val="1"/>
    <w:qFormat/>
    <w:uiPriority w:val="0"/>
    <w:rPr>
      <w:rFonts w:ascii="宋体" w:hAnsi="Courier New" w:cs="Courier New"/>
    </w:rPr>
  </w:style>
  <w:style w:type="paragraph" w:styleId="20">
    <w:name w:val="toc 8"/>
    <w:basedOn w:val="1"/>
    <w:next w:val="1"/>
    <w:unhideWhenUsed/>
    <w:qFormat/>
    <w:uiPriority w:val="39"/>
    <w:pPr>
      <w:spacing w:after="57"/>
      <w:ind w:left="1984"/>
    </w:pPr>
  </w:style>
  <w:style w:type="paragraph" w:styleId="21">
    <w:name w:val="endnote text"/>
    <w:basedOn w:val="1"/>
    <w:link w:val="205"/>
    <w:semiHidden/>
    <w:unhideWhenUsed/>
    <w:qFormat/>
    <w:uiPriority w:val="99"/>
    <w:rPr>
      <w:sz w:val="20"/>
    </w:rPr>
  </w:style>
  <w:style w:type="paragraph" w:styleId="22">
    <w:name w:val="footer"/>
    <w:basedOn w:val="1"/>
    <w:link w:val="221"/>
    <w:qFormat/>
    <w:uiPriority w:val="99"/>
    <w:pPr>
      <w:tabs>
        <w:tab w:val="center" w:pos="4153"/>
        <w:tab w:val="right" w:pos="8306"/>
      </w:tabs>
      <w:jc w:val="left"/>
    </w:pPr>
    <w:rPr>
      <w:sz w:val="18"/>
      <w:szCs w:val="18"/>
    </w:rPr>
  </w:style>
  <w:style w:type="paragraph" w:styleId="23">
    <w:name w:val="header"/>
    <w:basedOn w:val="1"/>
    <w:qFormat/>
    <w:uiPriority w:val="0"/>
    <w:pPr>
      <w:tabs>
        <w:tab w:val="center" w:pos="4153"/>
        <w:tab w:val="right" w:pos="8306"/>
      </w:tabs>
      <w:jc w:val="center"/>
    </w:pPr>
    <w:rPr>
      <w:sz w:val="18"/>
      <w:szCs w:val="18"/>
    </w:rPr>
  </w:style>
  <w:style w:type="paragraph" w:styleId="24">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25">
    <w:name w:val="toc 4"/>
    <w:basedOn w:val="1"/>
    <w:next w:val="1"/>
    <w:unhideWhenUsed/>
    <w:qFormat/>
    <w:uiPriority w:val="39"/>
    <w:pPr>
      <w:spacing w:after="57"/>
      <w:ind w:left="850"/>
    </w:pPr>
  </w:style>
  <w:style w:type="paragraph" w:styleId="26">
    <w:name w:val="Subtitle"/>
    <w:basedOn w:val="1"/>
    <w:next w:val="1"/>
    <w:link w:val="90"/>
    <w:qFormat/>
    <w:uiPriority w:val="11"/>
    <w:pPr>
      <w:spacing w:before="200" w:after="200"/>
    </w:pPr>
    <w:rPr>
      <w:sz w:val="24"/>
      <w:szCs w:val="24"/>
    </w:rPr>
  </w:style>
  <w:style w:type="paragraph" w:styleId="27">
    <w:name w:val="footnote text"/>
    <w:basedOn w:val="1"/>
    <w:link w:val="204"/>
    <w:semiHidden/>
    <w:unhideWhenUsed/>
    <w:qFormat/>
    <w:uiPriority w:val="99"/>
    <w:pPr>
      <w:spacing w:after="40"/>
    </w:pPr>
    <w:rPr>
      <w:sz w:val="18"/>
    </w:r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style>
  <w:style w:type="paragraph" w:styleId="30">
    <w:name w:val="toc 2"/>
    <w:basedOn w:val="1"/>
    <w:next w:val="1"/>
    <w:unhideWhenUsed/>
    <w:qFormat/>
    <w:uiPriority w:val="39"/>
    <w:pPr>
      <w:spacing w:after="57"/>
      <w:ind w:left="283"/>
    </w:pPr>
  </w:style>
  <w:style w:type="paragraph" w:styleId="31">
    <w:name w:val="toc 9"/>
    <w:basedOn w:val="1"/>
    <w:next w:val="1"/>
    <w:unhideWhenUsed/>
    <w:qFormat/>
    <w:uiPriority w:val="39"/>
    <w:pPr>
      <w:spacing w:after="57"/>
      <w:ind w:left="2268"/>
    </w:pPr>
  </w:style>
  <w:style w:type="paragraph" w:styleId="32">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3">
    <w:name w:val="Title"/>
    <w:basedOn w:val="1"/>
    <w:next w:val="1"/>
    <w:link w:val="89"/>
    <w:qFormat/>
    <w:uiPriority w:val="10"/>
    <w:pPr>
      <w:spacing w:before="300" w:after="200"/>
      <w:contextualSpacing/>
    </w:pPr>
    <w:rPr>
      <w:sz w:val="48"/>
      <w:szCs w:val="48"/>
    </w:rPr>
  </w:style>
  <w:style w:type="paragraph" w:styleId="34">
    <w:name w:val="Body Text First Indent"/>
    <w:basedOn w:val="2"/>
    <w:qFormat/>
    <w:uiPriority w:val="0"/>
    <w:pPr>
      <w:spacing w:line="360" w:lineRule="auto"/>
      <w:ind w:firstLine="200"/>
    </w:pPr>
    <w:rPr>
      <w:rFonts w:ascii="仿宋_GB2312" w:eastAsia="仿宋_GB2312"/>
      <w:sz w:val="30"/>
      <w:szCs w:val="30"/>
    </w:rPr>
  </w:style>
  <w:style w:type="paragraph" w:styleId="35">
    <w:name w:val="Body Text First Indent 2"/>
    <w:basedOn w:val="15"/>
    <w:next w:val="1"/>
    <w:qFormat/>
    <w:uiPriority w:val="0"/>
    <w:pPr>
      <w:spacing w:line="360" w:lineRule="auto"/>
      <w:ind w:firstLine="420"/>
    </w:pPr>
    <w:rPr>
      <w:rFonts w:ascii="宋体" w:hAnsi="宋体" w:eastAsia="宋体"/>
      <w:sz w:val="21"/>
      <w:szCs w:val="20"/>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basedOn w:val="38"/>
    <w:semiHidden/>
    <w:unhideWhenUsed/>
    <w:qFormat/>
    <w:uiPriority w:val="99"/>
    <w:rPr>
      <w:vertAlign w:val="superscript"/>
    </w:rPr>
  </w:style>
  <w:style w:type="character" w:styleId="40">
    <w:name w:val="page number"/>
    <w:basedOn w:val="38"/>
    <w:qFormat/>
    <w:uiPriority w:val="0"/>
  </w:style>
  <w:style w:type="character" w:styleId="41">
    <w:name w:val="FollowedHyperlink"/>
    <w:basedOn w:val="38"/>
    <w:semiHidden/>
    <w:unhideWhenUsed/>
    <w:qFormat/>
    <w:uiPriority w:val="99"/>
    <w:rPr>
      <w:color w:val="333333"/>
      <w:u w:val="none"/>
    </w:rPr>
  </w:style>
  <w:style w:type="character" w:styleId="42">
    <w:name w:val="Hyperlink"/>
    <w:unhideWhenUsed/>
    <w:qFormat/>
    <w:uiPriority w:val="99"/>
    <w:rPr>
      <w:color w:val="0026E5" w:themeColor="hyperlink"/>
      <w:u w:val="single"/>
      <w14:textFill>
        <w14:solidFill>
          <w14:schemeClr w14:val="hlink"/>
        </w14:solidFill>
      </w14:textFill>
    </w:rPr>
  </w:style>
  <w:style w:type="character" w:styleId="43">
    <w:name w:val="footnote reference"/>
    <w:basedOn w:val="38"/>
    <w:unhideWhenUsed/>
    <w:qFormat/>
    <w:uiPriority w:val="99"/>
    <w:rPr>
      <w:vertAlign w:val="superscript"/>
    </w:rPr>
  </w:style>
  <w:style w:type="character" w:customStyle="1" w:styleId="44">
    <w:name w:val="Heading 2 Char"/>
    <w:basedOn w:val="38"/>
    <w:qFormat/>
    <w:uiPriority w:val="9"/>
    <w:rPr>
      <w:rFonts w:ascii="Arial" w:hAnsi="Arial" w:eastAsia="Arial" w:cs="Arial"/>
      <w:sz w:val="34"/>
    </w:rPr>
  </w:style>
  <w:style w:type="character" w:customStyle="1" w:styleId="45">
    <w:name w:val="Heading 3 Char"/>
    <w:basedOn w:val="38"/>
    <w:qFormat/>
    <w:uiPriority w:val="9"/>
    <w:rPr>
      <w:rFonts w:ascii="Arial" w:hAnsi="Arial" w:eastAsia="Arial" w:cs="Arial"/>
      <w:sz w:val="30"/>
      <w:szCs w:val="30"/>
    </w:rPr>
  </w:style>
  <w:style w:type="character" w:customStyle="1" w:styleId="46">
    <w:name w:val="Heading 4 Char"/>
    <w:basedOn w:val="38"/>
    <w:qFormat/>
    <w:uiPriority w:val="9"/>
    <w:rPr>
      <w:rFonts w:ascii="Arial" w:hAnsi="Arial" w:eastAsia="Arial" w:cs="Arial"/>
      <w:b/>
      <w:bCs/>
      <w:sz w:val="26"/>
      <w:szCs w:val="26"/>
    </w:rPr>
  </w:style>
  <w:style w:type="character" w:customStyle="1" w:styleId="47">
    <w:name w:val="Heading 5 Char"/>
    <w:basedOn w:val="38"/>
    <w:qFormat/>
    <w:uiPriority w:val="9"/>
    <w:rPr>
      <w:rFonts w:ascii="Arial" w:hAnsi="Arial" w:eastAsia="Arial" w:cs="Arial"/>
      <w:b/>
      <w:bCs/>
      <w:sz w:val="24"/>
      <w:szCs w:val="24"/>
    </w:rPr>
  </w:style>
  <w:style w:type="character" w:customStyle="1" w:styleId="48">
    <w:name w:val="Heading 6 Char"/>
    <w:basedOn w:val="38"/>
    <w:qFormat/>
    <w:uiPriority w:val="9"/>
    <w:rPr>
      <w:rFonts w:ascii="Arial" w:hAnsi="Arial" w:eastAsia="Arial" w:cs="Arial"/>
      <w:b/>
      <w:bCs/>
      <w:sz w:val="22"/>
      <w:szCs w:val="22"/>
    </w:rPr>
  </w:style>
  <w:style w:type="character" w:customStyle="1" w:styleId="49">
    <w:name w:val="Heading 7 Char"/>
    <w:basedOn w:val="38"/>
    <w:qFormat/>
    <w:uiPriority w:val="9"/>
    <w:rPr>
      <w:rFonts w:ascii="Arial" w:hAnsi="Arial" w:eastAsia="Arial" w:cs="Arial"/>
      <w:b/>
      <w:bCs/>
      <w:i/>
      <w:iCs/>
      <w:sz w:val="22"/>
      <w:szCs w:val="22"/>
    </w:rPr>
  </w:style>
  <w:style w:type="character" w:customStyle="1" w:styleId="50">
    <w:name w:val="Heading 8 Char"/>
    <w:basedOn w:val="38"/>
    <w:qFormat/>
    <w:uiPriority w:val="9"/>
    <w:rPr>
      <w:rFonts w:ascii="Arial" w:hAnsi="Arial" w:eastAsia="Arial" w:cs="Arial"/>
      <w:i/>
      <w:iCs/>
      <w:sz w:val="22"/>
      <w:szCs w:val="22"/>
    </w:rPr>
  </w:style>
  <w:style w:type="character" w:customStyle="1" w:styleId="51">
    <w:name w:val="Heading 9 Char"/>
    <w:basedOn w:val="38"/>
    <w:qFormat/>
    <w:uiPriority w:val="9"/>
    <w:rPr>
      <w:rFonts w:ascii="Arial" w:hAnsi="Arial" w:eastAsia="Arial" w:cs="Arial"/>
      <w:i/>
      <w:iCs/>
      <w:sz w:val="21"/>
      <w:szCs w:val="21"/>
    </w:rPr>
  </w:style>
  <w:style w:type="character" w:customStyle="1" w:styleId="52">
    <w:name w:val="Title Char"/>
    <w:basedOn w:val="38"/>
    <w:qFormat/>
    <w:uiPriority w:val="10"/>
    <w:rPr>
      <w:sz w:val="48"/>
      <w:szCs w:val="48"/>
    </w:rPr>
  </w:style>
  <w:style w:type="character" w:customStyle="1" w:styleId="53">
    <w:name w:val="Subtitle Char"/>
    <w:basedOn w:val="38"/>
    <w:qFormat/>
    <w:uiPriority w:val="11"/>
    <w:rPr>
      <w:sz w:val="24"/>
      <w:szCs w:val="24"/>
    </w:rPr>
  </w:style>
  <w:style w:type="character" w:customStyle="1" w:styleId="54">
    <w:name w:val="Quote Char"/>
    <w:qFormat/>
    <w:uiPriority w:val="29"/>
    <w:rPr>
      <w:i/>
    </w:rPr>
  </w:style>
  <w:style w:type="character" w:customStyle="1" w:styleId="55">
    <w:name w:val="Intense Quote Char"/>
    <w:qFormat/>
    <w:uiPriority w:val="30"/>
    <w:rPr>
      <w:i/>
    </w:rPr>
  </w:style>
  <w:style w:type="table" w:customStyle="1" w:styleId="56">
    <w:name w:val="无格式表格 11"/>
    <w:basedOn w:val="3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36"/>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36"/>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36"/>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36"/>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36"/>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网格表 21"/>
    <w:basedOn w:val="3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3">
    <w:name w:val="网格表 31"/>
    <w:basedOn w:val="3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4">
    <w:name w:val="网格表 41"/>
    <w:basedOn w:val="36"/>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网格表 5 深色1"/>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6">
    <w:name w:val="网格表 6 彩色1"/>
    <w:basedOn w:val="36"/>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7">
    <w:name w:val="网格表 7 彩色1"/>
    <w:basedOn w:val="36"/>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8">
    <w:name w:val="清单表 1 浅色1"/>
    <w:basedOn w:val="36"/>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9">
    <w:name w:val="清单表 21"/>
    <w:basedOn w:val="36"/>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0">
    <w:name w:val="清单表 31"/>
    <w:basedOn w:val="3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1">
    <w:name w:val="清单表 41"/>
    <w:basedOn w:val="3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清单表 5 深色1"/>
    <w:basedOn w:val="36"/>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3">
    <w:name w:val="清单表 6 彩色1"/>
    <w:basedOn w:val="36"/>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4">
    <w:name w:val="清单表 7 彩色1"/>
    <w:basedOn w:val="36"/>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5">
    <w:name w:val="Footnote Text Char"/>
    <w:qFormat/>
    <w:uiPriority w:val="99"/>
    <w:rPr>
      <w:sz w:val="18"/>
    </w:rPr>
  </w:style>
  <w:style w:type="character" w:customStyle="1" w:styleId="76">
    <w:name w:val="Endnote Text Char"/>
    <w:qFormat/>
    <w:uiPriority w:val="99"/>
    <w:rPr>
      <w:sz w:val="20"/>
    </w:rPr>
  </w:style>
  <w:style w:type="paragraph" w:customStyle="1" w:styleId="77">
    <w:name w:val="TOC 标题1"/>
    <w:unhideWhenUsed/>
    <w:qFormat/>
    <w:uiPriority w:val="39"/>
    <w:rPr>
      <w:rFonts w:asciiTheme="minorHAnsi" w:hAnsiTheme="minorHAnsi" w:eastAsiaTheme="minorEastAsia" w:cstheme="minorBidi"/>
      <w:lang w:val="en-US" w:eastAsia="zh-CN" w:bidi="ar-SA"/>
    </w:rPr>
  </w:style>
  <w:style w:type="paragraph" w:customStyle="1" w:styleId="78">
    <w:name w:val="报告正文"/>
    <w:basedOn w:val="1"/>
    <w:qFormat/>
    <w:uiPriority w:val="0"/>
    <w:pPr>
      <w:ind w:firstLine="560"/>
    </w:pPr>
    <w:rPr>
      <w:szCs w:val="20"/>
      <w:lang w:val="zh-CN"/>
    </w:rPr>
  </w:style>
  <w:style w:type="character" w:customStyle="1" w:styleId="79">
    <w:name w:val="Heading 1 Char"/>
    <w:basedOn w:val="38"/>
    <w:qFormat/>
    <w:uiPriority w:val="9"/>
    <w:rPr>
      <w:rFonts w:ascii="Arial" w:hAnsi="Arial" w:eastAsia="Arial" w:cs="Arial"/>
      <w:sz w:val="40"/>
      <w:szCs w:val="40"/>
    </w:rPr>
  </w:style>
  <w:style w:type="character" w:customStyle="1" w:styleId="80">
    <w:name w:val="标题 2 字符"/>
    <w:basedOn w:val="38"/>
    <w:link w:val="4"/>
    <w:qFormat/>
    <w:uiPriority w:val="9"/>
    <w:rPr>
      <w:rFonts w:ascii="Arial" w:hAnsi="Arial" w:eastAsia="Arial" w:cs="Arial"/>
      <w:sz w:val="34"/>
    </w:rPr>
  </w:style>
  <w:style w:type="character" w:customStyle="1" w:styleId="81">
    <w:name w:val="标题 3 字符"/>
    <w:basedOn w:val="38"/>
    <w:link w:val="5"/>
    <w:qFormat/>
    <w:uiPriority w:val="9"/>
    <w:rPr>
      <w:rFonts w:ascii="Arial" w:hAnsi="Arial" w:eastAsia="Arial" w:cs="Arial"/>
      <w:sz w:val="30"/>
      <w:szCs w:val="30"/>
    </w:rPr>
  </w:style>
  <w:style w:type="character" w:customStyle="1" w:styleId="82">
    <w:name w:val="标题 4 字符"/>
    <w:basedOn w:val="38"/>
    <w:link w:val="6"/>
    <w:qFormat/>
    <w:uiPriority w:val="9"/>
    <w:rPr>
      <w:rFonts w:ascii="Arial" w:hAnsi="Arial" w:eastAsia="Arial" w:cs="Arial"/>
      <w:b/>
      <w:bCs/>
      <w:sz w:val="26"/>
      <w:szCs w:val="26"/>
    </w:rPr>
  </w:style>
  <w:style w:type="character" w:customStyle="1" w:styleId="83">
    <w:name w:val="标题 5 字符"/>
    <w:basedOn w:val="38"/>
    <w:link w:val="7"/>
    <w:qFormat/>
    <w:uiPriority w:val="9"/>
    <w:rPr>
      <w:rFonts w:ascii="Arial" w:hAnsi="Arial" w:eastAsia="Arial" w:cs="Arial"/>
      <w:b/>
      <w:bCs/>
      <w:sz w:val="24"/>
      <w:szCs w:val="24"/>
    </w:rPr>
  </w:style>
  <w:style w:type="character" w:customStyle="1" w:styleId="84">
    <w:name w:val="标题 6 字符"/>
    <w:basedOn w:val="38"/>
    <w:link w:val="8"/>
    <w:qFormat/>
    <w:uiPriority w:val="9"/>
    <w:rPr>
      <w:rFonts w:ascii="Arial" w:hAnsi="Arial" w:eastAsia="Arial" w:cs="Arial"/>
      <w:b/>
      <w:bCs/>
      <w:sz w:val="22"/>
      <w:szCs w:val="22"/>
    </w:rPr>
  </w:style>
  <w:style w:type="character" w:customStyle="1" w:styleId="85">
    <w:name w:val="标题 7 字符"/>
    <w:basedOn w:val="38"/>
    <w:link w:val="9"/>
    <w:qFormat/>
    <w:uiPriority w:val="9"/>
    <w:rPr>
      <w:rFonts w:ascii="Arial" w:hAnsi="Arial" w:eastAsia="Arial" w:cs="Arial"/>
      <w:b/>
      <w:bCs/>
      <w:i/>
      <w:iCs/>
      <w:sz w:val="22"/>
      <w:szCs w:val="22"/>
    </w:rPr>
  </w:style>
  <w:style w:type="character" w:customStyle="1" w:styleId="86">
    <w:name w:val="标题 8 字符"/>
    <w:basedOn w:val="38"/>
    <w:link w:val="10"/>
    <w:qFormat/>
    <w:uiPriority w:val="9"/>
    <w:rPr>
      <w:rFonts w:ascii="Arial" w:hAnsi="Arial" w:eastAsia="Arial" w:cs="Arial"/>
      <w:i/>
      <w:iCs/>
      <w:sz w:val="22"/>
      <w:szCs w:val="22"/>
    </w:rPr>
  </w:style>
  <w:style w:type="character" w:customStyle="1" w:styleId="87">
    <w:name w:val="标题 9 字符"/>
    <w:basedOn w:val="38"/>
    <w:link w:val="11"/>
    <w:qFormat/>
    <w:uiPriority w:val="9"/>
    <w:rPr>
      <w:rFonts w:ascii="Arial" w:hAnsi="Arial" w:eastAsia="Arial" w:cs="Arial"/>
      <w:i/>
      <w:iCs/>
      <w:sz w:val="21"/>
      <w:szCs w:val="21"/>
    </w:rPr>
  </w:style>
  <w:style w:type="paragraph" w:styleId="88">
    <w:name w:val="List Paragraph"/>
    <w:basedOn w:val="1"/>
    <w:qFormat/>
    <w:uiPriority w:val="34"/>
    <w:pPr>
      <w:ind w:left="720"/>
      <w:contextualSpacing/>
    </w:pPr>
  </w:style>
  <w:style w:type="character" w:customStyle="1" w:styleId="89">
    <w:name w:val="标题 字符"/>
    <w:basedOn w:val="38"/>
    <w:link w:val="33"/>
    <w:qFormat/>
    <w:uiPriority w:val="10"/>
    <w:rPr>
      <w:sz w:val="48"/>
      <w:szCs w:val="48"/>
    </w:rPr>
  </w:style>
  <w:style w:type="character" w:customStyle="1" w:styleId="90">
    <w:name w:val="副标题 字符"/>
    <w:basedOn w:val="38"/>
    <w:link w:val="26"/>
    <w:qFormat/>
    <w:uiPriority w:val="11"/>
    <w:rPr>
      <w:sz w:val="24"/>
      <w:szCs w:val="24"/>
    </w:rPr>
  </w:style>
  <w:style w:type="paragraph" w:styleId="91">
    <w:name w:val="Quote"/>
    <w:basedOn w:val="1"/>
    <w:next w:val="1"/>
    <w:link w:val="92"/>
    <w:qFormat/>
    <w:uiPriority w:val="29"/>
    <w:pPr>
      <w:ind w:left="720" w:right="720"/>
    </w:pPr>
    <w:rPr>
      <w:i/>
    </w:rPr>
  </w:style>
  <w:style w:type="character" w:customStyle="1" w:styleId="92">
    <w:name w:val="引用 字符"/>
    <w:link w:val="91"/>
    <w:qFormat/>
    <w:uiPriority w:val="29"/>
    <w:rPr>
      <w:i/>
    </w:rPr>
  </w:style>
  <w:style w:type="paragraph" w:styleId="93">
    <w:name w:val="Intense Quote"/>
    <w:basedOn w:val="1"/>
    <w:next w:val="1"/>
    <w:link w:val="9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4">
    <w:name w:val="明显引用 字符"/>
    <w:link w:val="93"/>
    <w:qFormat/>
    <w:uiPriority w:val="30"/>
    <w:rPr>
      <w:i/>
    </w:rPr>
  </w:style>
  <w:style w:type="character" w:customStyle="1" w:styleId="95">
    <w:name w:val="Header Char"/>
    <w:basedOn w:val="38"/>
    <w:qFormat/>
    <w:uiPriority w:val="99"/>
  </w:style>
  <w:style w:type="character" w:customStyle="1" w:styleId="96">
    <w:name w:val="Footer Char"/>
    <w:basedOn w:val="38"/>
    <w:qFormat/>
    <w:uiPriority w:val="99"/>
  </w:style>
  <w:style w:type="character" w:customStyle="1" w:styleId="97">
    <w:name w:val="Caption Char"/>
    <w:qFormat/>
    <w:uiPriority w:val="99"/>
  </w:style>
  <w:style w:type="table" w:customStyle="1" w:styleId="98">
    <w:name w:val="Table Grid Light"/>
    <w:basedOn w:val="3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99">
    <w:name w:val="Grid Table 1 Light - Accent 1"/>
    <w:basedOn w:val="36"/>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00">
    <w:name w:val="Grid Table 1 Light - Accent 2"/>
    <w:basedOn w:val="36"/>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01">
    <w:name w:val="Grid Table 1 Light - Accent 3"/>
    <w:basedOn w:val="36"/>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02">
    <w:name w:val="Grid Table 1 Light - Accent 4"/>
    <w:basedOn w:val="36"/>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03">
    <w:name w:val="Grid Table 1 Light - Accent 5"/>
    <w:basedOn w:val="36"/>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04">
    <w:name w:val="Grid Table 1 Light - Accent 6"/>
    <w:basedOn w:val="36"/>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105">
    <w:name w:val="Grid Table 2 - Accent 1"/>
    <w:basedOn w:val="36"/>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06">
    <w:name w:val="Grid Table 2 - Accent 2"/>
    <w:basedOn w:val="36"/>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07">
    <w:name w:val="Grid Table 2 - Accent 3"/>
    <w:basedOn w:val="36"/>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08">
    <w:name w:val="Grid Table 2 - Accent 4"/>
    <w:basedOn w:val="36"/>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09">
    <w:name w:val="Grid Table 2 - Accent 5"/>
    <w:basedOn w:val="36"/>
    <w:qFormat/>
    <w:uiPriority w:val="99"/>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10">
    <w:name w:val="Grid Table 2 - Accent 6"/>
    <w:basedOn w:val="36"/>
    <w:qFormat/>
    <w:uiPriority w:val="99"/>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11">
    <w:name w:val="Grid Table 3 - Accent 1"/>
    <w:basedOn w:val="36"/>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12">
    <w:name w:val="Grid Table 3 - Accent 2"/>
    <w:basedOn w:val="36"/>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13">
    <w:name w:val="Grid Table 3 - Accent 3"/>
    <w:basedOn w:val="36"/>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14">
    <w:name w:val="Grid Table 3 - Accent 4"/>
    <w:basedOn w:val="36"/>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15">
    <w:name w:val="Grid Table 3 - Accent 5"/>
    <w:basedOn w:val="36"/>
    <w:qFormat/>
    <w:uiPriority w:val="99"/>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16">
    <w:name w:val="Grid Table 3 - Accent 6"/>
    <w:basedOn w:val="36"/>
    <w:qFormat/>
    <w:uiPriority w:val="99"/>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17">
    <w:name w:val="Grid Table 4 - Accent 1"/>
    <w:basedOn w:val="36"/>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118">
    <w:name w:val="Grid Table 4 - Accent 2"/>
    <w:basedOn w:val="36"/>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19">
    <w:name w:val="Grid Table 4 - Accent 3"/>
    <w:basedOn w:val="36"/>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20">
    <w:name w:val="Grid Table 4 - Accent 4"/>
    <w:basedOn w:val="36"/>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21">
    <w:name w:val="Grid Table 4 - Accent 5"/>
    <w:basedOn w:val="36"/>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22">
    <w:name w:val="Grid Table 4 - Accent 6"/>
    <w:basedOn w:val="36"/>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23">
    <w:name w:val="Grid Table 5 Dark- Accent 1"/>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24">
    <w:name w:val="Grid Table 5 Dark - Accent 2"/>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25">
    <w:name w:val="Grid Table 5 Dark - Accent 3"/>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26">
    <w:name w:val="Grid Table 5 Dark- Accent 4"/>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27">
    <w:name w:val="Grid Table 5 Dark - Accent 5"/>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28">
    <w:name w:val="Grid Table 5 Dark - Accent 6"/>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29">
    <w:name w:val="Grid Table 6 Colorful - Accent 1"/>
    <w:basedOn w:val="36"/>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30">
    <w:name w:val="Grid Table 6 Colorful - Accent 2"/>
    <w:basedOn w:val="36"/>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31">
    <w:name w:val="Grid Table 6 Colorful - Accent 3"/>
    <w:basedOn w:val="36"/>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32">
    <w:name w:val="Grid Table 6 Colorful - Accent 4"/>
    <w:basedOn w:val="36"/>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33">
    <w:name w:val="Grid Table 6 Colorful - Accent 5"/>
    <w:basedOn w:val="36"/>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34">
    <w:name w:val="Grid Table 6 Colorful - Accent 6"/>
    <w:basedOn w:val="36"/>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35">
    <w:name w:val="Grid Table 7 Colorful - Accent 1"/>
    <w:basedOn w:val="36"/>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36">
    <w:name w:val="Grid Table 7 Colorful - Accent 2"/>
    <w:basedOn w:val="36"/>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37">
    <w:name w:val="Grid Table 7 Colorful - Accent 3"/>
    <w:basedOn w:val="36"/>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38">
    <w:name w:val="Grid Table 7 Colorful - Accent 4"/>
    <w:basedOn w:val="36"/>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39">
    <w:name w:val="Grid Table 7 Colorful - Accent 5"/>
    <w:basedOn w:val="36"/>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40">
    <w:name w:val="Grid Table 7 Colorful - Accent 6"/>
    <w:basedOn w:val="36"/>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41">
    <w:name w:val="List Table 1 Light - Accent 1"/>
    <w:basedOn w:val="36"/>
    <w:qFormat/>
    <w:uiPriority w:val="99"/>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42">
    <w:name w:val="List Table 1 Light - Accent 2"/>
    <w:basedOn w:val="36"/>
    <w:qFormat/>
    <w:uiPriority w:val="99"/>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43">
    <w:name w:val="List Table 1 Light - Accent 3"/>
    <w:basedOn w:val="36"/>
    <w:qFormat/>
    <w:uiPriority w:val="99"/>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44">
    <w:name w:val="List Table 1 Light - Accent 4"/>
    <w:basedOn w:val="36"/>
    <w:qFormat/>
    <w:uiPriority w:val="99"/>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45">
    <w:name w:val="List Table 1 Light - Accent 5"/>
    <w:basedOn w:val="36"/>
    <w:qFormat/>
    <w:uiPriority w:val="99"/>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46">
    <w:name w:val="List Table 1 Light - Accent 6"/>
    <w:basedOn w:val="36"/>
    <w:qFormat/>
    <w:uiPriority w:val="99"/>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47">
    <w:name w:val="List Table 2 - Accent 1"/>
    <w:basedOn w:val="36"/>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48">
    <w:name w:val="List Table 2 - Accent 2"/>
    <w:basedOn w:val="36"/>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49">
    <w:name w:val="List Table 2 - Accent 3"/>
    <w:basedOn w:val="36"/>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50">
    <w:name w:val="List Table 2 - Accent 4"/>
    <w:basedOn w:val="36"/>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51">
    <w:name w:val="List Table 2 - Accent 5"/>
    <w:basedOn w:val="36"/>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52">
    <w:name w:val="List Table 2 - Accent 6"/>
    <w:basedOn w:val="36"/>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53">
    <w:name w:val="List Table 3 - Accent 1"/>
    <w:basedOn w:val="36"/>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54">
    <w:name w:val="List Table 3 - Accent 2"/>
    <w:basedOn w:val="36"/>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55">
    <w:name w:val="List Table 3 - Accent 3"/>
    <w:basedOn w:val="36"/>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56">
    <w:name w:val="List Table 3 - Accent 4"/>
    <w:basedOn w:val="36"/>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57">
    <w:name w:val="List Table 3 - Accent 5"/>
    <w:basedOn w:val="36"/>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58">
    <w:name w:val="List Table 3 - Accent 6"/>
    <w:basedOn w:val="36"/>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59">
    <w:name w:val="List Table 4 - Accent 1"/>
    <w:basedOn w:val="36"/>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60">
    <w:name w:val="List Table 4 - Accent 2"/>
    <w:basedOn w:val="36"/>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61">
    <w:name w:val="List Table 4 - Accent 3"/>
    <w:basedOn w:val="36"/>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62">
    <w:name w:val="List Table 4 - Accent 4"/>
    <w:basedOn w:val="36"/>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63">
    <w:name w:val="List Table 4 - Accent 5"/>
    <w:basedOn w:val="36"/>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64">
    <w:name w:val="List Table 4 - Accent 6"/>
    <w:basedOn w:val="36"/>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65">
    <w:name w:val="List Table 5 Dark - Accent 1"/>
    <w:basedOn w:val="36"/>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66">
    <w:name w:val="List Table 5 Dark - Accent 2"/>
    <w:basedOn w:val="36"/>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67">
    <w:name w:val="List Table 5 Dark - Accent 3"/>
    <w:basedOn w:val="36"/>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68">
    <w:name w:val="List Table 5 Dark - Accent 4"/>
    <w:basedOn w:val="36"/>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69">
    <w:name w:val="List Table 5 Dark - Accent 5"/>
    <w:basedOn w:val="36"/>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70">
    <w:name w:val="List Table 5 Dark - Accent 6"/>
    <w:basedOn w:val="36"/>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71">
    <w:name w:val="List Table 6 Colorful - Accent 1"/>
    <w:basedOn w:val="36"/>
    <w:qFormat/>
    <w:uiPriority w:val="99"/>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72">
    <w:name w:val="List Table 6 Colorful - Accent 2"/>
    <w:basedOn w:val="36"/>
    <w:qFormat/>
    <w:uiPriority w:val="99"/>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73">
    <w:name w:val="List Table 6 Colorful - Accent 3"/>
    <w:basedOn w:val="36"/>
    <w:qFormat/>
    <w:uiPriority w:val="99"/>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74">
    <w:name w:val="List Table 6 Colorful - Accent 4"/>
    <w:basedOn w:val="36"/>
    <w:qFormat/>
    <w:uiPriority w:val="99"/>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75">
    <w:name w:val="List Table 6 Colorful - Accent 5"/>
    <w:basedOn w:val="36"/>
    <w:qFormat/>
    <w:uiPriority w:val="99"/>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76">
    <w:name w:val="List Table 6 Colorful - Accent 6"/>
    <w:basedOn w:val="36"/>
    <w:qFormat/>
    <w:uiPriority w:val="99"/>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77">
    <w:name w:val="List Table 7 Colorful - Accent 1"/>
    <w:basedOn w:val="36"/>
    <w:qFormat/>
    <w:uiPriority w:val="99"/>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78">
    <w:name w:val="List Table 7 Colorful - Accent 2"/>
    <w:basedOn w:val="36"/>
    <w:qFormat/>
    <w:uiPriority w:val="99"/>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79">
    <w:name w:val="List Table 7 Colorful - Accent 3"/>
    <w:basedOn w:val="36"/>
    <w:qFormat/>
    <w:uiPriority w:val="99"/>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80">
    <w:name w:val="List Table 7 Colorful - Accent 4"/>
    <w:basedOn w:val="36"/>
    <w:qFormat/>
    <w:uiPriority w:val="99"/>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81">
    <w:name w:val="List Table 7 Colorful - Accent 5"/>
    <w:basedOn w:val="36"/>
    <w:qFormat/>
    <w:uiPriority w:val="99"/>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82">
    <w:name w:val="List Table 7 Colorful - Accent 6"/>
    <w:basedOn w:val="36"/>
    <w:qFormat/>
    <w:uiPriority w:val="99"/>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83">
    <w:name w:val="Lined - Accent"/>
    <w:basedOn w:val="36"/>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Lined - Accent 1"/>
    <w:basedOn w:val="36"/>
    <w:qFormat/>
    <w:uiPriority w:val="99"/>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85">
    <w:name w:val="Lined - Accent 2"/>
    <w:basedOn w:val="36"/>
    <w:qFormat/>
    <w:uiPriority w:val="99"/>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86">
    <w:name w:val="Lined - Accent 3"/>
    <w:basedOn w:val="36"/>
    <w:qFormat/>
    <w:uiPriority w:val="99"/>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87">
    <w:name w:val="Lined - Accent 4"/>
    <w:basedOn w:val="36"/>
    <w:qFormat/>
    <w:uiPriority w:val="99"/>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88">
    <w:name w:val="Lined - Accent 5"/>
    <w:basedOn w:val="36"/>
    <w:qFormat/>
    <w:uiPriority w:val="99"/>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89">
    <w:name w:val="Lined - Accent 6"/>
    <w:basedOn w:val="36"/>
    <w:qFormat/>
    <w:uiPriority w:val="99"/>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90">
    <w:name w:val="Bordered &amp; Lined - Accent"/>
    <w:basedOn w:val="36"/>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1">
    <w:name w:val="Bordered &amp; Lined - Accent 1"/>
    <w:basedOn w:val="36"/>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92">
    <w:name w:val="Bordered &amp; Lined - Accent 2"/>
    <w:basedOn w:val="36"/>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93">
    <w:name w:val="Bordered &amp; Lined - Accent 3"/>
    <w:basedOn w:val="36"/>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94">
    <w:name w:val="Bordered &amp; Lined - Accent 4"/>
    <w:basedOn w:val="36"/>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95">
    <w:name w:val="Bordered &amp; Lined - Accent 5"/>
    <w:basedOn w:val="36"/>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96">
    <w:name w:val="Bordered &amp; Lined - Accent 6"/>
    <w:basedOn w:val="36"/>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97">
    <w:name w:val="Bordered"/>
    <w:basedOn w:val="36"/>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8">
    <w:name w:val="Bordered - Accent 1"/>
    <w:basedOn w:val="36"/>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99">
    <w:name w:val="Bordered - Accent 2"/>
    <w:basedOn w:val="36"/>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200">
    <w:name w:val="Bordered - Accent 3"/>
    <w:basedOn w:val="36"/>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201">
    <w:name w:val="Bordered - Accent 4"/>
    <w:basedOn w:val="36"/>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202">
    <w:name w:val="Bordered - Accent 5"/>
    <w:basedOn w:val="36"/>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203">
    <w:name w:val="Bordered - Accent 6"/>
    <w:basedOn w:val="36"/>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204">
    <w:name w:val="脚注文本 字符"/>
    <w:link w:val="27"/>
    <w:qFormat/>
    <w:uiPriority w:val="99"/>
    <w:rPr>
      <w:sz w:val="18"/>
    </w:rPr>
  </w:style>
  <w:style w:type="character" w:customStyle="1" w:styleId="205">
    <w:name w:val="尾注文本 字符"/>
    <w:link w:val="21"/>
    <w:qFormat/>
    <w:uiPriority w:val="99"/>
    <w:rPr>
      <w:sz w:val="20"/>
    </w:rPr>
  </w:style>
  <w:style w:type="paragraph" w:customStyle="1" w:styleId="206">
    <w:name w:val="TOC 标题11"/>
    <w:unhideWhenUsed/>
    <w:qFormat/>
    <w:uiPriority w:val="39"/>
    <w:rPr>
      <w:rFonts w:asciiTheme="minorHAnsi" w:hAnsiTheme="minorHAnsi" w:eastAsiaTheme="minorEastAsia" w:cstheme="minorBidi"/>
      <w:lang w:val="en-US" w:eastAsia="zh-CN" w:bidi="ar-SA"/>
    </w:rPr>
  </w:style>
  <w:style w:type="paragraph" w:customStyle="1" w:styleId="207">
    <w:name w:val="普通正文"/>
    <w:basedOn w:val="1"/>
    <w:qFormat/>
    <w:uiPriority w:val="0"/>
    <w:pPr>
      <w:spacing w:before="120" w:after="120" w:line="360" w:lineRule="auto"/>
      <w:ind w:firstLine="480"/>
      <w:jc w:val="left"/>
    </w:pPr>
    <w:rPr>
      <w:rFonts w:ascii="Arial" w:hAnsi="Arial"/>
      <w:sz w:val="24"/>
      <w:szCs w:val="24"/>
    </w:rPr>
  </w:style>
  <w:style w:type="paragraph" w:styleId="208">
    <w:name w:val="No Spacing"/>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209">
    <w:name w:val="一级目录"/>
    <w:next w:val="1"/>
    <w:qFormat/>
    <w:uiPriority w:val="0"/>
    <w:pPr>
      <w:jc w:val="center"/>
      <w:outlineLvl w:val="0"/>
    </w:pPr>
    <w:rPr>
      <w:rFonts w:ascii="黑体" w:hAnsi="Times New Roman" w:eastAsia="黑体" w:cs="Times New Roman"/>
      <w:b/>
      <w:sz w:val="44"/>
      <w:szCs w:val="44"/>
      <w:lang w:val="en-US" w:eastAsia="zh-CN" w:bidi="ar-SA"/>
    </w:rPr>
  </w:style>
  <w:style w:type="paragraph" w:customStyle="1" w:styleId="210">
    <w:name w:val="二级目录"/>
    <w:next w:val="1"/>
    <w:qFormat/>
    <w:uiPriority w:val="0"/>
    <w:pPr>
      <w:numPr>
        <w:ilvl w:val="0"/>
        <w:numId w:val="1"/>
      </w:numPr>
      <w:tabs>
        <w:tab w:val="left" w:pos="1145"/>
      </w:tabs>
      <w:outlineLvl w:val="1"/>
    </w:pPr>
    <w:rPr>
      <w:rFonts w:ascii="Times New Roman" w:hAnsi="Times New Roman" w:eastAsia="宋体" w:cs="Times New Roman"/>
      <w:b/>
      <w:sz w:val="30"/>
      <w:szCs w:val="28"/>
      <w:lang w:val="en-US" w:eastAsia="zh-CN" w:bidi="ar-SA"/>
    </w:rPr>
  </w:style>
  <w:style w:type="paragraph" w:customStyle="1" w:styleId="211">
    <w:name w:val="Table Paragraph"/>
    <w:basedOn w:val="1"/>
    <w:qFormat/>
    <w:uiPriority w:val="1"/>
    <w:rPr>
      <w:rFonts w:ascii="宋体" w:hAnsi="宋体" w:cs="宋体"/>
      <w:lang w:val="zh-CN" w:bidi="zh-CN"/>
    </w:rPr>
  </w:style>
  <w:style w:type="paragraph" w:customStyle="1" w:styleId="212">
    <w:name w:val="Default"/>
    <w:qFormat/>
    <w:uiPriority w:val="0"/>
    <w:pPr>
      <w:widowControl w:val="0"/>
    </w:pPr>
    <w:rPr>
      <w:rFonts w:ascii="Times New Roman" w:hAnsi="Times New Roman" w:eastAsia="宋体" w:cs="Calibri"/>
      <w:color w:val="000000"/>
      <w:sz w:val="24"/>
      <w:szCs w:val="24"/>
      <w:lang w:val="en-US" w:eastAsia="zh-CN" w:bidi="ar-SA"/>
    </w:rPr>
  </w:style>
  <w:style w:type="paragraph" w:customStyle="1" w:styleId="213">
    <w:name w:val="正文文本11"/>
    <w:basedOn w:val="1"/>
    <w:next w:val="214"/>
    <w:qFormat/>
    <w:uiPriority w:val="0"/>
    <w:rPr>
      <w:rFonts w:ascii="楷体_GB2312" w:hAnsi="Arial" w:eastAsia="楷体_GB2312"/>
      <w:sz w:val="28"/>
      <w:szCs w:val="28"/>
    </w:rPr>
  </w:style>
  <w:style w:type="paragraph" w:customStyle="1" w:styleId="214">
    <w:name w:val="一级条标题"/>
    <w:basedOn w:val="215"/>
    <w:next w:val="21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15">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216">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217">
    <w:name w:val="font51"/>
    <w:basedOn w:val="38"/>
    <w:qFormat/>
    <w:uiPriority w:val="0"/>
    <w:rPr>
      <w:rFonts w:hint="eastAsia" w:ascii="宋体" w:hAnsi="宋体" w:eastAsia="宋体" w:cs="宋体"/>
      <w:b/>
      <w:bCs/>
      <w:color w:val="000000"/>
      <w:sz w:val="40"/>
      <w:szCs w:val="40"/>
      <w:u w:val="none"/>
    </w:rPr>
  </w:style>
  <w:style w:type="paragraph" w:customStyle="1" w:styleId="218">
    <w:name w:val="正文缩进1"/>
    <w:basedOn w:val="1"/>
    <w:qFormat/>
    <w:uiPriority w:val="99"/>
    <w:pPr>
      <w:jc w:val="left"/>
    </w:pPr>
    <w:rPr>
      <w:sz w:val="24"/>
    </w:rPr>
  </w:style>
  <w:style w:type="paragraph" w:customStyle="1" w:styleId="219">
    <w:name w:val="BodyText"/>
    <w:basedOn w:val="1"/>
    <w:qFormat/>
    <w:uiPriority w:val="0"/>
    <w:pPr>
      <w:spacing w:after="60" w:line="360" w:lineRule="atLeast"/>
      <w:ind w:left="72" w:right="30"/>
      <w:jc w:val="center"/>
    </w:pPr>
  </w:style>
  <w:style w:type="table" w:customStyle="1" w:styleId="220">
    <w:name w:val="网格型1"/>
    <w:basedOn w:val="36"/>
    <w:qFormat/>
    <w:uiPriority w:val="39"/>
    <w:rPr>
      <w:rFonts w:ascii="等线" w:hAnsi="等线" w:eastAsia="等线"/>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1">
    <w:name w:val="页脚 字符"/>
    <w:basedOn w:val="38"/>
    <w:link w:val="22"/>
    <w:qFormat/>
    <w:uiPriority w:val="99"/>
    <w:rPr>
      <w:rFonts w:ascii="Times New Roman" w:hAnsi="Times New Roman" w:eastAsia="宋体" w:cs="Times New Roman"/>
      <w:sz w:val="18"/>
      <w:szCs w:val="18"/>
    </w:rPr>
  </w:style>
  <w:style w:type="character" w:customStyle="1" w:styleId="222">
    <w:name w:val="font21"/>
    <w:basedOn w:val="38"/>
    <w:qFormat/>
    <w:uiPriority w:val="0"/>
    <w:rPr>
      <w:rFonts w:hint="eastAsia" w:ascii="宋体" w:hAnsi="宋体" w:eastAsia="宋体" w:cs="宋体"/>
      <w:color w:val="000000"/>
      <w:sz w:val="24"/>
      <w:szCs w:val="24"/>
      <w:u w:val="none"/>
    </w:rPr>
  </w:style>
  <w:style w:type="character" w:customStyle="1" w:styleId="223">
    <w:name w:val="active16"/>
    <w:basedOn w:val="38"/>
    <w:qFormat/>
    <w:uiPriority w:val="0"/>
    <w:rPr>
      <w:color w:val="FFFFFF"/>
      <w:bdr w:val="single" w:color="0F5BB9" w:sz="4" w:space="0"/>
      <w:shd w:val="clear" w:color="auto" w:fill="0F5BB9"/>
    </w:rPr>
  </w:style>
  <w:style w:type="paragraph" w:customStyle="1" w:styleId="224">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25">
    <w:name w:val="正文文本1"/>
    <w:basedOn w:val="1"/>
    <w:next w:val="214"/>
    <w:qFormat/>
    <w:uiPriority w:val="0"/>
    <w:rPr>
      <w:sz w:val="24"/>
      <w:szCs w:val="24"/>
    </w:rPr>
  </w:style>
  <w:style w:type="character" w:customStyle="1" w:styleId="226">
    <w:name w:val="font41"/>
    <w:basedOn w:val="38"/>
    <w:qFormat/>
    <w:uiPriority w:val="0"/>
    <w:rPr>
      <w:rFonts w:hint="eastAsia" w:ascii="宋体" w:hAnsi="宋体" w:eastAsia="宋体" w:cs="宋体"/>
      <w:color w:val="000000"/>
      <w:sz w:val="18"/>
      <w:szCs w:val="18"/>
      <w:u w:val="none"/>
    </w:rPr>
  </w:style>
  <w:style w:type="character" w:customStyle="1" w:styleId="227">
    <w:name w:val="font61"/>
    <w:basedOn w:val="38"/>
    <w:qFormat/>
    <w:uiPriority w:val="0"/>
    <w:rPr>
      <w:rFonts w:ascii="宋体" w:hAnsi="宋体" w:eastAsia="宋体" w:cs="宋体"/>
      <w:color w:val="000000"/>
      <w:sz w:val="18"/>
      <w:szCs w:val="18"/>
      <w:u w:val="none"/>
    </w:rPr>
  </w:style>
  <w:style w:type="character" w:customStyle="1" w:styleId="228">
    <w:name w:val="font71"/>
    <w:basedOn w:val="38"/>
    <w:qFormat/>
    <w:uiPriority w:val="0"/>
    <w:rPr>
      <w:rFonts w:hint="eastAsia" w:ascii="宋体" w:hAnsi="宋体" w:eastAsia="宋体" w:cs="宋体"/>
      <w:color w:val="FF0000"/>
      <w:sz w:val="18"/>
      <w:szCs w:val="18"/>
      <w:u w:val="none"/>
    </w:rPr>
  </w:style>
  <w:style w:type="paragraph" w:customStyle="1" w:styleId="229">
    <w:name w:val="纯文本11"/>
    <w:qFormat/>
    <w:uiPriority w:val="0"/>
    <w:pPr>
      <w:widowControl w:val="0"/>
      <w:jc w:val="both"/>
    </w:pPr>
    <w:rPr>
      <w:rFonts w:hint="eastAsia" w:ascii="宋体" w:hAnsi="宋体" w:eastAsia="楷体_GB2312" w:cs="Times New Roman"/>
      <w:kern w:val="1"/>
      <w:sz w:val="28"/>
      <w:lang w:val="en-US" w:eastAsia="zh-CN" w:bidi="ar-SA"/>
    </w:rPr>
  </w:style>
  <w:style w:type="character" w:customStyle="1" w:styleId="230">
    <w:name w:val="font11"/>
    <w:basedOn w:val="38"/>
    <w:qFormat/>
    <w:uiPriority w:val="0"/>
    <w:rPr>
      <w:rFonts w:hint="eastAsia" w:ascii="宋体" w:hAnsi="宋体" w:eastAsia="宋体" w:cs="宋体"/>
      <w:color w:val="000000"/>
      <w:sz w:val="20"/>
      <w:szCs w:val="20"/>
      <w:u w:val="none"/>
    </w:rPr>
  </w:style>
  <w:style w:type="character" w:customStyle="1" w:styleId="231">
    <w:name w:val="font81"/>
    <w:basedOn w:val="38"/>
    <w:qFormat/>
    <w:uiPriority w:val="0"/>
    <w:rPr>
      <w:rFonts w:hint="eastAsia" w:ascii="宋体" w:hAnsi="宋体" w:eastAsia="宋体" w:cs="宋体"/>
      <w:b/>
      <w:bCs/>
      <w:color w:val="000000"/>
      <w:sz w:val="20"/>
      <w:szCs w:val="20"/>
      <w:u w:val="none"/>
    </w:rPr>
  </w:style>
  <w:style w:type="character" w:customStyle="1" w:styleId="232">
    <w:name w:val="font91"/>
    <w:basedOn w:val="38"/>
    <w:qFormat/>
    <w:uiPriority w:val="0"/>
    <w:rPr>
      <w:rFonts w:hint="eastAsia" w:ascii="宋体" w:hAnsi="宋体" w:eastAsia="宋体" w:cs="宋体"/>
      <w:color w:val="FF0000"/>
      <w:sz w:val="18"/>
      <w:szCs w:val="18"/>
      <w:u w:val="none"/>
    </w:rPr>
  </w:style>
  <w:style w:type="character" w:customStyle="1" w:styleId="233">
    <w:name w:val="font31"/>
    <w:basedOn w:val="38"/>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111</Words>
  <Characters>141</Characters>
  <Lines>1084</Lines>
  <Paragraphs>755</Paragraphs>
  <TotalTime>30</TotalTime>
  <ScaleCrop>false</ScaleCrop>
  <LinksUpToDate>false</LinksUpToDate>
  <CharactersWithSpaces>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user</dc:creator>
  <cp:lastModifiedBy>KomineC</cp:lastModifiedBy>
  <dcterms:modified xsi:type="dcterms:W3CDTF">2026-03-05T01:43:44Z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2F14B43429A54C46BC650739957DAAAE_13</vt:lpwstr>
  </property>
  <property fmtid="{D5CDD505-2E9C-101B-9397-08002B2CF9AE}" pid="4" name="KSOTemplateDocerSaveRecord">
    <vt:lpwstr>eyJoZGlkIjoiYWFlYTE5ODU3MGE0Y2Y4ZmQ0NWUyZTlmNWYwNTNlOWQiLCJ1c2VySWQiOiI0ODEyMDkyMTMifQ==</vt:lpwstr>
  </property>
</Properties>
</file>