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756"/>
        <w:jc w:val="right"/>
        <w:rPr>
          <w:rFonts w:hint="eastAsia" w:ascii="宋体" w:hAnsi="宋体" w:eastAsia="宋体" w:cs="宋体"/>
          <w:color w:val="000000"/>
          <w:highlight w:val="none"/>
        </w:rPr>
      </w:pPr>
      <w:r>
        <w:rPr>
          <w:rFonts w:hint="eastAsia" w:ascii="宋体" w:hAnsi="宋体" w:eastAsia="宋体" w:cs="宋体"/>
          <w:color w:val="000000"/>
          <w:highlight w:val="none"/>
        </w:rPr>
        <w:t xml:space="preserve">                                                                                                      </w:t>
      </w:r>
      <w:r/>
    </w:p>
    <w:p>
      <w:pPr>
        <w:pStyle w:val="756"/>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756"/>
        <w:rPr>
          <w:rFonts w:hint="eastAsia" w:ascii="宋体" w:hAnsi="宋体" w:eastAsia="宋体" w:cs="宋体"/>
          <w:color w:val="000000"/>
          <w:highlight w:val="none"/>
        </w:rPr>
      </w:pPr>
      <w:r>
        <w:rPr>
          <w:rFonts w:hint="eastAsia" w:ascii="宋体" w:hAnsi="宋体" w:eastAsia="宋体" w:cs="宋体"/>
          <w:color w:val="000000"/>
          <w:highlight w:val="none"/>
        </w:rPr>
        <w:t xml:space="preserve"> </w:t>
      </w:r>
      <w:r/>
    </w:p>
    <w:p>
      <w:pPr>
        <w:pStyle w:val="756"/>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756"/>
        <w:ind w:firstLine="320"/>
        <w:jc w:val="right"/>
        <w:rPr>
          <w:rFonts w:hint="eastAsia" w:ascii="宋体" w:hAnsi="宋体" w:eastAsia="宋体" w:cs="宋体"/>
          <w:color w:val="000000"/>
          <w:highlight w:val="none"/>
        </w:rPr>
      </w:pPr>
      <w:r>
        <w:rPr>
          <w:rFonts w:hint="eastAsia" w:ascii="宋体" w:hAnsi="宋体" w:eastAsia="宋体" w:cs="宋体"/>
          <w:color w:val="000000"/>
          <w:sz w:val="32"/>
          <w:highlight w:val="none"/>
        </w:rPr>
        <w:t xml:space="preserve">           </w:t>
      </w:r>
      <w:r/>
    </w:p>
    <w:p>
      <w:pPr>
        <w:pStyle w:val="756"/>
        <w:jc w:val="center"/>
        <w:rPr>
          <w:rFonts w:hint="eastAsia" w:ascii="宋体" w:hAnsi="宋体" w:eastAsia="宋体" w:cs="宋体"/>
          <w:b/>
          <w:color w:val="000000"/>
          <w:spacing w:val="76"/>
          <w:sz w:val="96"/>
          <w:szCs w:val="22"/>
          <w:highlight w:val="none"/>
        </w:rPr>
      </w:pPr>
      <w:r>
        <w:rPr>
          <w:rFonts w:hint="eastAsia" w:ascii="宋体" w:hAnsi="宋体" w:eastAsia="宋体" w:cs="宋体"/>
          <w:color w:val="000000"/>
          <w:spacing w:val="76"/>
          <w:sz w:val="144"/>
          <w:highlight w:val="none"/>
        </w:rPr>
        <w:t xml:space="preserve">招标文件</w:t>
      </w:r>
      <w:r/>
    </w:p>
    <w:p>
      <w:pPr>
        <w:pStyle w:val="756"/>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760"/>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756"/>
        <w:rPr>
          <w:rFonts w:hint="eastAsia" w:ascii="宋体" w:hAnsi="宋体" w:eastAsia="宋体" w:cs="宋体"/>
        </w:rPr>
      </w:pPr>
      <w:r>
        <w:rPr>
          <w:rFonts w:hint="eastAsia" w:ascii="宋体" w:hAnsi="宋体" w:eastAsia="宋体" w:cs="宋体"/>
        </w:rPr>
      </w:r>
      <w:r/>
    </w:p>
    <w:p>
      <w:pPr>
        <w:pStyle w:val="750"/>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756"/>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756"/>
        <w:ind w:firstLine="1287"/>
        <w:keepLines w:val="0"/>
        <w:keepNext w:val="0"/>
        <w:pageBreakBefore w:val="0"/>
        <w:spacing w:line="360" w:lineRule="auto"/>
        <w:widowControl w:val="off"/>
        <w:rPr>
          <w:rFonts w:hint="eastAsia" w:ascii="宋体" w:hAnsi="宋体" w:eastAsia="宋体" w:cs="宋体"/>
          <w:b/>
          <w:bCs/>
          <w:color w:val="000000"/>
          <w:sz w:val="32"/>
          <w:szCs w:val="32"/>
          <w:highlight w:val="none"/>
          <w:lang w:val="en-US" w:eastAsia="zh-CN"/>
        </w:rPr>
      </w:pPr>
      <w:r>
        <w:rPr>
          <w:rFonts w:hint="eastAsia" w:ascii="宋体" w:hAnsi="宋体" w:eastAsia="宋体" w:cs="宋体"/>
          <w:b/>
          <w:bCs/>
          <w:color w:val="000000"/>
          <w:sz w:val="32"/>
          <w:szCs w:val="32"/>
          <w:highlight w:val="none"/>
          <w:lang w:eastAsia="zh-CN"/>
        </w:rPr>
        <w:t xml:space="preserve">项目名称：</w:t>
      </w:r>
      <w:r>
        <w:rPr>
          <w:rFonts w:hint="eastAsia" w:ascii="宋体" w:hAnsi="宋体" w:cs="宋体"/>
          <w:b/>
          <w:bCs/>
          <w:color w:val="000000"/>
          <w:sz w:val="32"/>
          <w:szCs w:val="32"/>
          <w:highlight w:val="none"/>
          <w:lang w:eastAsia="zh-CN"/>
        </w:rPr>
        <w:t xml:space="preserve">江苏省沛县中学校园文化智能化采购</w:t>
      </w:r>
      <w:r>
        <w:rPr>
          <w:rFonts w:hint="eastAsia" w:ascii="宋体" w:hAnsi="宋体" w:eastAsia="宋体" w:cs="宋体"/>
          <w:b/>
          <w:bCs/>
          <w:color w:val="000000"/>
          <w:sz w:val="32"/>
          <w:szCs w:val="32"/>
          <w:highlight w:val="none"/>
          <w:lang w:eastAsia="zh-CN"/>
        </w:rPr>
        <w:t xml:space="preserve">项目</w:t>
      </w:r>
      <w:r/>
    </w:p>
    <w:p>
      <w:pPr>
        <w:pStyle w:val="756"/>
        <w:ind w:firstLine="1287"/>
        <w:keepLines w:val="0"/>
        <w:keepNext w:val="0"/>
        <w:pageBreakBefore w:val="0"/>
        <w:spacing w:line="360" w:lineRule="auto"/>
        <w:widowControl w:val="off"/>
        <w:rPr>
          <w:rFonts w:hint="eastAsia" w:ascii="宋体" w:hAnsi="宋体" w:eastAsia="宋体" w:cs="宋体"/>
          <w:b/>
          <w:bCs/>
          <w:color w:val="000000"/>
          <w:sz w:val="32"/>
          <w:szCs w:val="32"/>
          <w:highlight w:val="none"/>
          <w:lang w:eastAsia="zh-CN"/>
        </w:rPr>
      </w:pPr>
      <w:r>
        <w:rPr>
          <w:rFonts w:hint="eastAsia" w:ascii="宋体" w:hAnsi="宋体" w:eastAsia="宋体" w:cs="宋体"/>
          <w:b/>
          <w:bCs/>
          <w:color w:val="000000"/>
          <w:sz w:val="32"/>
          <w:szCs w:val="32"/>
          <w:highlight w:val="none"/>
          <w:lang w:eastAsia="zh-CN"/>
        </w:rPr>
        <w:t xml:space="preserve">项目编号：</w:t>
      </w:r>
      <w:r>
        <w:rPr>
          <w:rFonts w:hint="eastAsia" w:ascii="宋体" w:hAnsi="宋体" w:cs="宋体"/>
          <w:b/>
          <w:bCs/>
          <w:color w:val="000000"/>
          <w:sz w:val="32"/>
          <w:szCs w:val="32"/>
          <w:highlight w:val="none"/>
          <w:lang w:eastAsia="zh-CN"/>
        </w:rPr>
        <w:t xml:space="preserve">JSZC-320322-SHGC-G2026-0003</w:t>
      </w:r>
      <w:r/>
    </w:p>
    <w:p>
      <w:pPr>
        <w:pStyle w:val="756"/>
        <w:ind w:firstLine="1287"/>
        <w:keepLines w:val="0"/>
        <w:keepNext w:val="0"/>
        <w:pageBreakBefore w:val="0"/>
        <w:spacing w:line="360" w:lineRule="auto"/>
        <w:widowControl w:val="off"/>
        <w:rPr>
          <w:rFonts w:hint="eastAsia" w:ascii="宋体" w:hAnsi="宋体" w:eastAsia="宋体" w:cs="宋体"/>
          <w:b/>
          <w:bCs/>
          <w:color w:val="000000"/>
          <w:sz w:val="32"/>
          <w:szCs w:val="32"/>
          <w:highlight w:val="none"/>
          <w:lang w:eastAsia="zh-CN"/>
        </w:rPr>
      </w:pPr>
      <w:r>
        <w:rPr>
          <w:rFonts w:hint="eastAsia" w:ascii="宋体" w:hAnsi="宋体" w:eastAsia="宋体" w:cs="宋体"/>
          <w:b/>
          <w:bCs/>
          <w:color w:val="000000"/>
          <w:sz w:val="32"/>
          <w:szCs w:val="32"/>
          <w:highlight w:val="none"/>
          <w:lang w:eastAsia="zh-CN"/>
        </w:rPr>
        <w:t xml:space="preserve">采 购 人：江苏省沛县中学</w:t>
      </w:r>
      <w:r/>
    </w:p>
    <w:p>
      <w:pPr>
        <w:pStyle w:val="761"/>
        <w:ind w:left="0" w:right="1470"/>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p>
      <w:pPr>
        <w:pStyle w:val="761"/>
        <w:ind w:left="0" w:right="1470"/>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p>
      <w:pPr>
        <w:pStyle w:val="761"/>
        <w:ind w:left="0" w:right="1470"/>
        <w:jc w:val="center"/>
        <w:rPr>
          <w:rFonts w:hint="eastAsia" w:ascii="宋体" w:hAnsi="宋体" w:eastAsia="宋体" w:cs="宋体"/>
          <w:color w:val="000000"/>
          <w:sz w:val="28"/>
          <w:szCs w:val="28"/>
          <w:highlight w:val="none"/>
        </w:rPr>
      </w:pPr>
      <w:r>
        <w:rPr>
          <w:rFonts w:hint="eastAsia" w:ascii="宋体" w:hAnsi="宋体" w:eastAsia="宋体" w:cs="宋体"/>
          <w:caps w:val="0"/>
          <w:spacing w:val="0"/>
          <w:sz w:val="30"/>
          <w:szCs w:val="30"/>
          <w:lang w:val="en-US" w:eastAsia="zh-CN"/>
        </w:rPr>
        <w:t xml:space="preserve">       </w:t>
      </w:r>
      <w:r>
        <w:rPr>
          <w:rFonts w:hint="eastAsia" w:ascii="仿宋" w:hAnsi="仿宋" w:eastAsia="仿宋" w:cs="仿宋"/>
          <w:b/>
          <w:bCs/>
          <w:color w:val="000000"/>
          <w:sz w:val="22"/>
        </w:rPr>
        <mc:AlternateContent>
          <mc:Choice Requires="wpg">
            <w:drawing>
              <wp:inline xmlns:wp="http://schemas.openxmlformats.org/drawingml/2006/wordprocessingDrawing" distT="0" distB="0" distL="0" distR="0">
                <wp:extent cx="2226945" cy="2083435"/>
                <wp:effectExtent l="0" t="0" r="1905" b="12065"/>
                <wp:docPr id="3" name="图片 18" descr="1a25c2566a6aeceff2cb961509b551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18" descr="1a25c2566a6aeceff2cb961509b551a"/>
                        <pic:cNvPicPr>
                          <a:picLocks noChangeAspect="1"/>
                        </pic:cNvPicPr>
                        <pic:nvPr/>
                      </pic:nvPicPr>
                      <pic:blipFill>
                        <a:blip r:embed="rId15"/>
                        <a:srcRect l="32191" t="25407" r="37988" b="35138"/>
                        <a:stretch/>
                      </pic:blipFill>
                      <pic:spPr bwMode="auto">
                        <a:xfrm>
                          <a:off x="0" y="0"/>
                          <a:ext cx="2226945" cy="208343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175.3pt;height:164.0pt;mso-wrap-distance-left:0.0pt;mso-wrap-distance-top:0.0pt;mso-wrap-distance-right:0.0pt;mso-wrap-distance-bottom:0.0pt;" stroked="f">
                <v:path textboxrect="0,0,0,0"/>
                <v:imagedata r:id="rId15" o:title=""/>
              </v:shape>
            </w:pict>
          </mc:Fallback>
        </mc:AlternateContent>
      </w:r>
      <w:r/>
    </w:p>
    <w:p>
      <w:pPr>
        <w:pStyle w:val="761"/>
        <w:ind w:left="0" w:right="1470"/>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r>
      <w:r/>
    </w:p>
    <w:p>
      <w:pPr>
        <w:pStyle w:val="762"/>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756"/>
        <w:ind w:firstLine="1205"/>
        <w:spacing w:line="500" w:lineRule="exact"/>
        <w:rPr>
          <w:rFonts w:hint="eastAsia" w:ascii="宋体" w:hAnsi="宋体" w:eastAsia="宋体" w:cs="宋体"/>
          <w:b/>
          <w:bCs/>
          <w:color w:val="000000"/>
          <w:sz w:val="32"/>
          <w:szCs w:val="32"/>
          <w:highlight w:val="none"/>
          <w:lang w:eastAsia="zh-CN"/>
        </w:rPr>
      </w:pPr>
      <w:r>
        <w:rPr>
          <w:rFonts w:hint="eastAsia" w:ascii="宋体" w:hAnsi="宋体" w:eastAsia="宋体" w:cs="宋体"/>
          <w:b/>
          <w:bCs/>
          <w:color w:val="000000"/>
          <w:sz w:val="32"/>
          <w:szCs w:val="32"/>
          <w:highlight w:val="none"/>
        </w:rPr>
        <w:t xml:space="preserve">采购代理机构：</w:t>
      </w:r>
      <w:r>
        <w:rPr>
          <w:rFonts w:hint="eastAsia" w:ascii="宋体" w:hAnsi="宋体" w:cs="宋体"/>
          <w:b/>
          <w:bCs/>
          <w:color w:val="000000"/>
          <w:sz w:val="32"/>
          <w:szCs w:val="32"/>
          <w:highlight w:val="none"/>
          <w:lang w:eastAsia="zh-CN"/>
        </w:rPr>
        <w:t xml:space="preserve">江苏苏航工程项目管理有限公司</w:t>
      </w:r>
      <w:r/>
    </w:p>
    <w:p>
      <w:pPr>
        <w:pStyle w:val="763"/>
        <w:ind w:firstLine="0"/>
        <w:jc w:val="center"/>
        <w:spacing w:line="500" w:lineRule="exact"/>
        <w:rPr>
          <w:rFonts w:hint="eastAsia" w:ascii="宋体" w:hAnsi="宋体" w:eastAsia="宋体" w:cs="宋体"/>
          <w:b/>
          <w:bCs/>
          <w:color w:val="000000"/>
          <w:sz w:val="32"/>
          <w:szCs w:val="32"/>
          <w:highlight w:val="none"/>
        </w:rPr>
      </w:pPr>
      <w:r>
        <w:rPr>
          <w:rFonts w:hint="eastAsia" w:ascii="宋体" w:hAnsi="宋体" w:eastAsia="宋体" w:cs="宋体"/>
          <w:b/>
          <w:bCs/>
          <w:color w:val="000000"/>
          <w:sz w:val="32"/>
          <w:szCs w:val="32"/>
          <w:highlight w:val="none"/>
        </w:rPr>
      </w:r>
      <w:r/>
    </w:p>
    <w:p>
      <w:pPr>
        <w:pStyle w:val="763"/>
        <w:ind w:firstLine="0"/>
        <w:jc w:val="center"/>
        <w:spacing w:line="500" w:lineRule="exact"/>
        <w:rPr>
          <w:rFonts w:hint="eastAsia" w:ascii="宋体" w:hAnsi="宋体" w:eastAsia="宋体" w:cs="宋体"/>
          <w:b/>
          <w:color w:val="000000"/>
          <w:sz w:val="48"/>
          <w:szCs w:val="28"/>
          <w:highlight w:val="none"/>
        </w:rPr>
      </w:pPr>
      <w:r>
        <w:rPr>
          <w:rFonts w:hint="eastAsia" w:ascii="宋体" w:hAnsi="宋体" w:eastAsia="宋体" w:cs="宋体"/>
          <w:b/>
          <w:bCs/>
          <w:color w:val="000000"/>
          <w:sz w:val="32"/>
          <w:szCs w:val="32"/>
          <w:highlight w:val="none"/>
        </w:rPr>
        <w:t xml:space="preserve">二〇二</w:t>
      </w:r>
      <w:r>
        <w:rPr>
          <w:rFonts w:hint="eastAsia" w:ascii="宋体" w:hAnsi="宋体" w:eastAsia="宋体" w:cs="宋体"/>
          <w:b/>
          <w:bCs/>
          <w:color w:val="000000"/>
          <w:sz w:val="32"/>
          <w:szCs w:val="32"/>
          <w:highlight w:val="none"/>
          <w:lang w:val="en-US" w:eastAsia="zh-CN"/>
        </w:rPr>
        <w:t xml:space="preserve">六</w:t>
      </w:r>
      <w:r>
        <w:rPr>
          <w:rFonts w:hint="eastAsia" w:ascii="宋体" w:hAnsi="宋体" w:eastAsia="宋体" w:cs="宋体"/>
          <w:b/>
          <w:bCs/>
          <w:color w:val="000000"/>
          <w:sz w:val="32"/>
          <w:szCs w:val="32"/>
          <w:highlight w:val="none"/>
        </w:rPr>
        <w:t xml:space="preserve">年</w:t>
      </w:r>
      <w:r>
        <w:rPr>
          <w:rFonts w:hint="eastAsia" w:ascii="宋体" w:hAnsi="宋体" w:cs="宋体"/>
          <w:b/>
          <w:bCs/>
          <w:color w:val="000000"/>
          <w:sz w:val="32"/>
          <w:szCs w:val="32"/>
          <w:highlight w:val="none"/>
          <w:lang w:val="en-US" w:eastAsia="zh-CN"/>
        </w:rPr>
        <w:t xml:space="preserve">二</w:t>
      </w:r>
      <w:r>
        <w:rPr>
          <w:rFonts w:hint="eastAsia" w:ascii="宋体" w:hAnsi="宋体" w:eastAsia="宋体" w:cs="宋体"/>
          <w:b/>
          <w:bCs/>
          <w:color w:val="000000"/>
          <w:sz w:val="32"/>
          <w:szCs w:val="32"/>
          <w:highlight w:val="none"/>
        </w:rPr>
        <w:t xml:space="preserve">月</w:t>
      </w:r>
      <w:r/>
    </w:p>
    <w:p>
      <w:pPr>
        <w:rPr>
          <w:rFonts w:hint="eastAsia" w:ascii="宋体" w:hAnsi="宋体" w:eastAsia="宋体" w:cs="宋体"/>
          <w:color w:val="000000"/>
          <w:sz w:val="24"/>
          <w:highlight w:val="none"/>
        </w:rPr>
        <w:sectPr>
          <w:headerReference w:type="default" r:id="rId9"/>
          <w:footnotePr/>
          <w:endnotePr/>
          <w:type w:val="nextPage"/>
          <w:pgSz w:w="11906" w:h="16838" w:orient="portrait"/>
          <w:pgMar w:top="1474" w:right="1486" w:bottom="1474" w:left="1474" w:header="851" w:footer="992" w:gutter="0"/>
          <w:pgNumType w:start="1"/>
          <w:cols w:num="1" w:sep="0" w:space="1701" w:equalWidth="1"/>
          <w:docGrid w:linePitch="360"/>
        </w:sectPr>
      </w:pPr>
      <w:r>
        <w:rPr>
          <w:rFonts w:hint="eastAsia" w:ascii="宋体" w:hAnsi="宋体" w:eastAsia="宋体" w:cs="宋体"/>
          <w:color w:val="000000"/>
          <w:sz w:val="24"/>
          <w:highlight w:val="none"/>
        </w:rPr>
      </w:r>
      <w:r/>
    </w:p>
    <w:p>
      <w:pPr>
        <w:jc w:val="center"/>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44"/>
          <w:highlight w:val="none"/>
        </w:rPr>
        <w:t xml:space="preserve">目 录</w:t>
      </w:r>
      <w:r/>
    </w:p>
    <w:p>
      <w:pPr>
        <w:jc w:val="center"/>
        <w:spacing w:line="519" w:lineRule="atLeast"/>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rPr>
      </w:r>
      <w:r/>
    </w:p>
    <w:p>
      <w:pPr>
        <w:ind w:firstLine="210"/>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rPr>
        <w:fldChar w:fldCharType="begin"/>
      </w:r>
      <w:r>
        <w:rPr>
          <w:rFonts w:hint="eastAsia" w:ascii="宋体" w:hAnsi="宋体" w:eastAsia="宋体" w:cs="宋体"/>
          <w:color w:val="000000"/>
          <w:highlight w:val="none"/>
        </w:rPr>
        <w:instrText xml:space="preserve"> HYPERLINK "http://jszfcg.jsczt.cn/jszc/onlyoffice/6.4.2-6/web-apps/apps/documenteditor/main/index.html?_dc=6.4.2-6&amp;lang=zh&amp;customer=ONLYOFFICE&amp;frameEditorId=iframePage&amp;parentO</w:instrText>
      </w:r>
      <w:r>
        <w:rPr>
          <w:rFonts w:hint="eastAsia" w:ascii="宋体" w:hAnsi="宋体" w:eastAsia="宋体" w:cs="宋体"/>
          <w:color w:val="000000"/>
          <w:highlight w:val="none"/>
        </w:rPr>
        <w:instrText xml:space="preserve">rigin=http://jszfcg.jsczt.cn#_Toc523404695" \o "http://jszfcg.jsczt.cn/jszc/onlyoffice/6.4.2-6/web-apps/apps/documenteditor/main/index.html?_dc=6.4.2-6&amp;lang=zh&amp;customer=ONLYOFFICE&amp;frameEditorId=iframePage&amp;parentOrigin=http://jszfcg.jsczt.cn#_Toc523404695" </w:instrText>
      </w:r>
      <w:r>
        <w:rPr>
          <w:rFonts w:hint="eastAsia" w:ascii="宋体" w:hAnsi="宋体" w:eastAsia="宋体" w:cs="宋体"/>
          <w:color w:val="000000"/>
          <w:highlight w:val="none"/>
        </w:rPr>
        <w:fldChar w:fldCharType="separate"/>
      </w:r>
      <w:r>
        <w:rPr>
          <w:rStyle w:val="764"/>
          <w:rFonts w:hint="eastAsia" w:ascii="宋体" w:hAnsi="宋体" w:eastAsia="宋体" w:cs="宋体"/>
          <w:color w:val="000000"/>
          <w:sz w:val="30"/>
          <w:highlight w:val="none"/>
          <w:u w:val="none"/>
        </w:rPr>
        <w:t xml:space="preserve">第一章  投标邀请</w:t>
      </w:r>
      <w:r>
        <w:rPr>
          <w:rFonts w:hint="eastAsia" w:ascii="宋体" w:hAnsi="宋体" w:eastAsia="宋体" w:cs="宋体"/>
          <w:color w:val="000000"/>
          <w:sz w:val="30"/>
          <w:highlight w:val="none"/>
          <w:u w:val="none"/>
        </w:rPr>
        <w:fldChar w:fldCharType="end"/>
      </w:r>
      <w:r/>
    </w:p>
    <w:p>
      <w:pPr>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rPr>
      </w:r>
      <w:r/>
    </w:p>
    <w:p>
      <w:pPr>
        <w:ind w:firstLine="210"/>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rPr>
        <w:fldChar w:fldCharType="begin"/>
      </w:r>
      <w:r>
        <w:rPr>
          <w:rFonts w:hint="eastAsia" w:ascii="宋体" w:hAnsi="宋体" w:eastAsia="宋体" w:cs="宋体"/>
          <w:color w:val="000000"/>
          <w:highlight w:val="none"/>
        </w:rPr>
        <w:instrText xml:space="preserve"> HYPERLINK "http://jszfcg.jsczt.cn/jszc/onlyoffice/6.4.2-6/web-apps/apps/documenteditor/main/index.html?_dc=6.4.2-6&amp;lang=zh&amp;customer=ONLYOFFICE&amp;frameEditorId=iframePage&amp;parentO</w:instrText>
      </w:r>
      <w:r>
        <w:rPr>
          <w:rFonts w:hint="eastAsia" w:ascii="宋体" w:hAnsi="宋体" w:eastAsia="宋体" w:cs="宋体"/>
          <w:color w:val="000000"/>
          <w:highlight w:val="none"/>
        </w:rPr>
        <w:instrText xml:space="preserve">rigin=http://jszfcg.jsczt.cn#_Toc523404696" \o "http://jszfcg.jsczt.cn/jszc/onlyoffice/6.4.2-6/web-apps/apps/documenteditor/main/index.html?_dc=6.4.2-6&amp;lang=zh&amp;customer=ONLYOFFICE&amp;frameEditorId=iframePage&amp;parentOrigin=http://jszfcg.jsczt.cn#_Toc523404696" </w:instrText>
      </w:r>
      <w:r>
        <w:rPr>
          <w:rFonts w:hint="eastAsia" w:ascii="宋体" w:hAnsi="宋体" w:eastAsia="宋体" w:cs="宋体"/>
          <w:color w:val="000000"/>
          <w:highlight w:val="none"/>
        </w:rPr>
        <w:fldChar w:fldCharType="separate"/>
      </w:r>
      <w:r>
        <w:rPr>
          <w:rStyle w:val="764"/>
          <w:rFonts w:hint="eastAsia" w:ascii="宋体" w:hAnsi="宋体" w:eastAsia="宋体" w:cs="宋体"/>
          <w:color w:val="000000"/>
          <w:sz w:val="30"/>
          <w:highlight w:val="none"/>
          <w:u w:val="none"/>
        </w:rPr>
        <w:t xml:space="preserve">第二章  投标人须知</w:t>
      </w:r>
      <w:r>
        <w:rPr>
          <w:rFonts w:hint="eastAsia" w:ascii="宋体" w:hAnsi="宋体" w:eastAsia="宋体" w:cs="宋体"/>
          <w:color w:val="000000"/>
          <w:sz w:val="30"/>
          <w:highlight w:val="none"/>
          <w:u w:val="none"/>
        </w:rPr>
        <w:fldChar w:fldCharType="end"/>
      </w:r>
      <w:r/>
    </w:p>
    <w:p>
      <w:pPr>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rPr>
      </w:r>
      <w:r/>
    </w:p>
    <w:p>
      <w:pPr>
        <w:ind w:firstLine="210"/>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rPr>
        <w:fldChar w:fldCharType="begin"/>
      </w:r>
      <w:r>
        <w:rPr>
          <w:rFonts w:hint="eastAsia" w:ascii="宋体" w:hAnsi="宋体" w:eastAsia="宋体" w:cs="宋体"/>
          <w:color w:val="000000"/>
          <w:highlight w:val="none"/>
        </w:rPr>
        <w:instrText xml:space="preserve"> HYPERLINK "http://jszfcg.jsczt.cn/jszc/onlyoffice/6.4.2-6/web-apps/apps/documenteditor/main/index.html?_dc=6.4.2-6&amp;lang=zh&amp;customer=ONLYOFFICE&amp;frameEditorId=iframePage&amp;parentO</w:instrText>
      </w:r>
      <w:r>
        <w:rPr>
          <w:rFonts w:hint="eastAsia" w:ascii="宋体" w:hAnsi="宋体" w:eastAsia="宋体" w:cs="宋体"/>
          <w:color w:val="000000"/>
          <w:highlight w:val="none"/>
        </w:rPr>
        <w:instrText xml:space="preserve">rigin=http://jszfcg.jsczt.cn#_Toc523404697" \o "http://jszfcg.jsczt.cn/jszc/onlyoffice/6.4.2-6/web-apps/apps/documenteditor/main/index.html?_dc=6.4.2-6&amp;lang=zh&amp;customer=ONLYOFFICE&amp;frameEditorId=iframePage&amp;parentOrigin=http://jszfcg.jsczt.cn#_Toc523404697" </w:instrText>
      </w:r>
      <w:r>
        <w:rPr>
          <w:rFonts w:hint="eastAsia" w:ascii="宋体" w:hAnsi="宋体" w:eastAsia="宋体" w:cs="宋体"/>
          <w:color w:val="000000"/>
          <w:highlight w:val="none"/>
        </w:rPr>
        <w:fldChar w:fldCharType="separate"/>
      </w:r>
      <w:r>
        <w:rPr>
          <w:rStyle w:val="764"/>
          <w:rFonts w:hint="eastAsia" w:ascii="宋体" w:hAnsi="宋体" w:eastAsia="宋体" w:cs="宋体"/>
          <w:color w:val="000000"/>
          <w:sz w:val="30"/>
          <w:highlight w:val="none"/>
          <w:u w:val="none"/>
        </w:rPr>
        <w:t xml:space="preserve">第三章  投标资料表</w:t>
      </w:r>
      <w:r>
        <w:rPr>
          <w:rFonts w:hint="eastAsia" w:ascii="宋体" w:hAnsi="宋体" w:eastAsia="宋体" w:cs="宋体"/>
          <w:color w:val="000000"/>
          <w:sz w:val="30"/>
          <w:highlight w:val="none"/>
          <w:u w:val="none"/>
        </w:rPr>
        <w:fldChar w:fldCharType="end"/>
      </w:r>
      <w:r/>
    </w:p>
    <w:p>
      <w:pPr>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rPr>
      </w:r>
      <w:r/>
    </w:p>
    <w:p>
      <w:pPr>
        <w:ind w:firstLine="210"/>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rPr>
        <w:fldChar w:fldCharType="begin"/>
      </w:r>
      <w:r>
        <w:rPr>
          <w:rFonts w:hint="eastAsia" w:ascii="宋体" w:hAnsi="宋体" w:eastAsia="宋体" w:cs="宋体"/>
          <w:color w:val="000000"/>
          <w:highlight w:val="none"/>
        </w:rPr>
        <w:instrText xml:space="preserve"> HYPERLINK "http://jszfcg.jsczt.cn/jszc/onlyoffice/6.4.2-6/web-apps/apps/documenteditor/main/index.html?_dc=6.4.2-6&amp;lang=zh&amp;customer=ONLYOFFICE&amp;frameEditorId=iframePage&amp;parentO</w:instrText>
      </w:r>
      <w:r>
        <w:rPr>
          <w:rFonts w:hint="eastAsia" w:ascii="宋体" w:hAnsi="宋体" w:eastAsia="宋体" w:cs="宋体"/>
          <w:color w:val="000000"/>
          <w:highlight w:val="none"/>
        </w:rPr>
        <w:instrText xml:space="preserve">rigin=http://jszfcg.jsczt.cn#_Toc523404698" \o "http://jszfcg.jsczt.cn/jszc/onlyoffice/6.4.2-6/web-apps/apps/documenteditor/main/index.html?_dc=6.4.2-6&amp;lang=zh&amp;customer=ONLYOFFICE&amp;frameEditorId=iframePage&amp;parentOrigin=http://jszfcg.jsczt.cn#_Toc523404698" </w:instrText>
      </w:r>
      <w:r>
        <w:rPr>
          <w:rFonts w:hint="eastAsia" w:ascii="宋体" w:hAnsi="宋体" w:eastAsia="宋体" w:cs="宋体"/>
          <w:color w:val="000000"/>
          <w:highlight w:val="none"/>
        </w:rPr>
        <w:fldChar w:fldCharType="separate"/>
      </w:r>
      <w:r>
        <w:rPr>
          <w:rStyle w:val="764"/>
          <w:rFonts w:hint="eastAsia" w:ascii="宋体" w:hAnsi="宋体" w:eastAsia="宋体" w:cs="宋体"/>
          <w:color w:val="000000"/>
          <w:sz w:val="30"/>
          <w:highlight w:val="none"/>
          <w:u w:val="none"/>
        </w:rPr>
        <w:t xml:space="preserve">第四章  评标标准</w:t>
      </w:r>
      <w:r>
        <w:rPr>
          <w:rFonts w:hint="eastAsia" w:ascii="宋体" w:hAnsi="宋体" w:eastAsia="宋体" w:cs="宋体"/>
          <w:color w:val="000000"/>
          <w:sz w:val="30"/>
          <w:highlight w:val="none"/>
          <w:u w:val="none"/>
        </w:rPr>
        <w:fldChar w:fldCharType="end"/>
      </w:r>
      <w:r/>
    </w:p>
    <w:p>
      <w:pPr>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rPr>
      </w:r>
      <w:r/>
    </w:p>
    <w:p>
      <w:pPr>
        <w:ind w:firstLine="210"/>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rPr>
        <w:fldChar w:fldCharType="begin"/>
      </w:r>
      <w:r>
        <w:rPr>
          <w:rFonts w:hint="eastAsia" w:ascii="宋体" w:hAnsi="宋体" w:eastAsia="宋体" w:cs="宋体"/>
          <w:color w:val="000000"/>
          <w:highlight w:val="none"/>
        </w:rPr>
        <w:instrText xml:space="preserve"> HYPERLINK "http://jszfcg.jsczt.cn/jszc/onlyoffice/6.4.2-6/web-apps/apps/documenteditor/main/index.html?_dc=6.4.2-6&amp;lang=zh&amp;customer=ONLYOFFICE&amp;frameEditorId=iframePage&amp;parentO</w:instrText>
      </w:r>
      <w:r>
        <w:rPr>
          <w:rFonts w:hint="eastAsia" w:ascii="宋体" w:hAnsi="宋体" w:eastAsia="宋体" w:cs="宋体"/>
          <w:color w:val="000000"/>
          <w:highlight w:val="none"/>
        </w:rPr>
        <w:instrText xml:space="preserve">rigin=http://jszfcg.jsczt.cn#_Toc523404699" \o "http://jszfcg.jsczt.cn/jszc/onlyoffice/6.4.2-6/web-apps/apps/documenteditor/main/index.html?_dc=6.4.2-6&amp;lang=zh&amp;customer=ONLYOFFICE&amp;frameEditorId=iframePage&amp;parentOrigin=http://jszfcg.jsczt.cn#_Toc523404699" </w:instrText>
      </w:r>
      <w:r>
        <w:rPr>
          <w:rFonts w:hint="eastAsia" w:ascii="宋体" w:hAnsi="宋体" w:eastAsia="宋体" w:cs="宋体"/>
          <w:color w:val="000000"/>
          <w:highlight w:val="none"/>
        </w:rPr>
        <w:fldChar w:fldCharType="separate"/>
      </w:r>
      <w:r>
        <w:rPr>
          <w:rStyle w:val="764"/>
          <w:rFonts w:hint="eastAsia" w:ascii="宋体" w:hAnsi="宋体" w:eastAsia="宋体" w:cs="宋体"/>
          <w:color w:val="000000"/>
          <w:sz w:val="30"/>
          <w:highlight w:val="none"/>
          <w:u w:val="none"/>
        </w:rPr>
        <w:t xml:space="preserve">第五章  拟签订的合同文本</w:t>
      </w:r>
      <w:r>
        <w:rPr>
          <w:rFonts w:hint="eastAsia" w:ascii="宋体" w:hAnsi="宋体" w:eastAsia="宋体" w:cs="宋体"/>
          <w:color w:val="000000"/>
          <w:sz w:val="30"/>
          <w:highlight w:val="none"/>
          <w:u w:val="none"/>
        </w:rPr>
        <w:fldChar w:fldCharType="end"/>
      </w:r>
      <w:r/>
    </w:p>
    <w:p>
      <w:pPr>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rPr>
      </w:r>
      <w:r/>
    </w:p>
    <w:p>
      <w:pPr>
        <w:ind w:firstLine="210"/>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rPr>
        <w:fldChar w:fldCharType="begin"/>
      </w:r>
      <w:r>
        <w:rPr>
          <w:rFonts w:hint="eastAsia" w:ascii="宋体" w:hAnsi="宋体" w:eastAsia="宋体" w:cs="宋体"/>
          <w:color w:val="000000"/>
          <w:highlight w:val="none"/>
        </w:rPr>
        <w:instrText xml:space="preserve"> HYPERLINK "http://jszfcg.jsczt.cn/jszc/onlyoffice/6.4.2-6/web-apps/apps/documenteditor/main/index.html?_dc=6.4.2-6&amp;lang=zh&amp;customer=ONLYOFFICE&amp;frameEditorId=iframePage&amp;parentO</w:instrText>
      </w:r>
      <w:r>
        <w:rPr>
          <w:rFonts w:hint="eastAsia" w:ascii="宋体" w:hAnsi="宋体" w:eastAsia="宋体" w:cs="宋体"/>
          <w:color w:val="000000"/>
          <w:highlight w:val="none"/>
        </w:rPr>
        <w:instrText xml:space="preserve">rigin=http://jszfcg.jsczt.cn#_Toc523404700" \o "http://jszfcg.jsczt.cn/jszc/onlyoffice/6.4.2-6/web-apps/apps/documenteditor/main/index.html?_dc=6.4.2-6&amp;lang=zh&amp;customer=ONLYOFFICE&amp;frameEditorId=iframePage&amp;parentOrigin=http://jszfcg.jsczt.cn#_Toc523404700" </w:instrText>
      </w:r>
      <w:r>
        <w:rPr>
          <w:rFonts w:hint="eastAsia" w:ascii="宋体" w:hAnsi="宋体" w:eastAsia="宋体" w:cs="宋体"/>
          <w:color w:val="000000"/>
          <w:highlight w:val="none"/>
        </w:rPr>
        <w:fldChar w:fldCharType="separate"/>
      </w:r>
      <w:r>
        <w:rPr>
          <w:rStyle w:val="764"/>
          <w:rFonts w:hint="eastAsia" w:ascii="宋体" w:hAnsi="宋体" w:eastAsia="宋体" w:cs="宋体"/>
          <w:color w:val="000000"/>
          <w:sz w:val="30"/>
          <w:highlight w:val="none"/>
          <w:u w:val="none"/>
        </w:rPr>
        <w:t xml:space="preserve">第六章  采购需求</w:t>
      </w:r>
      <w:r>
        <w:rPr>
          <w:rFonts w:hint="eastAsia" w:ascii="宋体" w:hAnsi="宋体" w:eastAsia="宋体" w:cs="宋体"/>
          <w:color w:val="000000"/>
          <w:sz w:val="30"/>
          <w:highlight w:val="none"/>
          <w:u w:val="none"/>
        </w:rPr>
        <w:fldChar w:fldCharType="end"/>
      </w:r>
      <w:r/>
    </w:p>
    <w:p>
      <w:pPr>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rPr>
      </w:r>
      <w:r/>
    </w:p>
    <w:p>
      <w:pPr>
        <w:ind w:firstLine="210"/>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rPr>
        <w:fldChar w:fldCharType="begin"/>
      </w:r>
      <w:r>
        <w:rPr>
          <w:rFonts w:hint="eastAsia" w:ascii="宋体" w:hAnsi="宋体" w:eastAsia="宋体" w:cs="宋体"/>
          <w:color w:val="000000"/>
          <w:highlight w:val="none"/>
        </w:rPr>
        <w:instrText xml:space="preserve"> HYPERLINK "http://jszfcg.jsczt.cn/jszc/onlyoffice/6.4.2-6/web-apps/apps/documenteditor/main/index.html?_dc=6.4.2-6&amp;lang=zh&amp;customer=ONLYOFFICE&amp;frameEditorId=iframePage&amp;parentO</w:instrText>
      </w:r>
      <w:r>
        <w:rPr>
          <w:rFonts w:hint="eastAsia" w:ascii="宋体" w:hAnsi="宋体" w:eastAsia="宋体" w:cs="宋体"/>
          <w:color w:val="000000"/>
          <w:highlight w:val="none"/>
        </w:rPr>
        <w:instrText xml:space="preserve">rigin=http://jszfcg.jsczt.cn#_Toc523404701" \o "http://jszfcg.jsczt.cn/jszc/onlyoffice/6.4.2-6/web-apps/apps/documenteditor/main/index.html?_dc=6.4.2-6&amp;lang=zh&amp;customer=ONLYOFFICE&amp;frameEditorId=iframePage&amp;parentOrigin=http://jszfcg.jsczt.cn#_Toc523404701" </w:instrText>
      </w:r>
      <w:r>
        <w:rPr>
          <w:rFonts w:hint="eastAsia" w:ascii="宋体" w:hAnsi="宋体" w:eastAsia="宋体" w:cs="宋体"/>
          <w:color w:val="000000"/>
          <w:highlight w:val="none"/>
        </w:rPr>
        <w:fldChar w:fldCharType="separate"/>
      </w:r>
      <w:r>
        <w:rPr>
          <w:rStyle w:val="764"/>
          <w:rFonts w:hint="eastAsia" w:ascii="宋体" w:hAnsi="宋体" w:eastAsia="宋体" w:cs="宋体"/>
          <w:color w:val="000000"/>
          <w:sz w:val="30"/>
          <w:highlight w:val="none"/>
          <w:u w:val="none"/>
        </w:rPr>
        <w:t xml:space="preserve">第七章  投标文件相关格式</w:t>
      </w:r>
      <w:r>
        <w:rPr>
          <w:rFonts w:hint="eastAsia" w:ascii="宋体" w:hAnsi="宋体" w:eastAsia="宋体" w:cs="宋体"/>
          <w:color w:val="000000"/>
          <w:sz w:val="30"/>
          <w:highlight w:val="none"/>
          <w:u w:val="none"/>
        </w:rPr>
        <w:fldChar w:fldCharType="end"/>
      </w:r>
      <w:r/>
    </w:p>
    <w:p>
      <w:pPr>
        <w:jc w:val="center"/>
        <w:spacing w:line="519" w:lineRule="atLeast"/>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rPr>
      </w:r>
      <w:r/>
    </w:p>
    <w:p>
      <w:pPr>
        <w:jc w:val="center"/>
        <w:spacing w:line="519" w:lineRule="atLeast"/>
        <w:rPr>
          <w:rFonts w:hint="eastAsia" w:ascii="宋体" w:hAnsi="宋体" w:eastAsia="宋体" w:cs="宋体"/>
          <w:b/>
          <w:color w:val="000000"/>
          <w:sz w:val="44"/>
          <w:highlight w:val="none"/>
        </w:rPr>
        <w:pBdr>
          <w:top w:val="none" w:color="000000" w:sz="0" w:space="0"/>
          <w:left w:val="none" w:color="000000" w:sz="0" w:space="0"/>
          <w:bottom w:val="none" w:color="000000" w:sz="0" w:space="0"/>
          <w:right w:val="none" w:color="000000" w:sz="0" w:space="0"/>
        </w:pBdr>
        <w:sectPr>
          <w:headerReference w:type="default" r:id="rId10"/>
          <w:footerReference w:type="default" r:id="rId12"/>
          <w:footnotePr/>
          <w:endnotePr/>
          <w:type w:val="nextPage"/>
          <w:pgSz w:w="11906" w:h="16838" w:orient="portrait"/>
          <w:pgMar w:top="1440" w:right="1803" w:bottom="1440" w:left="1803" w:header="851" w:footer="992" w:gutter="0"/>
          <w:pgNumType w:start="1"/>
          <w:cols w:num="1" w:sep="0" w:space="1701" w:equalWidth="1"/>
          <w:docGrid w:linePitch="360"/>
        </w:sectPr>
      </w:pPr>
      <w:r>
        <w:rPr>
          <w:rFonts w:hint="eastAsia" w:ascii="宋体" w:hAnsi="宋体" w:eastAsia="宋体" w:cs="宋体"/>
          <w:b/>
          <w:color w:val="000000"/>
          <w:sz w:val="44"/>
          <w:highlight w:val="none"/>
        </w:rPr>
      </w:r>
      <w:r/>
    </w:p>
    <w:p>
      <w:pPr>
        <w:jc w:val="center"/>
        <w:spacing w:line="519" w:lineRule="atLeast"/>
        <w:rPr>
          <w:rFonts w:hint="eastAsia" w:ascii="宋体" w:hAnsi="宋体" w:eastAsia="宋体" w:cs="宋体"/>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8"/>
          <w:szCs w:val="28"/>
          <w:highlight w:val="none"/>
          <w:lang w:eastAsia="zh-CN"/>
        </w:rPr>
        <w:t xml:space="preserve">江苏省沛县中学</w:t>
      </w:r>
      <w:r>
        <w:rPr>
          <w:rFonts w:hint="eastAsia" w:ascii="宋体" w:hAnsi="宋体" w:eastAsia="宋体" w:cs="宋体"/>
          <w:b/>
          <w:color w:val="000000"/>
          <w:sz w:val="28"/>
          <w:szCs w:val="28"/>
          <w:highlight w:val="none"/>
        </w:rPr>
        <w:t xml:space="preserve">《</w:t>
      </w:r>
      <w:r>
        <w:rPr>
          <w:rFonts w:hint="eastAsia" w:ascii="宋体" w:hAnsi="宋体" w:cs="宋体"/>
          <w:b/>
          <w:color w:val="000000"/>
          <w:sz w:val="28"/>
          <w:szCs w:val="28"/>
          <w:highlight w:val="none"/>
          <w:lang w:eastAsia="zh-CN"/>
        </w:rPr>
        <w:t xml:space="preserve">江苏省沛县中学校园文化智能化采购</w:t>
      </w:r>
      <w:r>
        <w:rPr>
          <w:rFonts w:hint="eastAsia" w:ascii="宋体" w:hAnsi="宋体" w:eastAsia="宋体" w:cs="宋体"/>
          <w:b/>
          <w:color w:val="000000"/>
          <w:sz w:val="28"/>
          <w:szCs w:val="28"/>
          <w:highlight w:val="none"/>
          <w:lang w:eastAsia="zh-CN"/>
        </w:rPr>
        <w:t xml:space="preserve">项目</w:t>
      </w:r>
      <w:r>
        <w:rPr>
          <w:rFonts w:hint="eastAsia" w:ascii="宋体" w:hAnsi="宋体" w:eastAsia="宋体" w:cs="宋体"/>
          <w:b/>
          <w:color w:val="000000"/>
          <w:sz w:val="28"/>
          <w:szCs w:val="28"/>
          <w:highlight w:val="none"/>
        </w:rPr>
        <w:t xml:space="preserve">》招标文件</w:t>
      </w:r>
      <w:r/>
    </w:p>
    <w:p>
      <w:pPr>
        <w:ind w:firstLine="600"/>
        <w:spacing w:line="519" w:lineRule="atLeast"/>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遵照政府采购法律法规、制度规定和采购人的采购需求、评标标准、评标办法，编制本项目招标文件。本项目招标文件共分七章：第一章，投标邀请；第二章，投标人须知；第三章，投标资料表；第四章，评标标准；第五章，拟签订的合同文本；第六章，采购需求；第七章，投标文件相关格式。</w:t>
      </w:r>
      <w:r/>
    </w:p>
    <w:p>
      <w:pPr>
        <w:spacing w:line="360" w:lineRule="atLeast"/>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p>
      <w:pPr>
        <w:jc w:val="center"/>
        <w:spacing w:line="360" w:lineRule="auto"/>
        <w:rPr>
          <w:rFonts w:hint="eastAsia" w:ascii="宋体" w:hAnsi="宋体" w:eastAsia="宋体" w:cs="宋体"/>
          <w:color w:val="000000"/>
          <w:sz w:val="28"/>
          <w:szCs w:val="28"/>
          <w:highlight w:val="none"/>
        </w:rPr>
        <w:pBdr>
          <w:top w:val="none" w:color="000000" w:sz="0" w:space="0"/>
          <w:left w:val="none" w:color="000000" w:sz="0" w:space="0"/>
          <w:bottom w:val="none" w:color="000000" w:sz="0" w:space="0"/>
          <w:right w:val="none" w:color="000000" w:sz="0" w:space="0"/>
        </w:pBdr>
        <w:outlineLvl w:val="0"/>
      </w:pPr>
      <w:r>
        <w:rPr>
          <w:rFonts w:hint="eastAsia" w:ascii="宋体" w:hAnsi="宋体" w:eastAsia="宋体" w:cs="宋体"/>
          <w:b/>
          <w:color w:val="000000"/>
          <w:sz w:val="28"/>
          <w:szCs w:val="28"/>
          <w:highlight w:val="none"/>
        </w:rPr>
        <w:t xml:space="preserve">第一章  投标邀请</w:t>
      </w:r>
      <w:r/>
    </w:p>
    <w:p>
      <w:pPr>
        <w:ind w:firstLine="600"/>
        <w:spacing w:line="519" w:lineRule="atLeast"/>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u w:val="single"/>
          <w:lang w:eastAsia="zh-CN"/>
        </w:rPr>
        <w:t xml:space="preserve">江苏苏航工程项目管理有限公司</w:t>
      </w:r>
      <w:r>
        <w:rPr>
          <w:rFonts w:hint="eastAsia" w:ascii="宋体" w:hAnsi="宋体" w:eastAsia="宋体" w:cs="宋体"/>
          <w:color w:val="000000"/>
          <w:sz w:val="24"/>
          <w:highlight w:val="none"/>
        </w:rPr>
        <w:t xml:space="preserve">对</w:t>
      </w:r>
      <w:r>
        <w:rPr>
          <w:rFonts w:hint="eastAsia" w:ascii="宋体" w:hAnsi="宋体" w:cs="宋体"/>
          <w:color w:val="000000"/>
          <w:sz w:val="24"/>
          <w:highlight w:val="none"/>
          <w:u w:val="single"/>
          <w:lang w:eastAsia="zh-CN"/>
        </w:rPr>
        <w:t xml:space="preserve">江苏省沛县中学校园文化智能化采购</w:t>
      </w:r>
      <w:r>
        <w:rPr>
          <w:rFonts w:hint="eastAsia" w:ascii="宋体" w:hAnsi="宋体" w:eastAsia="宋体" w:cs="宋体"/>
          <w:color w:val="000000"/>
          <w:sz w:val="24"/>
          <w:highlight w:val="none"/>
          <w:u w:val="single"/>
          <w:lang w:eastAsia="zh-CN"/>
        </w:rPr>
        <w:t xml:space="preserve">项目</w:t>
      </w:r>
      <w:r>
        <w:rPr>
          <w:rFonts w:hint="eastAsia" w:ascii="宋体" w:hAnsi="宋体" w:eastAsia="宋体" w:cs="宋体"/>
          <w:color w:val="000000"/>
          <w:sz w:val="24"/>
          <w:highlight w:val="none"/>
        </w:rPr>
        <w:t xml:space="preserve">进行公开招标采购，现邀请符合相关条件的供应商投标。</w:t>
      </w:r>
      <w:r/>
    </w:p>
    <w:p>
      <w:pPr>
        <w:ind w:firstLine="300"/>
        <w:spacing w:line="519" w:lineRule="atLeast"/>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一、项目名称和项目编号</w:t>
      </w:r>
      <w:r/>
    </w:p>
    <w:p>
      <w:pPr>
        <w:ind w:firstLine="300"/>
        <w:spacing w:line="519" w:lineRule="atLeast"/>
        <w:rPr>
          <w:rFonts w:hint="eastAsia" w:ascii="宋体" w:hAnsi="宋体" w:eastAsia="宋体" w:cs="宋体"/>
          <w:color w:val="000000"/>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（一）项目名称：</w:t>
      </w:r>
      <w:r>
        <w:rPr>
          <w:rFonts w:hint="eastAsia" w:ascii="宋体" w:hAnsi="宋体" w:cs="宋体"/>
          <w:color w:val="000000"/>
          <w:sz w:val="24"/>
          <w:highlight w:val="none"/>
          <w:lang w:eastAsia="zh-CN"/>
        </w:rPr>
        <w:t xml:space="preserve">江苏省沛县中学校园文化智能化采购</w:t>
      </w:r>
      <w:r>
        <w:rPr>
          <w:rFonts w:hint="eastAsia" w:ascii="宋体" w:hAnsi="宋体" w:eastAsia="宋体" w:cs="宋体"/>
          <w:color w:val="000000"/>
          <w:sz w:val="24"/>
          <w:highlight w:val="none"/>
          <w:lang w:eastAsia="zh-CN"/>
        </w:rPr>
        <w:t xml:space="preserve">项目</w:t>
      </w:r>
      <w:r/>
    </w:p>
    <w:p>
      <w:pPr>
        <w:ind w:firstLine="300"/>
        <w:spacing w:line="519" w:lineRule="atLeast"/>
        <w:rPr>
          <w:rFonts w:hint="eastAsia" w:ascii="宋体" w:hAnsi="宋体" w:eastAsia="宋体" w:cs="宋体"/>
          <w:color w:val="000000"/>
          <w:sz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（二）项目编号：</w:t>
      </w:r>
      <w:r>
        <w:rPr>
          <w:rFonts w:hint="eastAsia" w:ascii="宋体" w:hAnsi="宋体" w:cs="宋体"/>
          <w:color w:val="000000"/>
          <w:sz w:val="24"/>
          <w:highlight w:val="none"/>
          <w:lang w:eastAsia="zh-CN"/>
        </w:rPr>
        <w:t xml:space="preserve">JSZC-320322-SHGC-G2026-0003</w:t>
      </w:r>
      <w:r/>
    </w:p>
    <w:p>
      <w:pPr>
        <w:ind w:firstLine="300"/>
        <w:spacing w:line="519" w:lineRule="atLeast"/>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二、对投标人的资格要求</w:t>
      </w:r>
      <w:r/>
    </w:p>
    <w:p>
      <w:pPr>
        <w:ind w:firstLine="300"/>
        <w:spacing w:line="519" w:lineRule="atLeast"/>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详见本项目公开招标公告。</w:t>
      </w:r>
      <w:r/>
    </w:p>
    <w:p>
      <w:pPr>
        <w:ind w:firstLine="301"/>
        <w:spacing w:line="519" w:lineRule="atLeast"/>
        <w:rPr>
          <w:rFonts w:hint="eastAsia" w:ascii="宋体" w:hAnsi="宋体" w:eastAsia="宋体" w:cs="宋体"/>
          <w:b/>
          <w:bCs/>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highlight w:val="none"/>
        </w:rPr>
        <w:t xml:space="preserve">三、获取招标文件</w:t>
      </w:r>
      <w:r/>
    </w:p>
    <w:p>
      <w:pPr>
        <w:ind w:firstLine="300"/>
        <w:spacing w:line="519" w:lineRule="atLeast"/>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（一）潜在投标人访问电子招标投标交易平台的网络地址和方法：</w:t>
      </w:r>
      <w:r/>
    </w:p>
    <w:p>
      <w:pPr>
        <w:ind w:firstLine="300"/>
        <w:spacing w:line="519" w:lineRule="atLeast"/>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苏采云”系统用户注册——获取“CA数字证书”——CA绑定与登录——网上报名——下载采购文件（后缀名为“.kedt”）——将后缀名为“.kedt”的采购文件导入政府采购客户端工具——制作投标文件——导出加密的投标文件（后缀名为zip）——通过“苏采云”系统上传投标文件。具体见《江苏省政府采购管理交易系统（苏采云）供应商操作手册》。</w:t>
      </w:r>
      <w:r/>
    </w:p>
    <w:p>
      <w:pPr>
        <w:ind w:firstLine="300"/>
        <w:jc w:val="left"/>
        <w:spacing w:line="519" w:lineRule="atLeast"/>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2）潜在供应商访问“苏采云”系统的网络地址和方法：“苏采云”系统的网址：http://jszfcg.jsczt.cn/；或进入徐州政府采购网（网址：http://czj.xz.gov.cn/Home/HomeIndex）——业务工作——用户登录，点击“苏采云”进入系统。</w:t>
      </w:r>
      <w:r/>
    </w:p>
    <w:p>
      <w:pPr>
        <w:ind w:firstLine="300"/>
        <w:spacing w:line="519" w:lineRule="atLeast"/>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3）“CA数字证书”的获取：供应商需办理CA锁，“苏采云”系统目前仅支持“苏采云”系统下的政务CA，省内各地区办理的“苏采云”系统下的政务CA全省通用。“CA数字证书”的办理材料详见“徐州政府采购网——业务工作——快速服务——下载专区”中的《“苏采云”系统政务CA办理材料、操作手册及控件下载》。</w:t>
      </w:r>
      <w:r/>
    </w:p>
    <w:p>
      <w:pPr>
        <w:ind w:firstLine="300"/>
        <w:spacing w:line="519" w:lineRule="atLeast"/>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4）采购文件（后缀名为“.kedt”）、供应商操作手册及政府采购客户端工具可通过“苏采云”系统——已报名项目——报名详情页面内相应链接进行下载；供应商操作手册及政府采购客户端工具也可通过徐州政府采购网——业务工作——快速服务——下载专区，点击进入《江苏省政府采购管理交易系统（苏采云）供应商操作手册及政府采购客户端》，进行下载。</w:t>
      </w:r>
      <w:r/>
    </w:p>
    <w:p>
      <w:pPr>
        <w:ind w:firstLine="300"/>
        <w:spacing w:line="519" w:lineRule="atLeast"/>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（二）采购代理机构将数据电文形式的招标文件加载至电子招标投标交易平台，供潜在投标人下载或者查阅。</w:t>
      </w:r>
      <w:r/>
    </w:p>
    <w:p>
      <w:pPr>
        <w:ind w:firstLine="300"/>
        <w:spacing w:line="519" w:lineRule="atLeast"/>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（三）售价：免费。</w:t>
      </w:r>
      <w:r/>
    </w:p>
    <w:p>
      <w:pPr>
        <w:ind w:firstLine="300"/>
        <w:spacing w:line="519" w:lineRule="atLeast"/>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四、投标有关信息</w:t>
      </w:r>
      <w:r/>
    </w:p>
    <w:p>
      <w:pPr>
        <w:ind w:firstLine="300"/>
        <w:spacing w:line="519" w:lineRule="atLeast"/>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（一）投标截止时间：</w:t>
      </w:r>
      <w:r>
        <w:rPr>
          <w:rFonts w:hint="eastAsia" w:ascii="宋体" w:hAnsi="宋体" w:eastAsia="宋体" w:cs="宋体"/>
          <w:b/>
          <w:color w:val="000000"/>
          <w:sz w:val="24"/>
          <w:highlight w:val="none"/>
          <w:lang w:eastAsia="zh-CN"/>
        </w:rPr>
        <w:t xml:space="preserve">2026年</w:t>
      </w:r>
      <w:r>
        <w:rPr>
          <w:rFonts w:hint="eastAsia" w:ascii="宋体" w:hAnsi="宋体" w:cs="宋体"/>
          <w:b/>
          <w:color w:val="000000"/>
          <w:sz w:val="24"/>
          <w:highlight w:val="none"/>
          <w:lang w:eastAsia="zh-CN"/>
        </w:rPr>
        <w:t xml:space="preserve">3月23日</w:t>
      </w:r>
      <w:r>
        <w:rPr>
          <w:rFonts w:hint="eastAsia" w:ascii="宋体" w:hAnsi="宋体" w:eastAsia="宋体" w:cs="宋体"/>
          <w:b/>
          <w:color w:val="000000"/>
          <w:sz w:val="24"/>
          <w:highlight w:val="none"/>
        </w:rPr>
        <w:t xml:space="preserve">北京时间09:30</w:t>
      </w:r>
      <w:r>
        <w:rPr>
          <w:rFonts w:hint="eastAsia" w:ascii="宋体" w:hAnsi="宋体" w:eastAsia="宋体" w:cs="宋体"/>
          <w:color w:val="000000"/>
          <w:sz w:val="24"/>
          <w:highlight w:val="none"/>
        </w:rPr>
        <w:t xml:space="preserve">。</w:t>
      </w:r>
      <w:r/>
    </w:p>
    <w:p>
      <w:pPr>
        <w:ind w:firstLine="300"/>
        <w:spacing w:line="519" w:lineRule="atLeast"/>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（二）开标时间：</w:t>
      </w:r>
      <w:r>
        <w:rPr>
          <w:rFonts w:hint="eastAsia" w:ascii="宋体" w:hAnsi="宋体" w:eastAsia="宋体" w:cs="宋体"/>
          <w:b/>
          <w:color w:val="000000"/>
          <w:sz w:val="24"/>
          <w:highlight w:val="none"/>
          <w:lang w:eastAsia="zh-CN"/>
        </w:rPr>
        <w:t xml:space="preserve">2026年</w:t>
      </w:r>
      <w:r>
        <w:rPr>
          <w:rFonts w:hint="eastAsia" w:ascii="宋体" w:hAnsi="宋体" w:cs="宋体"/>
          <w:b/>
          <w:color w:val="000000"/>
          <w:sz w:val="24"/>
          <w:highlight w:val="none"/>
          <w:lang w:eastAsia="zh-CN"/>
        </w:rPr>
        <w:t xml:space="preserve">3月23日</w:t>
      </w:r>
      <w:r>
        <w:rPr>
          <w:rFonts w:hint="eastAsia" w:ascii="宋体" w:hAnsi="宋体" w:eastAsia="宋体" w:cs="宋体"/>
          <w:b/>
          <w:color w:val="000000"/>
          <w:sz w:val="24"/>
          <w:highlight w:val="none"/>
        </w:rPr>
        <w:t xml:space="preserve">北京时间09:30</w:t>
      </w:r>
      <w:r>
        <w:rPr>
          <w:rFonts w:hint="eastAsia" w:ascii="宋体" w:hAnsi="宋体" w:eastAsia="宋体" w:cs="宋体"/>
          <w:color w:val="000000"/>
          <w:sz w:val="24"/>
          <w:highlight w:val="none"/>
        </w:rPr>
        <w:t xml:space="preserve">。</w:t>
      </w:r>
      <w:r/>
    </w:p>
    <w:p>
      <w:pPr>
        <w:ind w:firstLine="300"/>
        <w:spacing w:line="519" w:lineRule="atLeast"/>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（三）开标地点：“苏采云”系统“开标大厅”或进入徐州政府采购网——业务工作——用户登录，点击“苏采云”进入系统“开标大厅”。</w:t>
      </w:r>
      <w:r/>
    </w:p>
    <w:p>
      <w:pPr>
        <w:ind w:firstLine="300"/>
        <w:spacing w:line="519" w:lineRule="atLeast"/>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五、采购人</w:t>
      </w:r>
      <w:r/>
    </w:p>
    <w:p>
      <w:pPr>
        <w:ind w:firstLine="300"/>
        <w:spacing w:line="519" w:lineRule="atLeast"/>
        <w:rPr>
          <w:rFonts w:hint="eastAsia" w:ascii="宋体" w:hAnsi="宋体" w:eastAsia="宋体" w:cs="宋体"/>
          <w:color w:val="000000"/>
          <w:sz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（一）名称：</w:t>
      </w:r>
      <w:r>
        <w:rPr>
          <w:rFonts w:hint="eastAsia" w:ascii="宋体" w:hAnsi="宋体" w:eastAsia="宋体" w:cs="宋体"/>
          <w:color w:val="000000"/>
          <w:sz w:val="24"/>
          <w:highlight w:val="none"/>
          <w:lang w:eastAsia="zh-CN"/>
        </w:rPr>
        <w:t xml:space="preserve">江苏省沛县中学</w:t>
      </w:r>
      <w:r/>
    </w:p>
    <w:p>
      <w:pPr>
        <w:ind w:firstLine="300"/>
        <w:spacing w:line="519" w:lineRule="atLeast"/>
        <w:rPr>
          <w:rFonts w:hint="eastAsia" w:ascii="宋体" w:hAnsi="宋体" w:eastAsia="宋体" w:cs="宋体"/>
          <w:color w:val="000000"/>
          <w:sz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（二）地址：</w:t>
      </w:r>
      <w:r>
        <w:rPr>
          <w:rFonts w:hint="eastAsia" w:ascii="宋体" w:hAnsi="宋体" w:eastAsia="宋体" w:cs="宋体"/>
          <w:color w:val="000000"/>
          <w:sz w:val="24"/>
          <w:highlight w:val="none"/>
          <w:lang w:eastAsia="zh-CN"/>
        </w:rPr>
        <w:t xml:space="preserve">徐州市沛县红光路与千秋路交叉路口</w:t>
      </w:r>
      <w:r/>
    </w:p>
    <w:p>
      <w:pPr>
        <w:ind w:firstLine="300"/>
        <w:spacing w:line="519" w:lineRule="atLeast"/>
        <w:rPr>
          <w:rFonts w:hint="eastAsia" w:ascii="宋体" w:hAnsi="宋体" w:eastAsia="宋体" w:cs="宋体"/>
          <w:color w:val="000000"/>
          <w:sz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（三）采购项目联系人：</w:t>
      </w:r>
      <w:r>
        <w:rPr>
          <w:rFonts w:hint="eastAsia" w:ascii="宋体" w:hAnsi="宋体" w:eastAsia="宋体" w:cs="宋体"/>
          <w:color w:val="000000"/>
          <w:sz w:val="24"/>
          <w:highlight w:val="none"/>
          <w:lang w:eastAsia="zh-CN"/>
        </w:rPr>
        <w:t xml:space="preserve">孔德潜</w:t>
      </w:r>
      <w:r/>
    </w:p>
    <w:p>
      <w:pPr>
        <w:ind w:firstLine="300"/>
        <w:spacing w:line="519" w:lineRule="atLeast"/>
        <w:rPr>
          <w:rFonts w:hint="eastAsia" w:ascii="宋体" w:hAnsi="宋体" w:eastAsia="宋体" w:cs="宋体"/>
          <w:color w:val="000000"/>
          <w:sz w:val="24"/>
          <w:highlight w:val="none"/>
          <w:lang w:val="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（四）联系方式：</w:t>
      </w:r>
      <w:r>
        <w:rPr>
          <w:rFonts w:hint="eastAsia" w:ascii="宋体" w:hAnsi="宋体" w:eastAsia="宋体" w:cs="宋体"/>
          <w:color w:val="000000"/>
          <w:sz w:val="24"/>
          <w:highlight w:val="none"/>
          <w:lang w:val="en-US" w:eastAsia="zh-CN"/>
        </w:rPr>
        <w:t xml:space="preserve">13775815530</w:t>
      </w:r>
      <w:r/>
    </w:p>
    <w:p>
      <w:pPr>
        <w:ind w:firstLine="300"/>
        <w:spacing w:line="519" w:lineRule="atLeast"/>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六、采购代理机构</w:t>
      </w:r>
      <w:r/>
    </w:p>
    <w:p>
      <w:pPr>
        <w:ind w:firstLine="300"/>
        <w:spacing w:line="519" w:lineRule="atLeast"/>
        <w:rPr>
          <w:rFonts w:hint="eastAsia" w:ascii="宋体" w:hAnsi="宋体" w:eastAsia="宋体" w:cs="宋体"/>
          <w:color w:val="000000"/>
          <w:sz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（一）名称：</w:t>
      </w:r>
      <w:r>
        <w:rPr>
          <w:rFonts w:hint="eastAsia" w:ascii="宋体" w:hAnsi="宋体" w:cs="宋体"/>
          <w:color w:val="000000"/>
          <w:sz w:val="24"/>
          <w:highlight w:val="none"/>
          <w:lang w:eastAsia="zh-CN"/>
        </w:rPr>
        <w:t xml:space="preserve">江苏苏航工程项目管理有限公司</w:t>
      </w:r>
      <w:r/>
    </w:p>
    <w:p>
      <w:pPr>
        <w:ind w:firstLine="300"/>
        <w:spacing w:line="519" w:lineRule="atLeast"/>
        <w:rPr>
          <w:rFonts w:hint="eastAsia" w:ascii="宋体" w:hAnsi="宋体" w:eastAsia="宋体" w:cs="宋体"/>
          <w:color w:val="000000"/>
          <w:sz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（二）地址：</w:t>
      </w:r>
      <w:r>
        <w:rPr>
          <w:rFonts w:hint="eastAsia" w:ascii="宋体" w:hAnsi="宋体" w:cs="宋体"/>
          <w:color w:val="000000"/>
          <w:sz w:val="24"/>
          <w:highlight w:val="none"/>
          <w:lang w:eastAsia="zh-CN"/>
        </w:rPr>
        <w:t xml:space="preserve">江苏省徐州市云龙区世茂商业外街A3-7-1272室</w:t>
      </w:r>
      <w:r/>
    </w:p>
    <w:p>
      <w:pPr>
        <w:ind w:firstLine="300"/>
        <w:spacing w:line="519" w:lineRule="atLeast"/>
        <w:rPr>
          <w:rFonts w:hint="eastAsia" w:ascii="宋体" w:hAnsi="宋体" w:eastAsia="宋体" w:cs="宋体"/>
          <w:color w:val="000000"/>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（三）采购项目联系人：</w:t>
      </w:r>
      <w:r>
        <w:rPr>
          <w:rFonts w:hint="eastAsia" w:ascii="宋体" w:hAnsi="宋体" w:cs="宋体"/>
          <w:color w:val="000000"/>
          <w:sz w:val="24"/>
          <w:highlight w:val="none"/>
          <w:lang w:eastAsia="zh-CN"/>
        </w:rPr>
        <w:t xml:space="preserve">燕宏伟</w:t>
      </w:r>
      <w:r/>
    </w:p>
    <w:p>
      <w:pPr>
        <w:ind w:firstLine="300"/>
        <w:spacing w:line="519" w:lineRule="atLeast"/>
        <w:rPr>
          <w:rFonts w:hint="eastAsia" w:ascii="宋体" w:hAnsi="宋体" w:eastAsia="宋体" w:cs="宋体"/>
          <w:color w:val="000000"/>
          <w:sz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（四）联系电话：</w:t>
      </w:r>
      <w:r>
        <w:rPr>
          <w:rFonts w:hint="eastAsia" w:ascii="宋体" w:hAnsi="宋体" w:cs="宋体"/>
          <w:color w:val="000000"/>
          <w:sz w:val="24"/>
          <w:highlight w:val="none"/>
          <w:lang w:eastAsia="zh-CN"/>
        </w:rPr>
        <w:t xml:space="preserve">17751965233</w:t>
      </w:r>
      <w:r/>
    </w:p>
    <w:p>
      <w:pPr>
        <w:ind w:firstLine="300"/>
        <w:spacing w:line="519" w:lineRule="atLeast"/>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r>
      <w:r/>
    </w:p>
    <w:p>
      <w:pPr>
        <w:ind w:firstLine="600"/>
        <w:jc w:val="right"/>
        <w:spacing w:line="360" w:lineRule="atLeast"/>
        <w:tabs>
          <w:tab w:val="left" w:pos="4223" w:leader="none"/>
        </w:tabs>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30"/>
          <w:highlight w:val="none"/>
        </w:rPr>
        <w:t xml:space="preserve"> </w:t>
      </w:r>
      <w:r/>
    </w:p>
    <w:p>
      <w:pPr>
        <w:jc w:val="center"/>
        <w:spacing w:line="360" w:lineRule="auto"/>
        <w:rPr>
          <w:rFonts w:hint="eastAsia" w:ascii="宋体" w:hAnsi="宋体" w:eastAsia="宋体" w:cs="宋体"/>
          <w:color w:val="000000"/>
          <w:sz w:val="28"/>
          <w:szCs w:val="28"/>
          <w:highlight w:val="none"/>
        </w:rPr>
        <w:pBdr>
          <w:top w:val="none" w:color="000000" w:sz="0" w:space="0"/>
          <w:left w:val="none" w:color="000000" w:sz="0" w:space="0"/>
          <w:bottom w:val="none" w:color="000000" w:sz="0" w:space="0"/>
          <w:right w:val="none" w:color="000000" w:sz="0" w:space="0"/>
        </w:pBdr>
        <w:outlineLvl w:val="0"/>
      </w:pPr>
      <w:r>
        <w:rPr>
          <w:rFonts w:hint="eastAsia" w:ascii="宋体" w:hAnsi="宋体" w:eastAsia="宋体" w:cs="宋体"/>
          <w:b/>
          <w:color w:val="000000"/>
          <w:sz w:val="28"/>
          <w:szCs w:val="28"/>
          <w:highlight w:val="none"/>
        </w:rPr>
        <w:t xml:space="preserve">第二章 投标人须知</w:t>
      </w:r>
      <w:r/>
    </w:p>
    <w:p>
      <w:pPr>
        <w:ind w:firstLine="600"/>
        <w:spacing w:line="519" w:lineRule="atLeast"/>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一、总则</w:t>
      </w:r>
      <w:r/>
    </w:p>
    <w:p>
      <w:pPr>
        <w:ind w:firstLine="600"/>
        <w:spacing w:line="519" w:lineRule="atLeast"/>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（一）采购人。采购人即指依法进行政府采购的国家机关、事业单位和团体组织。</w:t>
      </w:r>
      <w:r/>
    </w:p>
    <w:p>
      <w:pPr>
        <w:ind w:firstLine="600"/>
        <w:spacing w:line="519" w:lineRule="atLeast"/>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（二）政府招标采购方式。政府采购货物或服务（以下简称“货物服务”）的招标方式，分为公开招标和邀请招标。</w:t>
      </w:r>
      <w:r/>
    </w:p>
    <w:p>
      <w:pPr>
        <w:ind w:firstLine="600"/>
        <w:spacing w:line="519" w:lineRule="atLeast"/>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（三）采购人在采购货物服务的招标投标活动中，应当贯彻落实“节约能源、保护环境、扶持不发达地区和少数民族地区和促进中小企业发展”等政府采购政策。</w:t>
      </w:r>
      <w:r/>
    </w:p>
    <w:p>
      <w:pPr>
        <w:ind w:firstLine="600"/>
        <w:spacing w:line="519" w:lineRule="atLeast"/>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（四）采购人应当按照财政部制定的《政府采购品目分类目录》确定采购项目属性，对按照《政府采购品目分类目录》无法确定采购项目属性的，应按照有利于采购项目实施的原则确定。</w:t>
      </w:r>
      <w:r/>
    </w:p>
    <w:p>
      <w:pPr>
        <w:ind w:firstLine="600"/>
        <w:spacing w:line="519" w:lineRule="atLeast"/>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（五）采购人委托采购代理机构代理招标的，采购代理机构必须在采购人委托的范围内依法开展采购活动。</w:t>
      </w:r>
      <w:r/>
    </w:p>
    <w:p>
      <w:pPr>
        <w:ind w:firstLine="600"/>
        <w:spacing w:line="519" w:lineRule="atLeast"/>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（六）投标人的资格条件：</w:t>
      </w:r>
      <w:r/>
    </w:p>
    <w:p>
      <w:pPr>
        <w:ind w:firstLine="600"/>
        <w:spacing w:line="519" w:lineRule="atLeast"/>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1.参加“政府采购货物服务投标活动”的供应商（以下简称投标人），应当是能够提供本国货物服务的本国供应商，但法律、行政法规规定的外国供应商可以参加货物服务招标投标活动的除外。</w:t>
      </w:r>
      <w:r/>
    </w:p>
    <w:p>
      <w:pPr>
        <w:ind w:firstLine="600"/>
        <w:spacing w:line="519" w:lineRule="atLeast"/>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投标人是指响应招标、参加投标竞争的法人、其他组织或者自然人。</w:t>
      </w:r>
      <w:r/>
    </w:p>
    <w:p>
      <w:pPr>
        <w:ind w:firstLine="600"/>
        <w:spacing w:line="519" w:lineRule="atLeast"/>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2.投标人授权代表系指法定代表人或受法人委托的受托人。</w:t>
      </w:r>
      <w:r/>
    </w:p>
    <w:p>
      <w:pPr>
        <w:ind w:firstLine="600"/>
        <w:spacing w:line="519" w:lineRule="atLeast"/>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（七）投标费用：投标人应承担所有与准备和参加投标有关的费用。无论投标的结果如何，采购代理机构对上述费用不承担任何责任和义务。</w:t>
      </w:r>
      <w:r/>
    </w:p>
    <w:p>
      <w:pPr>
        <w:ind w:firstLine="600"/>
        <w:spacing w:line="519" w:lineRule="atLeast"/>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二、招标</w:t>
      </w:r>
      <w:r/>
    </w:p>
    <w:p>
      <w:pPr>
        <w:ind w:firstLine="600"/>
        <w:spacing w:line="519" w:lineRule="atLeast"/>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（八）招标文件应包括以下内容：</w:t>
      </w:r>
      <w:r/>
    </w:p>
    <w:p>
      <w:pPr>
        <w:ind w:firstLine="600"/>
        <w:spacing w:line="519" w:lineRule="atLeast"/>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第一章：投标邀请；</w:t>
      </w:r>
      <w:r/>
    </w:p>
    <w:p>
      <w:pPr>
        <w:ind w:firstLine="600"/>
        <w:spacing w:line="519" w:lineRule="atLeast"/>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第二章：投标人须知；</w:t>
      </w:r>
      <w:r/>
    </w:p>
    <w:p>
      <w:pPr>
        <w:ind w:firstLine="600"/>
        <w:spacing w:line="519" w:lineRule="atLeast"/>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第三章：投标资料表；</w:t>
      </w:r>
      <w:r/>
    </w:p>
    <w:p>
      <w:pPr>
        <w:ind w:firstLine="600"/>
        <w:spacing w:line="519" w:lineRule="atLeast"/>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第四章：评标标准；</w:t>
      </w:r>
      <w:r/>
    </w:p>
    <w:p>
      <w:pPr>
        <w:ind w:firstLine="600"/>
        <w:spacing w:line="519" w:lineRule="atLeast"/>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第五章：拟签订的合同文本；</w:t>
      </w:r>
      <w:r/>
    </w:p>
    <w:p>
      <w:pPr>
        <w:ind w:firstLine="600"/>
        <w:spacing w:line="519" w:lineRule="atLeast"/>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第六章：采购需求；</w:t>
      </w:r>
      <w:r/>
    </w:p>
    <w:p>
      <w:pPr>
        <w:ind w:firstLine="600"/>
        <w:spacing w:line="519" w:lineRule="atLeast"/>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第七章：投标文件相关格式。</w:t>
      </w:r>
      <w:r/>
    </w:p>
    <w:p>
      <w:pPr>
        <w:ind w:firstLine="600"/>
        <w:spacing w:line="519" w:lineRule="atLeast"/>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（九）招标文件澄清或者修改：</w:t>
      </w:r>
      <w:r/>
    </w:p>
    <w:p>
      <w:pPr>
        <w:ind w:firstLine="600"/>
        <w:spacing w:line="519" w:lineRule="atLeast"/>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采购代理机构可以对已发出的招标文件、资格预审文件、投标邀请书进行必要的澄清或者修改，但不得改变采购标的和资格条件。澄清或者修改应当在原公告发布媒体上发布澄清公告。澄清或者修改的内容为招标文件、资格预审文件、投标邀请书的组成部分。</w:t>
      </w:r>
      <w:r/>
    </w:p>
    <w:p>
      <w:pPr>
        <w:ind w:firstLine="600"/>
        <w:spacing w:line="519" w:lineRule="atLeast"/>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澄清或者修改的内容可能影响投标文件编制的，采购代理机构应当在投标截止时间至少15日前，以书面形式通知所有获取招标文件的潜在投标人；不足15日的，采购代理机构应当顺延提交投标文件的截止时间。</w:t>
      </w:r>
      <w:r/>
    </w:p>
    <w:p>
      <w:pPr>
        <w:ind w:firstLine="600"/>
        <w:spacing w:line="519" w:lineRule="atLeast"/>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2.现场考察以本文件第三章《投标资料表》中的要求为准。</w:t>
      </w:r>
      <w:r/>
    </w:p>
    <w:p>
      <w:pPr>
        <w:ind w:firstLine="600"/>
        <w:spacing w:line="519" w:lineRule="atLeast"/>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3.开标前答疑会以本文件第三章《投标资料表》中的要求为准。</w:t>
      </w:r>
      <w:r/>
    </w:p>
    <w:p>
      <w:pPr>
        <w:ind w:firstLine="600"/>
        <w:spacing w:line="519" w:lineRule="atLeast"/>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三、投标</w:t>
      </w:r>
      <w:r/>
    </w:p>
    <w:p>
      <w:pPr>
        <w:ind w:firstLine="600"/>
        <w:spacing w:line="519" w:lineRule="atLeast"/>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（十）投标人应当按照招标文件的要求编制投标文件。投标文件应对招标文件提出的要求和条件作出实质性响应。</w:t>
      </w:r>
      <w:r/>
    </w:p>
    <w:p>
      <w:pPr>
        <w:ind w:firstLine="600"/>
        <w:spacing w:line="519" w:lineRule="atLeast"/>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（十一）投标文件的语言。投标文件以及投标人与采购代理机构就有关投标的往来函电均应使用本文件第三章《投标资料表》规定的语言书写，否则无效。</w:t>
      </w:r>
      <w:r/>
    </w:p>
    <w:p>
      <w:pPr>
        <w:ind w:firstLine="600"/>
        <w:spacing w:line="519" w:lineRule="atLeast"/>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（十二）投标文件的构成：</w:t>
      </w:r>
      <w:r/>
    </w:p>
    <w:p>
      <w:pPr>
        <w:ind w:firstLine="600"/>
        <w:spacing w:line="519" w:lineRule="atLeast"/>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1.投标文件的构成以本文件第三章《投标资料表》中的要求为准。</w:t>
      </w:r>
      <w:r/>
    </w:p>
    <w:p>
      <w:pPr>
        <w:ind w:firstLine="600"/>
        <w:spacing w:line="519" w:lineRule="atLeast"/>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2.投标人应当提交的资格、资信证明文件，以本文件第三章《投标资料表》中的所提要求为准。</w:t>
      </w:r>
      <w:r/>
    </w:p>
    <w:p>
      <w:pPr>
        <w:ind w:firstLine="600"/>
        <w:spacing w:line="519" w:lineRule="atLeast"/>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（十三）投标函和价格表、商务条件、交货和提供服务的时间：</w:t>
      </w:r>
      <w:r/>
    </w:p>
    <w:p>
      <w:pPr>
        <w:ind w:firstLine="600"/>
        <w:spacing w:line="519" w:lineRule="atLeast"/>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1.投标函和价格表的要求见本章（十二）、（十三），格式见本文件第七章《投标文件相关格式》中《投标函》和《开标一览表》。</w:t>
      </w:r>
      <w:r/>
    </w:p>
    <w:p>
      <w:pPr>
        <w:ind w:firstLine="600"/>
        <w:spacing w:line="519" w:lineRule="atLeast"/>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2.商务条件以本文件第三章《投标资料表》中的要求为准。</w:t>
      </w:r>
      <w:r/>
    </w:p>
    <w:p>
      <w:pPr>
        <w:ind w:firstLine="600"/>
        <w:spacing w:line="519" w:lineRule="atLeast"/>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3.交货和提供服务的时间，以本文件第三章《投标资料表》中所提要求为准。</w:t>
      </w:r>
      <w:r/>
    </w:p>
    <w:p>
      <w:pPr>
        <w:ind w:firstLine="600"/>
        <w:spacing w:line="519" w:lineRule="atLeast"/>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（十四）投标报价要求：</w:t>
      </w:r>
      <w:r/>
    </w:p>
    <w:p>
      <w:pPr>
        <w:ind w:firstLine="600"/>
        <w:spacing w:line="519" w:lineRule="atLeast"/>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1.投标人应按照招标文件的要求报出分项价格和总价。</w:t>
      </w:r>
      <w:r/>
    </w:p>
    <w:p>
      <w:pPr>
        <w:ind w:firstLine="600"/>
        <w:spacing w:line="519" w:lineRule="atLeast"/>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2.投标人应按照招标文件的要求进行报价，如投标人作出偏离，应在《偏离表》中列出。</w:t>
      </w:r>
      <w:r/>
    </w:p>
    <w:p>
      <w:pPr>
        <w:ind w:firstLine="600"/>
        <w:spacing w:line="519" w:lineRule="atLeast"/>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3.采购人不支付报价以外的任何费用。</w:t>
      </w:r>
      <w:r/>
    </w:p>
    <w:p>
      <w:pPr>
        <w:ind w:firstLine="600"/>
        <w:spacing w:line="519" w:lineRule="atLeast"/>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4.投标人所报的价格，在合同执行过程中是固定的，不得以任何理由予以变更。投标人提交滑动价格的投标文件，在资格性、符合性检查时按照无效投标处理。</w:t>
      </w:r>
      <w:r/>
    </w:p>
    <w:p>
      <w:pPr>
        <w:ind w:firstLine="600"/>
        <w:spacing w:line="519" w:lineRule="atLeast"/>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5.投标人只能提交一个投标价格，投标人提交多个价格的投标文件，在资格性、符合性检查时按照无效投标处理。</w:t>
      </w:r>
      <w:r/>
    </w:p>
    <w:p>
      <w:pPr>
        <w:ind w:firstLine="600"/>
        <w:spacing w:line="519" w:lineRule="atLeast"/>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（十五）投标货币。以本文件第三章《投标资料表》中所提要求为准。</w:t>
      </w:r>
      <w:r/>
    </w:p>
    <w:p>
      <w:pPr>
        <w:ind w:firstLine="600"/>
        <w:spacing w:line="519" w:lineRule="atLeast"/>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（十六）投标有效期：</w:t>
      </w:r>
      <w:r/>
    </w:p>
    <w:p>
      <w:pPr>
        <w:ind w:firstLine="600"/>
        <w:spacing w:line="519" w:lineRule="atLeast"/>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1.投标有效期为开标之日后90天。采购人可以要求对投标有效期延长一次，但该延长期最长不得超过30天。</w:t>
      </w:r>
      <w:r/>
    </w:p>
    <w:p>
      <w:pPr>
        <w:ind w:firstLine="600"/>
        <w:spacing w:line="519" w:lineRule="atLeast"/>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2.采购人要求延长投标有效期的，必须在距投标有效期满20日之前，以书面形式通知投标人，如果有关投标人同意延长投标有效期的要求，其应在原投标有效期期满前以书面形式向采购人确认。</w:t>
      </w:r>
      <w:r/>
    </w:p>
    <w:p>
      <w:pPr>
        <w:ind w:firstLine="600"/>
        <w:spacing w:line="519" w:lineRule="atLeast"/>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3.如果采购人发出要求延长投标有效期的通知，并在投标有效期届满前，没有收到投标人同意的书面通知，则视为该投标人不接受上述延期的要求。</w:t>
      </w:r>
      <w:r/>
    </w:p>
    <w:p>
      <w:pPr>
        <w:ind w:firstLine="600"/>
        <w:spacing w:line="519" w:lineRule="atLeast"/>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（十七）投标文件的编制要求和签署要求：</w:t>
      </w:r>
      <w:r/>
    </w:p>
    <w:p>
      <w:pPr>
        <w:ind w:firstLine="482"/>
        <w:spacing w:line="519" w:lineRule="atLeast"/>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（1）投标人应由其法定代表人或法定代表人授权代表在规定的网上投标时间，凭 CA 证书登录“苏采云”系统在线编制投标文件（电子数据），并在投标截止时间之前上传投标文件。</w:t>
      </w:r>
      <w:r/>
    </w:p>
    <w:p>
      <w:pPr>
        <w:ind w:firstLine="482"/>
        <w:spacing w:line="519" w:lineRule="atLeast"/>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（2）投标人应对CA证书妥善保管，如被他人盗用投标，因此带来的</w:t>
      </w:r>
      <w:r>
        <w:rPr>
          <w:rFonts w:hint="eastAsia" w:ascii="宋体" w:hAnsi="宋体" w:eastAsia="宋体" w:cs="宋体"/>
          <w:color w:val="000000"/>
          <w:sz w:val="24"/>
          <w:highlight w:val="none"/>
          <w:lang w:eastAsia="zh-CN"/>
        </w:rPr>
        <w:t xml:space="preserve">后果</w:t>
      </w:r>
      <w:r>
        <w:rPr>
          <w:rFonts w:hint="eastAsia" w:ascii="宋体" w:hAnsi="宋体" w:eastAsia="宋体" w:cs="宋体"/>
          <w:color w:val="000000"/>
          <w:sz w:val="24"/>
          <w:highlight w:val="none"/>
        </w:rPr>
        <w:t xml:space="preserve">均由投标人自行承担。</w:t>
      </w:r>
      <w:r/>
    </w:p>
    <w:p>
      <w:pPr>
        <w:ind w:firstLine="482"/>
        <w:spacing w:line="519" w:lineRule="atLeast"/>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（3）投标人应当对招标文件提出的要求和条件作出实质性响应，并在电子投标系统逐条应答。</w:t>
      </w:r>
      <w:r/>
    </w:p>
    <w:p>
      <w:pPr>
        <w:ind w:firstLine="482"/>
        <w:spacing w:line="519" w:lineRule="atLeast"/>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（4）投标人应对要求提供的资格证明文件（如资质证书、资格证书）、技术资料（如白皮书、彩页、手册、检测报告等）扫描上传至投标系统。</w:t>
      </w:r>
      <w:r/>
    </w:p>
    <w:p>
      <w:pPr>
        <w:ind w:firstLine="600"/>
        <w:spacing w:line="519" w:lineRule="atLeast"/>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（十八）投标文件的盖章要求</w:t>
      </w:r>
      <w:r/>
    </w:p>
    <w:p>
      <w:pPr>
        <w:ind w:firstLine="600"/>
        <w:spacing w:line="519" w:lineRule="atLeast"/>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1.投标文件的盖章要求以招标文件第三章《投标资料表》中的要求为准。</w:t>
      </w:r>
      <w:r/>
    </w:p>
    <w:p>
      <w:pPr>
        <w:ind w:firstLine="600"/>
        <w:spacing w:line="519" w:lineRule="atLeast"/>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（十九）提交投标文件的截止时间和收到投标文件后注意事项。投标人应在招标文件要求的提交投标文件的截止时间前，将投标文件提交至“苏采云”系统。</w:t>
      </w:r>
      <w:r/>
    </w:p>
    <w:p>
      <w:pPr>
        <w:ind w:firstLine="600"/>
        <w:spacing w:line="519" w:lineRule="atLeast"/>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（二十）凡在招标文件要求提交投标文件的截止时间之后送达的投标文件，均为无效投标文件，“苏采云”系统将自动拒收。各投标人应在规定时间内通过CA证书进行网上解密。</w:t>
      </w:r>
      <w:r/>
    </w:p>
    <w:p>
      <w:pPr>
        <w:ind w:firstLine="600"/>
        <w:spacing w:line="519" w:lineRule="atLeast"/>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（二十一）投标人在投标截止时间前，可以对所递交的投标文件进行补充、修改或者撤回，其所进行补充、修改的内容，应当按照招标文件要求进行签署、盖章、密封，然后纳为投标文件的组成部分。</w:t>
      </w:r>
      <w:r/>
    </w:p>
    <w:p>
      <w:pPr>
        <w:ind w:firstLine="600"/>
        <w:spacing w:line="519" w:lineRule="atLeast"/>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（二十二）本项目不允许分包。</w:t>
      </w:r>
      <w:r/>
    </w:p>
    <w:p>
      <w:pPr>
        <w:ind w:firstLine="600"/>
        <w:spacing w:line="519" w:lineRule="atLeast"/>
        <w:shd w:val="clear" w:color="ffffff" w:fill="auto"/>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（二十三）投标人应当遵循公平竞争的原则，不得恶意串通，不得妨碍其他投标人的竞争行为，不得损害采购人或者其他投标人的合法权益。</w:t>
      </w:r>
      <w:r/>
    </w:p>
    <w:p>
      <w:pPr>
        <w:ind w:firstLine="600"/>
        <w:spacing w:line="519" w:lineRule="atLeast"/>
        <w:shd w:val="clear" w:color="ffffff" w:fill="auto"/>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在评标过程中发现投标人有上述情形的，评审委员会应当认定其投标无效，并书面报告本级财政部门。</w:t>
      </w:r>
      <w:r/>
    </w:p>
    <w:p>
      <w:pPr>
        <w:ind w:firstLine="600"/>
        <w:spacing w:line="519" w:lineRule="atLeast"/>
        <w:shd w:val="clear" w:color="ffffff" w:fill="auto"/>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（二十四）有下列情形之一的，其投标无效。</w:t>
      </w:r>
      <w:r/>
    </w:p>
    <w:p>
      <w:pPr>
        <w:ind w:firstLine="600"/>
        <w:spacing w:line="519" w:lineRule="atLeast"/>
        <w:shd w:val="clear" w:color="ffffff" w:fill="auto"/>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1.不同投标人的投标文件，由同一单位或者个人编制；</w:t>
      </w:r>
      <w:r/>
    </w:p>
    <w:p>
      <w:pPr>
        <w:ind w:firstLine="600"/>
        <w:spacing w:line="519" w:lineRule="atLeast"/>
        <w:shd w:val="clear" w:color="ffffff" w:fill="auto"/>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2.不同投标人委托同一单位或者个人办理投标事宜；</w:t>
      </w:r>
      <w:r/>
    </w:p>
    <w:p>
      <w:pPr>
        <w:ind w:firstLine="600"/>
        <w:spacing w:line="519" w:lineRule="atLeast"/>
        <w:shd w:val="clear" w:color="ffffff" w:fill="auto"/>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3.不同投标人的投标文件中，所载明的项目管理成员或联系人为同一人；</w:t>
      </w:r>
      <w:r/>
    </w:p>
    <w:p>
      <w:pPr>
        <w:ind w:firstLine="600"/>
        <w:spacing w:line="519" w:lineRule="atLeast"/>
        <w:shd w:val="clear" w:color="ffffff" w:fill="auto"/>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4.不同投标人的投标文件，异常一致或者投标报价呈规律性差异；</w:t>
      </w:r>
      <w:r/>
    </w:p>
    <w:p>
      <w:pPr>
        <w:ind w:firstLine="600"/>
        <w:spacing w:line="519" w:lineRule="atLeast"/>
        <w:shd w:val="clear" w:color="ffffff" w:fill="auto"/>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5.不同投标人的投标文件相互混装；</w:t>
      </w:r>
      <w:r/>
    </w:p>
    <w:p>
      <w:pPr>
        <w:ind w:firstLine="600"/>
        <w:spacing w:line="519" w:lineRule="atLeast"/>
        <w:shd w:val="clear" w:color="ffffff" w:fill="auto"/>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6.不同投标人投标文件内容存在非正常一致、项目组成员出现同一人、投标文件中错误（或异常）一致或雷同、电子文档信息一致或雷同的、投标报价呈规律性差异的；</w:t>
      </w:r>
      <w:r/>
    </w:p>
    <w:p>
      <w:pPr>
        <w:ind w:firstLine="600"/>
        <w:spacing w:line="519" w:lineRule="atLeast"/>
        <w:shd w:val="clear" w:color="ffffff" w:fill="auto"/>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7.电子投标文件未按规定期限投标的；</w:t>
      </w:r>
      <w:r/>
    </w:p>
    <w:p>
      <w:pPr>
        <w:ind w:firstLine="600"/>
        <w:spacing w:line="519" w:lineRule="atLeast"/>
        <w:shd w:val="clear" w:color="ffffff" w:fill="auto"/>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8.电子投标文件未按招标文件要求签章的；</w:t>
      </w:r>
      <w:r/>
    </w:p>
    <w:p>
      <w:pPr>
        <w:ind w:firstLine="600"/>
        <w:spacing w:line="519" w:lineRule="atLeast"/>
        <w:shd w:val="clear" w:color="ffffff" w:fill="auto"/>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9.投标人未在规定时间内解密电子投标文件的；</w:t>
      </w:r>
      <w:r/>
    </w:p>
    <w:p>
      <w:pPr>
        <w:ind w:firstLine="600"/>
        <w:spacing w:line="519" w:lineRule="atLeast"/>
        <w:shd w:val="clear" w:color="ffffff" w:fill="auto"/>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10.投标文件未按招标文件规定的内容和要求填写的；没有在投标系统指定位置上传对应文件、材料的；</w:t>
      </w:r>
      <w:r/>
    </w:p>
    <w:p>
      <w:pPr>
        <w:ind w:firstLine="600"/>
        <w:spacing w:line="519" w:lineRule="atLeast"/>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11.不具备招标文件中规定的资格要求的；</w:t>
      </w:r>
      <w:r/>
    </w:p>
    <w:p>
      <w:pPr>
        <w:ind w:firstLine="600"/>
        <w:spacing w:line="519" w:lineRule="atLeast"/>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12.报价超过招标文件中规定的预算金额或者最高限价的；</w:t>
      </w:r>
      <w:r/>
    </w:p>
    <w:p>
      <w:pPr>
        <w:ind w:firstLine="600"/>
        <w:spacing w:line="519" w:lineRule="atLeast"/>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13.投标文件含有采购人不能接受的附加条件的；</w:t>
      </w:r>
      <w:r/>
    </w:p>
    <w:p>
      <w:pPr>
        <w:ind w:firstLine="600"/>
        <w:spacing w:line="519" w:lineRule="atLeast"/>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14.法律法规和招标文件规定的其他无效情形。</w:t>
      </w:r>
      <w:r/>
    </w:p>
    <w:p>
      <w:pPr>
        <w:ind w:firstLine="600"/>
        <w:spacing w:line="519" w:lineRule="atLeast"/>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四、开标</w:t>
      </w:r>
      <w:r/>
    </w:p>
    <w:p>
      <w:pPr>
        <w:ind w:firstLine="600"/>
        <w:spacing w:line="519" w:lineRule="atLeast"/>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（二十五）开标：</w:t>
      </w:r>
      <w:r/>
    </w:p>
    <w:p>
      <w:pPr>
        <w:ind w:firstLine="600"/>
        <w:spacing w:line="519" w:lineRule="atLeast"/>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1.所有投标单位凭 CA 证书在到达开标时间时，解密各自投标文件。</w:t>
      </w:r>
      <w:r/>
    </w:p>
    <w:p>
      <w:pPr>
        <w:ind w:firstLine="600"/>
        <w:spacing w:line="519" w:lineRule="atLeast"/>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2.投标人不足3家的，不得开标。</w:t>
      </w:r>
      <w:r/>
    </w:p>
    <w:p>
      <w:pPr>
        <w:ind w:firstLine="600"/>
        <w:spacing w:line="519" w:lineRule="atLeast"/>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3.开标过程由采购代理机构负责记录。</w:t>
      </w:r>
      <w:r/>
    </w:p>
    <w:p>
      <w:pPr>
        <w:ind w:firstLine="600"/>
        <w:spacing w:line="519" w:lineRule="atLeast"/>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4.投标人代表对开标过程和开标记录有疑义的，或者认为采购人、采购代理机构相关工作人员有需要回避情形的，应当场提出询问或者提出回避申请。</w:t>
      </w:r>
      <w:r/>
    </w:p>
    <w:p>
      <w:pPr>
        <w:ind w:firstLine="600"/>
        <w:spacing w:line="519" w:lineRule="atLeast"/>
        <w:shd w:val="clear" w:color="ffffff" w:fill="auto"/>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5.投标人未参加开标的，视同认可开标结果。</w:t>
      </w:r>
      <w:r/>
    </w:p>
    <w:p>
      <w:pPr>
        <w:ind w:firstLine="600"/>
        <w:spacing w:line="519" w:lineRule="atLeast"/>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五、评标</w:t>
      </w:r>
      <w:r/>
    </w:p>
    <w:p>
      <w:pPr>
        <w:ind w:firstLine="600"/>
        <w:spacing w:line="519" w:lineRule="atLeast"/>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（二十六）公开招标采购项目开标结束后，采购人依法对投标人的资格进行审查。合格投标人不足3家的，不得评标。</w:t>
      </w:r>
      <w:r/>
    </w:p>
    <w:p>
      <w:pPr>
        <w:ind w:firstLine="600"/>
        <w:spacing w:line="519" w:lineRule="atLeast"/>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1.评标工作由采购代理机构负责组织，并履行下列职责：</w:t>
      </w:r>
      <w:r/>
    </w:p>
    <w:p>
      <w:pPr>
        <w:ind w:firstLine="600"/>
        <w:spacing w:line="519" w:lineRule="atLeast"/>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（1）核对评审专家身份和采购人代表授权函，对评审专家在政府采购活动中的职责履行情况予以记录，并及时将有关违法违规行为向财政部门报告；</w:t>
      </w:r>
      <w:r/>
    </w:p>
    <w:p>
      <w:pPr>
        <w:ind w:firstLine="600"/>
        <w:spacing w:line="519" w:lineRule="atLeast"/>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（2）宣布评标纪律；</w:t>
      </w:r>
      <w:r/>
    </w:p>
    <w:p>
      <w:pPr>
        <w:ind w:firstLine="600"/>
        <w:spacing w:line="519" w:lineRule="atLeast"/>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（3）公布投标人名单，告知评审专家应当回避的情形；</w:t>
      </w:r>
      <w:r/>
    </w:p>
    <w:p>
      <w:pPr>
        <w:ind w:firstLine="600"/>
        <w:spacing w:line="519" w:lineRule="atLeast"/>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（4）组织评审委员会推选评标组长（采购人代表不得担任组长）；</w:t>
      </w:r>
      <w:r/>
    </w:p>
    <w:p>
      <w:pPr>
        <w:ind w:firstLine="600"/>
        <w:spacing w:line="519" w:lineRule="atLeast"/>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（5）在评标期间采取必要的通信管理措施，保证评标活动不受外界干扰；</w:t>
      </w:r>
      <w:r/>
    </w:p>
    <w:p>
      <w:pPr>
        <w:ind w:firstLine="600"/>
        <w:spacing w:line="519" w:lineRule="atLeast"/>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（6）根据评审委员会的要求介绍政府采购相关政策法规、招标文件；</w:t>
      </w:r>
      <w:r/>
    </w:p>
    <w:p>
      <w:pPr>
        <w:ind w:firstLine="600"/>
        <w:spacing w:line="519" w:lineRule="atLeast"/>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（7）维护评标秩序，监督评审委员会依照招标文件规定的评审程序、方法和标准进行独立评审，及时制止和纠正采购人代表、评审专家的倾向性言论或者违法违规行为；</w:t>
      </w:r>
      <w:r/>
    </w:p>
    <w:p>
      <w:pPr>
        <w:ind w:firstLine="600"/>
        <w:spacing w:line="519" w:lineRule="atLeast"/>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（8）核对评审结果，对有《</w:t>
      </w:r>
      <w:r>
        <w:rPr>
          <w:rFonts w:hint="eastAsia" w:ascii="宋体" w:hAnsi="宋体" w:eastAsia="宋体" w:cs="宋体"/>
          <w:color w:val="000000"/>
          <w:highlight w:val="none"/>
        </w:rPr>
        <w:fldChar w:fldCharType="begin"/>
      </w:r>
      <w:r>
        <w:rPr>
          <w:rFonts w:hint="eastAsia" w:ascii="宋体" w:hAnsi="宋体" w:eastAsia="宋体" w:cs="宋体"/>
          <w:color w:val="000000"/>
          <w:highlight w:val="none"/>
        </w:rPr>
        <w:instrText xml:space="preserve"> HYPERLINK "http://www.caigou2003.com/" \o "http://www.caigou2003.com/" </w:instrText>
      </w:r>
      <w:r>
        <w:rPr>
          <w:rFonts w:hint="eastAsia" w:ascii="宋体" w:hAnsi="宋体" w:eastAsia="宋体" w:cs="宋体"/>
          <w:color w:val="000000"/>
          <w:highlight w:val="none"/>
        </w:rPr>
        <w:fldChar w:fldCharType="separate"/>
      </w:r>
      <w:r>
        <w:rPr>
          <w:rStyle w:val="764"/>
          <w:rFonts w:hint="eastAsia" w:ascii="宋体" w:hAnsi="宋体" w:eastAsia="宋体" w:cs="宋体"/>
          <w:color w:val="000000"/>
          <w:sz w:val="24"/>
          <w:highlight w:val="none"/>
          <w:u w:val="none"/>
        </w:rPr>
        <w:t xml:space="preserve">政府采购</w:t>
      </w:r>
      <w:r>
        <w:rPr>
          <w:rFonts w:hint="eastAsia" w:ascii="宋体" w:hAnsi="宋体" w:eastAsia="宋体" w:cs="宋体"/>
          <w:color w:val="000000"/>
          <w:sz w:val="24"/>
          <w:highlight w:val="none"/>
          <w:u w:val="none"/>
        </w:rPr>
        <w:fldChar w:fldCharType="end"/>
      </w:r>
      <w:r>
        <w:rPr>
          <w:rFonts w:hint="eastAsia" w:ascii="宋体" w:hAnsi="宋体" w:eastAsia="宋体" w:cs="宋体"/>
          <w:color w:val="000000"/>
          <w:sz w:val="24"/>
          <w:highlight w:val="none"/>
        </w:rPr>
        <w:t xml:space="preserve">货物和服务招标投标管理办法》第六十四条规定情形的，应要求评审委员会复核或者书面说明理由，评审委员会拒绝的，应予记录并向本级财政部门报告；</w:t>
      </w:r>
      <w:r/>
    </w:p>
    <w:p>
      <w:pPr>
        <w:ind w:firstLine="600"/>
        <w:spacing w:line="519" w:lineRule="atLeast"/>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（9）评审工作完成后，按照规定向评审专家支付劳务报酬和异地评审差旅费，不得向评审专家以外的其他人员支付评审劳务报酬； </w:t>
      </w:r>
      <w:r/>
    </w:p>
    <w:p>
      <w:pPr>
        <w:ind w:firstLine="600"/>
        <w:spacing w:line="519" w:lineRule="atLeast"/>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（10）处理与评标有关的其他事项。</w:t>
      </w:r>
      <w:r/>
    </w:p>
    <w:p>
      <w:pPr>
        <w:ind w:firstLine="600"/>
        <w:spacing w:line="519" w:lineRule="atLeast"/>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采购人可以在评标前说明项目背景和采购需求，说明内容不得含有歧视性、倾向性意见，不得超出招标文件所述范围。其说明应当提交书面材料，并随采购文件一并存档。</w:t>
      </w:r>
      <w:r/>
    </w:p>
    <w:p>
      <w:pPr>
        <w:ind w:firstLine="600"/>
        <w:spacing w:line="519" w:lineRule="atLeast"/>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2.评审委员会负责具体评标事务，并独立履行下列职责：</w:t>
      </w:r>
      <w:r/>
    </w:p>
    <w:p>
      <w:pPr>
        <w:ind w:firstLine="450"/>
        <w:spacing w:line="519" w:lineRule="atLeast"/>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（1）审查、评价投标文件是否符合招标文件的商务、技术等实质性要求；</w:t>
      </w:r>
      <w:r/>
    </w:p>
    <w:p>
      <w:pPr>
        <w:ind w:firstLine="450"/>
        <w:spacing w:line="519" w:lineRule="atLeast"/>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（2）要求投标人对投标文件有关事项作出澄清或者说明；</w:t>
      </w:r>
      <w:r/>
    </w:p>
    <w:p>
      <w:pPr>
        <w:ind w:firstLine="450"/>
        <w:spacing w:line="519" w:lineRule="atLeast"/>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（3）对投标文件进行比较和评价；</w:t>
      </w:r>
      <w:r/>
    </w:p>
    <w:p>
      <w:pPr>
        <w:ind w:firstLine="450"/>
        <w:spacing w:line="519" w:lineRule="atLeast"/>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（4）确定中标候选人名单，以及根据采购人委托直接确定中标人；</w:t>
      </w:r>
      <w:r/>
    </w:p>
    <w:p>
      <w:pPr>
        <w:ind w:firstLine="450"/>
        <w:spacing w:line="519" w:lineRule="atLeast"/>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（5）向采购人、采购代理机构或有关部门报告评标中发现的违法行为。</w:t>
      </w:r>
      <w:r/>
    </w:p>
    <w:p>
      <w:pPr>
        <w:ind w:firstLine="450"/>
        <w:spacing w:line="519" w:lineRule="atLeast"/>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（二十七）评标方法分为最低评标价法和综合评分法。</w:t>
      </w:r>
      <w:r/>
    </w:p>
    <w:p>
      <w:pPr>
        <w:ind w:firstLine="450"/>
        <w:spacing w:line="519" w:lineRule="atLeast"/>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（二十八）评标</w:t>
      </w:r>
      <w:r/>
    </w:p>
    <w:p>
      <w:pPr>
        <w:ind w:firstLine="600"/>
        <w:spacing w:line="519" w:lineRule="atLeast"/>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1.评标工作程序：</w:t>
      </w:r>
      <w:r/>
    </w:p>
    <w:p>
      <w:pPr>
        <w:ind w:firstLine="600"/>
        <w:spacing w:line="519" w:lineRule="atLeast"/>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（1）投标文件初审。</w:t>
      </w:r>
      <w:r/>
    </w:p>
    <w:p>
      <w:pPr>
        <w:ind w:firstLine="600"/>
        <w:spacing w:line="519" w:lineRule="atLeast"/>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①资格审查。</w:t>
      </w:r>
      <w:r/>
    </w:p>
    <w:p>
      <w:pPr>
        <w:ind w:firstLine="600"/>
        <w:spacing w:line="519" w:lineRule="atLeast"/>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②符合性审查。</w:t>
      </w:r>
      <w:r/>
    </w:p>
    <w:p>
      <w:pPr>
        <w:ind w:firstLine="600"/>
        <w:spacing w:line="519" w:lineRule="atLeast"/>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（2）澄清有关问题。</w:t>
      </w:r>
      <w:r/>
    </w:p>
    <w:p>
      <w:pPr>
        <w:ind w:firstLine="600"/>
        <w:spacing w:line="519" w:lineRule="atLeast"/>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（3）比较与评价。</w:t>
      </w:r>
      <w:r/>
    </w:p>
    <w:p>
      <w:pPr>
        <w:ind w:firstLine="600"/>
        <w:spacing w:line="519" w:lineRule="atLeast"/>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（4）推荐中标候选供应商名单。</w:t>
      </w:r>
      <w:r/>
    </w:p>
    <w:p>
      <w:pPr>
        <w:ind w:firstLine="600"/>
        <w:spacing w:line="519" w:lineRule="atLeast"/>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（5）编写评审报告（评标报告）。</w:t>
      </w:r>
      <w:r/>
    </w:p>
    <w:p>
      <w:pPr>
        <w:ind w:firstLine="600"/>
        <w:spacing w:line="519" w:lineRule="atLeast"/>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2.在评标中，不得改变招标文件中规定的评标标准、方法和中标条件。评审委员会对投标文件响应性的判定，要基于投标文件本身的内容，而不得寻求外部的证据。</w:t>
      </w:r>
      <w:r/>
    </w:p>
    <w:p>
      <w:pPr>
        <w:ind w:firstLine="600"/>
        <w:spacing w:line="519" w:lineRule="atLeast"/>
        <w:shd w:val="clear" w:color="ffffff" w:fill="auto"/>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3.采用</w:t>
      </w:r>
      <w:r>
        <w:rPr>
          <w:rFonts w:hint="eastAsia" w:ascii="宋体" w:hAnsi="宋体" w:eastAsia="宋体" w:cs="宋体"/>
          <w:color w:val="000000"/>
          <w:highlight w:val="none"/>
        </w:rPr>
        <w:fldChar w:fldCharType="begin"/>
      </w:r>
      <w:r>
        <w:rPr>
          <w:rFonts w:hint="eastAsia" w:ascii="宋体" w:hAnsi="宋体" w:eastAsia="宋体" w:cs="宋体"/>
          <w:color w:val="000000"/>
          <w:highlight w:val="none"/>
        </w:rPr>
        <w:instrText xml:space="preserve"> HYPERLINK "http://lilun.caigou2003.com/recijiedu/2365668.html" \o "http://lilun.caigou2003.com/recijiedu/2365668.html" </w:instrText>
      </w:r>
      <w:r>
        <w:rPr>
          <w:rFonts w:hint="eastAsia" w:ascii="宋体" w:hAnsi="宋体" w:eastAsia="宋体" w:cs="宋体"/>
          <w:color w:val="000000"/>
          <w:highlight w:val="none"/>
        </w:rPr>
        <w:fldChar w:fldCharType="separate"/>
      </w:r>
      <w:r>
        <w:rPr>
          <w:rStyle w:val="764"/>
          <w:rFonts w:hint="eastAsia" w:ascii="宋体" w:hAnsi="宋体" w:eastAsia="宋体" w:cs="宋体"/>
          <w:color w:val="000000"/>
          <w:sz w:val="24"/>
          <w:highlight w:val="none"/>
          <w:u w:val="none"/>
        </w:rPr>
        <w:t xml:space="preserve">最低评标价法</w:t>
      </w:r>
      <w:r>
        <w:rPr>
          <w:rFonts w:hint="eastAsia" w:ascii="宋体" w:hAnsi="宋体" w:eastAsia="宋体" w:cs="宋体"/>
          <w:color w:val="000000"/>
          <w:sz w:val="24"/>
          <w:highlight w:val="none"/>
          <w:u w:val="none"/>
        </w:rPr>
        <w:fldChar w:fldCharType="end"/>
      </w:r>
      <w:r>
        <w:rPr>
          <w:rFonts w:hint="eastAsia" w:ascii="宋体" w:hAnsi="宋体" w:eastAsia="宋体" w:cs="宋体"/>
          <w:color w:val="000000"/>
          <w:sz w:val="24"/>
          <w:highlight w:val="none"/>
        </w:rPr>
        <w:t xml:space="preserve">的采购项目，对提供相同品牌产品的不同投标人参加同一合同项下投标的，应以其中通过资格审查、符合性审查的，并且报价最低的参加评标；报价相同的，采取随机抽取方式确定，其他投标无效。</w:t>
      </w:r>
      <w:r/>
    </w:p>
    <w:p>
      <w:pPr>
        <w:ind w:firstLine="600"/>
        <w:spacing w:line="519" w:lineRule="atLeast"/>
        <w:shd w:val="clear" w:color="ffffff" w:fill="auto"/>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采用</w:t>
      </w:r>
      <w:r>
        <w:rPr>
          <w:rFonts w:hint="eastAsia" w:ascii="宋体" w:hAnsi="宋体" w:eastAsia="宋体" w:cs="宋体"/>
          <w:color w:val="000000"/>
          <w:highlight w:val="none"/>
        </w:rPr>
        <w:fldChar w:fldCharType="begin"/>
      </w:r>
      <w:r>
        <w:rPr>
          <w:rFonts w:hint="eastAsia" w:ascii="宋体" w:hAnsi="宋体" w:eastAsia="宋体" w:cs="宋体"/>
          <w:color w:val="000000"/>
          <w:highlight w:val="none"/>
        </w:rPr>
        <w:instrText xml:space="preserve"> HYPERLINK "http://lilun.caigou2003.com/recijiedu/2365667.html" \o "http://lilun.caigou2003.com/recijiedu/2365667.html" </w:instrText>
      </w:r>
      <w:r>
        <w:rPr>
          <w:rFonts w:hint="eastAsia" w:ascii="宋体" w:hAnsi="宋体" w:eastAsia="宋体" w:cs="宋体"/>
          <w:color w:val="000000"/>
          <w:highlight w:val="none"/>
        </w:rPr>
        <w:fldChar w:fldCharType="separate"/>
      </w:r>
      <w:r>
        <w:rPr>
          <w:rStyle w:val="764"/>
          <w:rFonts w:hint="eastAsia" w:ascii="宋体" w:hAnsi="宋体" w:eastAsia="宋体" w:cs="宋体"/>
          <w:color w:val="000000"/>
          <w:sz w:val="24"/>
          <w:highlight w:val="none"/>
          <w:u w:val="none"/>
        </w:rPr>
        <w:t xml:space="preserve">综合评分法</w:t>
      </w:r>
      <w:r>
        <w:rPr>
          <w:rFonts w:hint="eastAsia" w:ascii="宋体" w:hAnsi="宋体" w:eastAsia="宋体" w:cs="宋体"/>
          <w:color w:val="000000"/>
          <w:sz w:val="24"/>
          <w:highlight w:val="none"/>
          <w:u w:val="none"/>
        </w:rPr>
        <w:fldChar w:fldCharType="end"/>
      </w:r>
      <w:r>
        <w:rPr>
          <w:rFonts w:hint="eastAsia" w:ascii="宋体" w:hAnsi="宋体" w:eastAsia="宋体" w:cs="宋体"/>
          <w:color w:val="000000"/>
          <w:sz w:val="24"/>
          <w:highlight w:val="none"/>
        </w:rPr>
        <w:t xml:space="preserve">的采购项目，对提供相同品牌产品且通过资格审查、符合性审查的不同投标人参加同一合同项下投标的，按一家投标人计算，评审后得分最高的同品牌投标人获得中标人推荐资格；评审得分相同的，由评审委员会按照招标文件规定的方式确定一个投标人获得中标人推荐资格。招标文件未规定采取随机抽取方式确定的，其他同品牌投标人不作为中标候选人。</w:t>
      </w:r>
      <w:r/>
    </w:p>
    <w:p>
      <w:pPr>
        <w:ind w:firstLine="600"/>
        <w:spacing w:line="519" w:lineRule="atLeast"/>
        <w:shd w:val="clear" w:color="ffffff" w:fill="auto"/>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非单一产品采购项目，多家投标人提供的核心产品品牌相同的，按前两款规定处理。</w:t>
      </w:r>
      <w:r/>
    </w:p>
    <w:p>
      <w:pPr>
        <w:ind w:firstLine="600"/>
        <w:spacing w:line="519" w:lineRule="atLeast"/>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（二十九）投标文件报价出现前后不一致的，按照下列规定修正：</w:t>
      </w:r>
      <w:r/>
    </w:p>
    <w:p>
      <w:pPr>
        <w:ind w:firstLine="600"/>
        <w:spacing w:line="519" w:lineRule="atLeast"/>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1.投标文件中开标一览表（报价表）内容与投标文件中相应内容不一致的，以开标一览表（报价表）为准；</w:t>
      </w:r>
      <w:r/>
    </w:p>
    <w:p>
      <w:pPr>
        <w:ind w:firstLine="600"/>
        <w:spacing w:line="519" w:lineRule="atLeast"/>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2.大写金额和小写金额不一致的，以大写金额为准；</w:t>
      </w:r>
      <w:r/>
    </w:p>
    <w:p>
      <w:pPr>
        <w:ind w:firstLine="600"/>
        <w:spacing w:line="519" w:lineRule="atLeast"/>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3.单价金额小数点或者百分比有明显错位的，以开标一览表的总价为准，并修改单价；</w:t>
      </w:r>
      <w:r/>
    </w:p>
    <w:p>
      <w:pPr>
        <w:ind w:firstLine="600"/>
        <w:spacing w:line="519" w:lineRule="atLeast"/>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4.总价金额与按单价合计金额不一致的，以单价金额计算结果为准。</w:t>
      </w:r>
      <w:r/>
    </w:p>
    <w:p>
      <w:pPr>
        <w:ind w:firstLine="600"/>
        <w:spacing w:line="519" w:lineRule="atLeast"/>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同时出现两种以上不一致的，按照前款规定的顺序修正，将修正后的报价，形成投标人的澄清、说明或补正材料，经投标人确认后产生约束力，投标人不确认的，其投标无效。</w:t>
      </w:r>
      <w:r/>
    </w:p>
    <w:p>
      <w:pPr>
        <w:ind w:firstLine="600"/>
        <w:spacing w:line="519" w:lineRule="atLeast"/>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投标人的澄清、说明或者补正应当采用书面形式，并加盖公章，或者由法定代表人或其授权的代表签字，投标人的澄清、说明或者补正不得超出投标文件的范围或者改变投标文件的实质性内容。</w:t>
      </w:r>
      <w:r/>
    </w:p>
    <w:p>
      <w:pPr>
        <w:ind w:firstLine="600"/>
        <w:spacing w:line="519" w:lineRule="atLeast"/>
        <w:rPr>
          <w:rFonts w:hint="eastAsia" w:ascii="宋体" w:hAnsi="宋体" w:eastAsia="宋体" w:cs="宋体"/>
          <w:b/>
          <w:bCs/>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highlight w:val="none"/>
        </w:rPr>
        <w:t xml:space="preserve">（三十）评审过程中出现下列情形之一的，评审委员会应当启动异常低价投标（响应）审查程序：</w:t>
      </w:r>
      <w:r/>
    </w:p>
    <w:p>
      <w:pPr>
        <w:ind w:firstLine="600"/>
        <w:spacing w:line="519" w:lineRule="atLeast"/>
        <w:rPr>
          <w:rFonts w:hint="eastAsia" w:ascii="宋体" w:hAnsi="宋体" w:eastAsia="宋体" w:cs="宋体"/>
          <w:b w:val="0"/>
          <w:bCs w:val="0"/>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000000"/>
          <w:sz w:val="24"/>
          <w:highlight w:val="none"/>
        </w:rPr>
        <w:t xml:space="preserve">1.投标(响应)报价低于采购项目预算50%的，即投标(响应)报价&lt;采购项目预算×50%；</w:t>
      </w:r>
      <w:r/>
    </w:p>
    <w:p>
      <w:pPr>
        <w:ind w:firstLine="600"/>
        <w:spacing w:line="519" w:lineRule="atLeast"/>
        <w:rPr>
          <w:rFonts w:hint="eastAsia" w:ascii="宋体" w:hAnsi="宋体" w:eastAsia="宋体" w:cs="宋体"/>
          <w:b w:val="0"/>
          <w:bCs w:val="0"/>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000000"/>
          <w:sz w:val="24"/>
          <w:highlight w:val="none"/>
        </w:rPr>
        <w:t xml:space="preserve">2.投标(响应)报价低于采购项目最高限价45%的，即投标(响应)报价&lt;采购项目最高限价×45%；</w:t>
      </w:r>
      <w:r/>
    </w:p>
    <w:p>
      <w:pPr>
        <w:ind w:firstLine="600"/>
        <w:spacing w:line="519" w:lineRule="atLeast"/>
        <w:rPr>
          <w:rFonts w:hint="eastAsia" w:ascii="宋体" w:hAnsi="宋体" w:eastAsia="宋体" w:cs="宋体"/>
          <w:b w:val="0"/>
          <w:bCs w:val="0"/>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000000"/>
          <w:sz w:val="24"/>
          <w:highlight w:val="none"/>
        </w:rPr>
        <w:t xml:space="preserve">3.评审委员会认定的供应商报价过低、有可能影响产品质量或者不能诚信履约的其他情形。</w:t>
      </w:r>
      <w:r/>
    </w:p>
    <w:p>
      <w:pPr>
        <w:ind w:firstLine="600"/>
        <w:spacing w:line="519" w:lineRule="atLeast"/>
        <w:rPr>
          <w:rFonts w:hint="eastAsia" w:ascii="宋体" w:hAnsi="宋体" w:eastAsia="宋体" w:cs="宋体"/>
          <w:b w:val="0"/>
          <w:bCs w:val="0"/>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000000"/>
          <w:sz w:val="24"/>
          <w:highlight w:val="none"/>
        </w:rPr>
        <w:t xml:space="preserve">启动异常低</w:t>
      </w:r>
      <w:r>
        <w:rPr>
          <w:rFonts w:hint="eastAsia" w:ascii="宋体" w:hAnsi="宋体" w:eastAsia="宋体" w:cs="宋体"/>
          <w:b w:val="0"/>
          <w:bCs w:val="0"/>
          <w:color w:val="000000"/>
          <w:sz w:val="24"/>
          <w:highlight w:val="none"/>
        </w:rPr>
        <w:t xml:space="preserve">价投标(响应)审查后，评审委员会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人说明应当采用通过“苏采云”系统(使用“CA数字证书”,加盖电子签章)形式。投标人不提供书面说明、证明材料,或者提供的书面说明、证明材料不能证明其报价合理性的，评标委员会应当将其作为无效投标处理。审查相关情况应当在评标报告中进行记录。</w:t>
      </w:r>
      <w:r/>
    </w:p>
    <w:p>
      <w:pPr>
        <w:ind w:firstLine="600"/>
        <w:spacing w:line="519" w:lineRule="atLeast"/>
        <w:rPr>
          <w:rFonts w:hint="eastAsia" w:ascii="宋体" w:hAnsi="宋体" w:eastAsia="宋体" w:cs="宋体"/>
          <w:b w:val="0"/>
          <w:bCs w:val="0"/>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000000"/>
          <w:sz w:val="24"/>
          <w:highlight w:val="none"/>
        </w:rPr>
        <w:t xml:space="preserve">对报价异常低且经评审委员会启动相关审查机制后仍中标或成交的供应商，采购人要重点关注其履约能力、履约承诺、实际履约情况等。如供应商在中标或成交后无正当理由拒不签订政府采购合同，采购人应将相关情况书面报送同级财政部门，由财政部门依法追究其法律责任；如供应商在签订政府采购合同后不严格履行合同，采购人应按照政府采购合同约定追究供应商违约责任，并将不良履约行为书面报送同级财政部门。</w:t>
      </w:r>
      <w:r/>
    </w:p>
    <w:p>
      <w:pPr>
        <w:ind w:firstLine="600"/>
        <w:spacing w:line="519" w:lineRule="atLeast"/>
        <w:rPr>
          <w:rFonts w:hint="eastAsia" w:ascii="宋体" w:hAnsi="宋体" w:eastAsia="宋体" w:cs="宋体"/>
          <w:b w:val="0"/>
          <w:bCs w:val="0"/>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000000"/>
          <w:sz w:val="24"/>
          <w:highlight w:val="none"/>
        </w:rPr>
        <w:t xml:space="preserve">相关内容和要求见：《中华人民共和国政府采购法》、《中华人民共和国政府采购法实施条例》、《省财政厅关于推动解决政府采购异常低价问题相关工作的通知》（苏财购〔2025〕62号）及徐财购（2025）17号文。</w:t>
      </w:r>
      <w:r/>
    </w:p>
    <w:p>
      <w:pPr>
        <w:ind w:firstLine="600"/>
        <w:spacing w:line="519" w:lineRule="atLeast"/>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（三十一）评审委员会成员对需要共同认定的事项存在争议的，应当按照少数服从多数的原则作出结论，持不同意见的评审委员会成员应当在评标报告上签署不同意见及理由，否则视为同意评标报告。</w:t>
      </w:r>
      <w:r/>
    </w:p>
    <w:p>
      <w:pPr>
        <w:ind w:firstLine="600"/>
        <w:spacing w:line="519" w:lineRule="atLeast"/>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（三十二）废标条款：</w:t>
      </w:r>
      <w:r/>
    </w:p>
    <w:p>
      <w:pPr>
        <w:ind w:firstLine="600"/>
        <w:spacing w:line="519" w:lineRule="atLeast"/>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出现下列情形之一的，应予废标。</w:t>
      </w:r>
      <w:r/>
    </w:p>
    <w:p>
      <w:pPr>
        <w:ind w:firstLine="600"/>
        <w:spacing w:line="519" w:lineRule="atLeast"/>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1.符合专业条件的供应商或者对招标文件作实质响应的供应商不足三家的；</w:t>
      </w:r>
      <w:r/>
    </w:p>
    <w:p>
      <w:pPr>
        <w:ind w:firstLine="600"/>
        <w:spacing w:line="519" w:lineRule="atLeast"/>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2.出现影响采购公正的违法、违规行为的；</w:t>
      </w:r>
      <w:r/>
    </w:p>
    <w:p>
      <w:pPr>
        <w:ind w:firstLine="600"/>
        <w:spacing w:line="519" w:lineRule="atLeast"/>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3.投标人的报价均超过了采购预算，采购人不能支付的；</w:t>
      </w:r>
      <w:r/>
    </w:p>
    <w:p>
      <w:pPr>
        <w:ind w:firstLine="600"/>
        <w:spacing w:line="519" w:lineRule="atLeast"/>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4.因重大变故，采购任务取消的。</w:t>
      </w:r>
      <w:r/>
    </w:p>
    <w:p>
      <w:pPr>
        <w:ind w:firstLine="600"/>
        <w:spacing w:line="519" w:lineRule="atLeast"/>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六、定标</w:t>
      </w:r>
      <w:r/>
    </w:p>
    <w:p>
      <w:pPr>
        <w:ind w:firstLine="600"/>
        <w:spacing w:line="519" w:lineRule="atLeast"/>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（三十三）采购代理机构应当在评标结束后2个工作日内将评标报告送采购人。</w:t>
      </w:r>
      <w:r/>
    </w:p>
    <w:p>
      <w:pPr>
        <w:ind w:firstLine="600"/>
        <w:spacing w:line="519" w:lineRule="atLeast"/>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（三十四）采购人应当自收到评标报告之日起5个工作日内，在评标报告确定的中标候选人名单中按顺序确定中标人。</w:t>
      </w:r>
      <w:r/>
    </w:p>
    <w:p>
      <w:pPr>
        <w:ind w:firstLine="600"/>
        <w:spacing w:line="519" w:lineRule="atLeast"/>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（三十五）采购人有权对投标人投标文件的真实性进行核实，如果投标人不能在采购人规定的时间内向采购人提供有效的证明文件，将被采购人视为放弃中标资格。</w:t>
      </w:r>
      <w:r/>
    </w:p>
    <w:p>
      <w:pPr>
        <w:ind w:firstLine="600"/>
        <w:spacing w:line="519" w:lineRule="atLeast"/>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七、政府采购合同</w:t>
      </w:r>
      <w:r/>
    </w:p>
    <w:p>
      <w:pPr>
        <w:ind w:firstLine="600"/>
        <w:spacing w:line="519" w:lineRule="atLeast"/>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（三十六）签订政府采购合同（合同签订方式）：</w:t>
      </w:r>
      <w:r/>
    </w:p>
    <w:p>
      <w:pPr>
        <w:ind w:firstLine="600"/>
        <w:spacing w:line="519" w:lineRule="atLeast"/>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1.采购人应当自中标通知书发出之日起30日内，按照招标文件和中标人投标文件的规定，与中标人签订书面合同，所签订的合同不得对招标文件确定的事项和中标人投标文件作实质性修改。</w:t>
      </w:r>
      <w:r/>
    </w:p>
    <w:p>
      <w:pPr>
        <w:ind w:firstLine="600"/>
        <w:spacing w:line="519" w:lineRule="atLeast"/>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采购人不得向中标人提出任何不合理的要求作为签订合同的条件。</w:t>
      </w:r>
      <w:r/>
    </w:p>
    <w:p>
      <w:pPr>
        <w:ind w:firstLine="600"/>
        <w:spacing w:line="519" w:lineRule="atLeast"/>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2.中标或者成交供应商拒绝与采购人签订合同的，采购人可以按照评审报告推荐的中标或者成交候选人名单排序，确定下一个候选人为中标或者成交供应商，也可以重新开展政府采购活动。</w:t>
      </w:r>
      <w:r/>
    </w:p>
    <w:p>
      <w:pPr>
        <w:ind w:firstLine="600"/>
        <w:spacing w:line="519" w:lineRule="atLeast"/>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val="en-US" w:eastAsia="zh-CN"/>
        </w:rPr>
        <w:t xml:space="preserve">3.中标人无正当理由拒签合同的，或在签订书面合同时向招标人提出修改合同或者附加条件，招标人取消其中标资格，其投标保证金(如有)不予退还；给招标人造成的损失超过投标保证金(如有)数额的，中标人还应当对超过部分予以赔偿。该损失包括但不限于重新招标费用、成交价格高于本次招标价格部分、实现赔偿的诉讼费、律师费等费用。对依法必须进行招标的项目的中标人，由有关行政监督部门责令改正</w:t>
      </w:r>
      <w:r/>
    </w:p>
    <w:p>
      <w:pPr>
        <w:ind w:firstLine="600"/>
        <w:spacing w:line="519" w:lineRule="atLeast"/>
        <w:shd w:val="clear" w:color="ffffff" w:fill="auto"/>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（三十七）采购人与中标人应当根据合同的约定依法履行合同义务，政府采购合同的履行、违约责任和解决争议的方法等，按《中华人民共和国民法典》相关条款执行。</w:t>
      </w:r>
      <w:r/>
    </w:p>
    <w:p>
      <w:pPr>
        <w:ind w:firstLine="600"/>
        <w:spacing w:line="519" w:lineRule="atLeast"/>
        <w:shd w:val="clear" w:color="ffffff" w:fill="auto"/>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（三十八）履约保证金：详见《第三章 投标资料表》。</w:t>
      </w:r>
      <w:r/>
    </w:p>
    <w:p>
      <w:pPr>
        <w:ind w:firstLine="600"/>
        <w:spacing w:line="519" w:lineRule="atLeast"/>
        <w:shd w:val="clear" w:color="ffffff" w:fill="auto"/>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（三十九）腐败和欺诈行为：</w:t>
      </w:r>
      <w:r/>
    </w:p>
    <w:p>
      <w:pPr>
        <w:ind w:firstLine="600"/>
        <w:spacing w:line="519" w:lineRule="atLeast"/>
        <w:shd w:val="clear" w:color="ffffff" w:fill="auto"/>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1.采购代理机构、采购人、投标人等参与招投标的各方，均应在招标、采购、合同执行等过程中保持廉洁和最高的道德水准。</w:t>
      </w:r>
      <w:r/>
    </w:p>
    <w:p>
      <w:pPr>
        <w:ind w:firstLine="600"/>
        <w:spacing w:line="519" w:lineRule="atLeast"/>
        <w:shd w:val="clear" w:color="ffffff" w:fill="auto"/>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（1）腐败和欺诈行为的含义：</w:t>
      </w:r>
      <w:r/>
    </w:p>
    <w:p>
      <w:pPr>
        <w:ind w:firstLine="600"/>
        <w:spacing w:line="519" w:lineRule="atLeast"/>
        <w:shd w:val="clear" w:color="ffffff" w:fill="auto"/>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①“腐败行为”系指在招标、采购和合同执行等过程中，为了谋求私利，影响相关人员提供、给予、接受或索取有价物品，并导致损害买方、卖方、采购代理机构和他人利益的行为。</w:t>
      </w:r>
      <w:r/>
    </w:p>
    <w:p>
      <w:pPr>
        <w:ind w:firstLine="600"/>
        <w:spacing w:line="519" w:lineRule="atLeast"/>
        <w:shd w:val="clear" w:color="ffffff" w:fill="auto"/>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②“欺诈行为”系指为了影响招标、采购和合同执行等过程，隐瞒事实真相，给买方、卖方、采购代理机构及他人造成损害的行为，其中包括投标人之间的串通行为。</w:t>
      </w:r>
      <w:r/>
    </w:p>
    <w:p>
      <w:pPr>
        <w:ind w:firstLine="600"/>
        <w:spacing w:line="519" w:lineRule="atLeast"/>
        <w:shd w:val="clear" w:color="ffffff" w:fill="auto"/>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（2）如果被推荐的中标人有腐败和欺诈行为，将取消其中标资格。</w:t>
      </w:r>
      <w:r/>
    </w:p>
    <w:p>
      <w:pPr>
        <w:ind w:firstLine="600"/>
        <w:spacing w:line="519" w:lineRule="atLeast"/>
        <w:shd w:val="clear" w:color="ffffff" w:fill="auto"/>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（3）如果投标人在任何时候，被法院及政府有关管理部门认定为有腐败和欺诈行为，采购代理机构有权拒绝其投标、取消其中标资格和撤销其已签署的合同。</w:t>
      </w:r>
      <w:r/>
    </w:p>
    <w:p>
      <w:pPr>
        <w:ind w:firstLine="600"/>
        <w:spacing w:line="519" w:lineRule="atLeast"/>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八、询问和质疑</w:t>
      </w:r>
      <w:r/>
    </w:p>
    <w:p>
      <w:pPr>
        <w:ind w:firstLine="600"/>
        <w:spacing w:line="519" w:lineRule="atLeast"/>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（四十）询问和质疑</w:t>
      </w:r>
      <w:r/>
    </w:p>
    <w:p>
      <w:pPr>
        <w:ind w:firstLine="600"/>
        <w:spacing w:line="519" w:lineRule="atLeast"/>
        <w:rPr>
          <w:rFonts w:hint="eastAsia" w:ascii="宋体" w:hAnsi="宋体" w:eastAsia="宋体" w:cs="宋体"/>
          <w:b/>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供应商对政府采购活动事项有疑问的，可以向采购人或采购代理机构提出询问；供应商认为采购文件、采购过程和中标、成交结果使自己的权益受到损害的，可以在知道或者应知其权益受到损害之日起，七个工作日内以书面形式向采购代理机构提出质疑，询问和质疑由采购代理机构依法处理。</w:t>
      </w:r>
      <w:r>
        <w:rPr>
          <w:rFonts w:hint="eastAsia" w:ascii="宋体" w:hAnsi="宋体" w:eastAsia="宋体" w:cs="宋体"/>
          <w:b/>
          <w:color w:val="000000"/>
          <w:sz w:val="24"/>
          <w:highlight w:val="none"/>
        </w:rPr>
        <w:t xml:space="preserve"> </w:t>
      </w:r>
      <w:r/>
    </w:p>
    <w:p>
      <w:pPr>
        <w:ind w:firstLine="600"/>
        <w:spacing w:line="519" w:lineRule="atLeast"/>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九、电子招标投标交易平台</w:t>
      </w:r>
      <w:r/>
    </w:p>
    <w:p>
      <w:pPr>
        <w:ind w:firstLine="601"/>
        <w:jc w:val="left"/>
        <w:spacing w:line="519" w:lineRule="atLeast"/>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（四十一）电子招标投标交易平台（即“苏采云”系统，网址：http://jszfcg.jsczt.cn/）相关要求是本招标文件的组成部分。</w:t>
      </w:r>
      <w:r/>
    </w:p>
    <w:p>
      <w:pPr>
        <w:ind w:firstLine="602"/>
        <w:jc w:val="center"/>
        <w:spacing w:line="360" w:lineRule="atLeast"/>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rPr>
      </w:r>
      <w:r/>
    </w:p>
    <w:p>
      <w:pPr>
        <w:jc w:val="center"/>
        <w:spacing w:line="720" w:lineRule="atLeast"/>
        <w:rPr>
          <w:rFonts w:hint="eastAsia" w:ascii="宋体" w:hAnsi="宋体" w:eastAsia="宋体" w:cs="宋体"/>
          <w:color w:val="000000"/>
          <w:sz w:val="28"/>
          <w:szCs w:val="28"/>
          <w:highlight w:val="none"/>
        </w:rPr>
        <w:pBdr>
          <w:top w:val="none" w:color="000000" w:sz="0" w:space="0"/>
          <w:left w:val="none" w:color="000000" w:sz="0" w:space="0"/>
          <w:bottom w:val="none" w:color="000000" w:sz="0" w:space="0"/>
          <w:right w:val="none" w:color="000000" w:sz="0" w:space="0"/>
        </w:pBdr>
        <w:outlineLvl w:val="0"/>
      </w:pPr>
      <w:r>
        <w:rPr>
          <w:rFonts w:hint="eastAsia" w:ascii="宋体" w:hAnsi="宋体" w:eastAsia="宋体" w:cs="宋体"/>
          <w:color w:val="000000"/>
          <w:highlight w:val="none"/>
        </w:rPr>
        <w:br w:type="page" w:clear="all"/>
      </w:r>
      <w:r>
        <w:rPr>
          <w:rFonts w:hint="eastAsia" w:ascii="宋体" w:hAnsi="宋体" w:eastAsia="宋体" w:cs="宋体"/>
          <w:b/>
          <w:color w:val="000000"/>
          <w:sz w:val="28"/>
          <w:szCs w:val="28"/>
          <w:highlight w:val="none"/>
        </w:rPr>
        <w:t xml:space="preserve">第三章 投标资料表</w:t>
      </w:r>
      <w:r/>
    </w:p>
    <w:p>
      <w:pPr>
        <w:ind w:firstLine="600"/>
        <w:jc w:val="center"/>
        <w:spacing w:line="360" w:lineRule="atLeast"/>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rPr>
      </w:r>
      <w:r/>
    </w:p>
    <w:p>
      <w:pPr>
        <w:ind w:firstLine="600"/>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该资料表的条款项号是与《投标人须知》的条款项号相对应的，若有增加的条款，是对《投标人须知》的补充、修改和完善，如果因此而造成矛盾时，应以本资料表为准。</w:t>
      </w:r>
      <w:r/>
    </w:p>
    <w:tbl>
      <w:tblPr>
        <w:tblStyle w:val="739"/>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471"/>
        <w:gridCol w:w="8313"/>
      </w:tblGrid>
      <w:tr>
        <w:trPr>
          <w:jc w:val="center"/>
        </w:trPr>
        <w:tc>
          <w:tcPr>
            <w:tcMar>
              <w:left w:w="108" w:type="dxa"/>
              <w:top w:w="0" w:type="dxa"/>
              <w:right w:w="108" w:type="dxa"/>
              <w:bottom w:w="0" w:type="dxa"/>
            </w:tcMar>
            <w:tcW w:w="1471" w:type="dxa"/>
            <w:vAlign w:val="top"/>
            <w:textDirection w:val="lrTb"/>
            <w:noWrap w:val="false"/>
          </w:tcPr>
          <w:p>
            <w:pPr>
              <w:jc w:val="center"/>
              <w:spacing w:line="360" w:lineRule="auto"/>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highlight w:val="none"/>
              </w:rPr>
              <w:t xml:space="preserve">条款项号</w:t>
            </w:r>
            <w:r/>
          </w:p>
        </w:tc>
        <w:tc>
          <w:tcPr>
            <w:tcMar>
              <w:left w:w="108" w:type="dxa"/>
              <w:top w:w="0" w:type="dxa"/>
              <w:right w:w="108" w:type="dxa"/>
              <w:bottom w:w="0" w:type="dxa"/>
            </w:tcMar>
            <w:tcW w:w="8313" w:type="dxa"/>
            <w:vAlign w:val="top"/>
            <w:textDirection w:val="lrTb"/>
            <w:noWrap w:val="false"/>
          </w:tcPr>
          <w:p>
            <w:pPr>
              <w:jc w:val="center"/>
              <w:spacing w:line="360" w:lineRule="auto"/>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highlight w:val="none"/>
              </w:rPr>
              <w:t xml:space="preserve">内 容</w:t>
            </w:r>
            <w:r/>
          </w:p>
        </w:tc>
      </w:tr>
      <w:tr>
        <w:trPr>
          <w:jc w:val="center"/>
        </w:trPr>
        <w:tc>
          <w:tcPr>
            <w:tcMar>
              <w:left w:w="108" w:type="dxa"/>
              <w:top w:w="0" w:type="dxa"/>
              <w:right w:w="108" w:type="dxa"/>
              <w:bottom w:w="0" w:type="dxa"/>
            </w:tcMar>
            <w:tcW w:w="1471" w:type="dxa"/>
            <w:vAlign w:val="top"/>
            <w:textDirection w:val="lrTb"/>
            <w:noWrap w:val="false"/>
          </w:tcPr>
          <w:p>
            <w:pPr>
              <w:jc w:val="center"/>
              <w:spacing w:line="360" w:lineRule="auto"/>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一</w:t>
            </w:r>
            <w:r/>
          </w:p>
        </w:tc>
        <w:tc>
          <w:tcPr>
            <w:tcMar>
              <w:left w:w="108" w:type="dxa"/>
              <w:top w:w="0" w:type="dxa"/>
              <w:right w:w="108" w:type="dxa"/>
              <w:bottom w:w="0" w:type="dxa"/>
            </w:tcMar>
            <w:tcW w:w="8313" w:type="dxa"/>
            <w:vAlign w:val="top"/>
            <w:textDirection w:val="lrTb"/>
            <w:noWrap w:val="false"/>
          </w:tcPr>
          <w:p>
            <w:pPr>
              <w:spacing w:line="360" w:lineRule="auto"/>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总则</w:t>
            </w:r>
            <w:r/>
          </w:p>
        </w:tc>
      </w:tr>
      <w:tr>
        <w:trPr>
          <w:jc w:val="center"/>
        </w:trPr>
        <w:tc>
          <w:tcPr>
            <w:tcMar>
              <w:left w:w="108" w:type="dxa"/>
              <w:top w:w="0" w:type="dxa"/>
              <w:right w:w="108" w:type="dxa"/>
              <w:bottom w:w="0" w:type="dxa"/>
            </w:tcMar>
            <w:tcW w:w="1471" w:type="dxa"/>
            <w:vAlign w:val="top"/>
            <w:textDirection w:val="lrTb"/>
            <w:noWrap w:val="false"/>
          </w:tcPr>
          <w:p>
            <w:pPr>
              <w:jc w:val="center"/>
              <w:spacing w:line="360" w:lineRule="auto"/>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（一）</w:t>
            </w:r>
            <w:r/>
          </w:p>
        </w:tc>
        <w:tc>
          <w:tcPr>
            <w:tcMar>
              <w:left w:w="108" w:type="dxa"/>
              <w:top w:w="0" w:type="dxa"/>
              <w:right w:w="108" w:type="dxa"/>
              <w:bottom w:w="0" w:type="dxa"/>
            </w:tcMar>
            <w:tcW w:w="8313" w:type="dxa"/>
            <w:vAlign w:val="top"/>
            <w:textDirection w:val="lrTb"/>
            <w:noWrap w:val="false"/>
          </w:tcPr>
          <w:p>
            <w:pPr>
              <w:spacing w:line="360" w:lineRule="auto"/>
              <w:rPr>
                <w:rFonts w:hint="eastAsia" w:ascii="宋体" w:hAnsi="宋体" w:eastAsia="宋体" w:cs="宋体"/>
                <w:color w:val="000000"/>
                <w:sz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本项目采购人：</w:t>
            </w:r>
            <w:r>
              <w:rPr>
                <w:rFonts w:hint="eastAsia" w:ascii="宋体" w:hAnsi="宋体" w:eastAsia="宋体" w:cs="宋体"/>
                <w:color w:val="000000"/>
                <w:sz w:val="24"/>
                <w:highlight w:val="none"/>
                <w:lang w:eastAsia="zh-CN"/>
              </w:rPr>
              <w:t xml:space="preserve">江苏省沛县中学</w:t>
            </w:r>
            <w:r/>
          </w:p>
        </w:tc>
      </w:tr>
      <w:tr>
        <w:trPr>
          <w:jc w:val="center"/>
        </w:trPr>
        <w:tc>
          <w:tcPr>
            <w:tcMar>
              <w:left w:w="108" w:type="dxa"/>
              <w:top w:w="0" w:type="dxa"/>
              <w:right w:w="108" w:type="dxa"/>
              <w:bottom w:w="0" w:type="dxa"/>
            </w:tcMar>
            <w:tcW w:w="1471" w:type="dxa"/>
            <w:vAlign w:val="top"/>
            <w:textDirection w:val="lrTb"/>
            <w:noWrap w:val="false"/>
          </w:tcPr>
          <w:p>
            <w:pPr>
              <w:jc w:val="center"/>
              <w:spacing w:line="360" w:lineRule="auto"/>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（二）</w:t>
            </w:r>
            <w:r/>
          </w:p>
        </w:tc>
        <w:tc>
          <w:tcPr>
            <w:tcMar>
              <w:left w:w="108" w:type="dxa"/>
              <w:top w:w="0" w:type="dxa"/>
              <w:right w:w="108" w:type="dxa"/>
              <w:bottom w:w="0" w:type="dxa"/>
            </w:tcMar>
            <w:tcW w:w="8313" w:type="dxa"/>
            <w:vAlign w:val="top"/>
            <w:textDirection w:val="lrTb"/>
            <w:noWrap w:val="false"/>
          </w:tcPr>
          <w:p>
            <w:pPr>
              <w:spacing w:line="360" w:lineRule="auto"/>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本次采购采用的政府采购方式：公开招标</w:t>
            </w:r>
            <w:r/>
          </w:p>
        </w:tc>
      </w:tr>
      <w:tr>
        <w:trPr>
          <w:jc w:val="center"/>
        </w:trPr>
        <w:tc>
          <w:tcPr>
            <w:tcMar>
              <w:left w:w="108" w:type="dxa"/>
              <w:top w:w="0" w:type="dxa"/>
              <w:right w:w="108" w:type="dxa"/>
              <w:bottom w:w="0" w:type="dxa"/>
            </w:tcMar>
            <w:tcW w:w="1471" w:type="dxa"/>
            <w:vAlign w:val="top"/>
            <w:textDirection w:val="lrTb"/>
            <w:noWrap w:val="false"/>
          </w:tcPr>
          <w:p>
            <w:pPr>
              <w:jc w:val="center"/>
              <w:spacing w:line="360" w:lineRule="auto"/>
              <w:rPr>
                <w:rFonts w:hint="eastAsia" w:ascii="宋体" w:hAnsi="宋体" w:eastAsia="宋体" w:cs="宋体"/>
                <w:b/>
                <w:bCs/>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highlight w:val="none"/>
              </w:rPr>
              <w:t xml:space="preserve">（四）</w:t>
            </w:r>
            <w:r/>
          </w:p>
        </w:tc>
        <w:tc>
          <w:tcPr>
            <w:tcMar>
              <w:left w:w="108" w:type="dxa"/>
              <w:top w:w="0" w:type="dxa"/>
              <w:right w:w="108" w:type="dxa"/>
              <w:bottom w:w="0" w:type="dxa"/>
            </w:tcMar>
            <w:tcW w:w="8313" w:type="dxa"/>
            <w:vAlign w:val="top"/>
            <w:textDirection w:val="lrTb"/>
            <w:noWrap w:val="false"/>
          </w:tcPr>
          <w:p>
            <w:pPr>
              <w:spacing w:line="360" w:lineRule="auto"/>
              <w:rPr>
                <w:rFonts w:hint="eastAsia" w:ascii="宋体" w:hAnsi="宋体" w:eastAsia="宋体" w:cs="宋体"/>
                <w:b/>
                <w:bCs/>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highlight w:val="none"/>
              </w:rPr>
              <w:t xml:space="preserve">采购人确定的采购项目属性：货物</w:t>
            </w:r>
            <w:r/>
          </w:p>
        </w:tc>
      </w:tr>
      <w:tr>
        <w:trPr>
          <w:jc w:val="center"/>
        </w:trPr>
        <w:tc>
          <w:tcPr>
            <w:tcMar>
              <w:left w:w="108" w:type="dxa"/>
              <w:top w:w="0" w:type="dxa"/>
              <w:right w:w="108" w:type="dxa"/>
              <w:bottom w:w="0" w:type="dxa"/>
            </w:tcMar>
            <w:tcW w:w="1471" w:type="dxa"/>
            <w:vAlign w:val="top"/>
            <w:textDirection w:val="lrTb"/>
            <w:noWrap w:val="false"/>
          </w:tcPr>
          <w:p>
            <w:pPr>
              <w:jc w:val="center"/>
              <w:spacing w:line="360" w:lineRule="auto"/>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（五）</w:t>
            </w:r>
            <w:r/>
          </w:p>
        </w:tc>
        <w:tc>
          <w:tcPr>
            <w:tcMar>
              <w:left w:w="108" w:type="dxa"/>
              <w:top w:w="0" w:type="dxa"/>
              <w:right w:w="108" w:type="dxa"/>
              <w:bottom w:w="0" w:type="dxa"/>
            </w:tcMar>
            <w:tcW w:w="8313" w:type="dxa"/>
            <w:vAlign w:val="top"/>
            <w:textDirection w:val="lrTb"/>
            <w:noWrap w:val="false"/>
          </w:tcPr>
          <w:p>
            <w:pPr>
              <w:spacing w:line="360" w:lineRule="auto"/>
              <w:rPr>
                <w:rFonts w:hint="eastAsia" w:ascii="宋体" w:hAnsi="宋体" w:eastAsia="宋体" w:cs="宋体"/>
                <w:color w:val="000000"/>
                <w:sz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本项目采购代理机构：</w:t>
            </w:r>
            <w:r>
              <w:rPr>
                <w:rFonts w:hint="eastAsia" w:ascii="宋体" w:hAnsi="宋体" w:cs="宋体"/>
                <w:color w:val="000000"/>
                <w:sz w:val="24"/>
                <w:highlight w:val="none"/>
                <w:lang w:eastAsia="zh-CN"/>
              </w:rPr>
              <w:t xml:space="preserve">江苏苏航工程项目管理有限公司</w:t>
            </w:r>
            <w:r/>
          </w:p>
        </w:tc>
      </w:tr>
      <w:tr>
        <w:trPr>
          <w:jc w:val="center"/>
          <w:trHeight w:val="444"/>
        </w:trPr>
        <w:tc>
          <w:tcPr>
            <w:tcMar>
              <w:left w:w="108" w:type="dxa"/>
              <w:top w:w="0" w:type="dxa"/>
              <w:right w:w="108" w:type="dxa"/>
              <w:bottom w:w="0" w:type="dxa"/>
            </w:tcMar>
            <w:tcW w:w="1471" w:type="dxa"/>
            <w:vAlign w:val="top"/>
            <w:textDirection w:val="lrTb"/>
            <w:noWrap w:val="false"/>
          </w:tcPr>
          <w:p>
            <w:pPr>
              <w:jc w:val="center"/>
              <w:spacing w:line="360" w:lineRule="auto"/>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（六）</w:t>
            </w:r>
            <w:r/>
          </w:p>
        </w:tc>
        <w:tc>
          <w:tcPr>
            <w:tcMar>
              <w:left w:w="108" w:type="dxa"/>
              <w:top w:w="0" w:type="dxa"/>
              <w:right w:w="108" w:type="dxa"/>
              <w:bottom w:w="0" w:type="dxa"/>
            </w:tcMar>
            <w:tcW w:w="8313" w:type="dxa"/>
            <w:vAlign w:val="top"/>
            <w:textDirection w:val="lrTb"/>
            <w:noWrap w:val="false"/>
          </w:tcPr>
          <w:p>
            <w:pPr>
              <w:spacing w:line="360" w:lineRule="auto"/>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投标人的资格条件：</w:t>
            </w:r>
            <w:r/>
          </w:p>
          <w:p>
            <w:pPr>
              <w:spacing w:line="360" w:lineRule="auto"/>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一、符合《中华人民共和国政府采购法》第二十二条的规定；</w:t>
            </w:r>
            <w:r/>
          </w:p>
          <w:p>
            <w:pPr>
              <w:spacing w:line="360" w:lineRule="auto"/>
              <w:rPr>
                <w:rFonts w:hint="eastAsia" w:ascii="宋体" w:hAnsi="宋体" w:eastAsia="宋体" w:cs="宋体"/>
                <w:bCs/>
                <w:color w:val="000000"/>
                <w:sz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000000"/>
                <w:sz w:val="24"/>
                <w:highlight w:val="none"/>
                <w:lang w:val="en-US" w:eastAsia="zh-CN"/>
              </w:rPr>
              <w:t xml:space="preserve">二</w:t>
            </w:r>
            <w:r>
              <w:rPr>
                <w:rFonts w:hint="eastAsia" w:ascii="宋体" w:hAnsi="宋体" w:eastAsia="宋体" w:cs="宋体"/>
                <w:bCs/>
                <w:color w:val="000000"/>
                <w:sz w:val="24"/>
                <w:highlight w:val="none"/>
              </w:rPr>
              <w:t xml:space="preserve">、</w:t>
            </w:r>
            <w:r>
              <w:rPr>
                <w:rFonts w:hint="eastAsia" w:ascii="宋体" w:hAnsi="宋体" w:eastAsia="宋体" w:cs="宋体"/>
                <w:bCs/>
                <w:color w:val="000000"/>
                <w:sz w:val="24"/>
                <w:highlight w:val="none"/>
                <w:lang w:eastAsia="zh-CN"/>
              </w:rPr>
              <w:t xml:space="preserve">此项目不属于专门面向中小微企业采购的项目。</w:t>
            </w:r>
            <w:r/>
          </w:p>
          <w:p>
            <w:pPr>
              <w:spacing w:line="360" w:lineRule="auto"/>
              <w:rPr>
                <w:rFonts w:hint="eastAsia" w:ascii="宋体" w:hAnsi="宋体" w:eastAsia="宋体" w:cs="宋体"/>
                <w:b w:val="0"/>
                <w:bCs/>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000000"/>
                <w:sz w:val="24"/>
                <w:highlight w:val="none"/>
                <w:lang w:val="en-US" w:eastAsia="zh-CN"/>
              </w:rPr>
              <w:t xml:space="preserve">三</w:t>
            </w:r>
            <w:r>
              <w:rPr>
                <w:rFonts w:hint="eastAsia" w:ascii="宋体" w:hAnsi="宋体" w:eastAsia="宋体" w:cs="宋体"/>
                <w:bCs/>
                <w:color w:val="000000"/>
                <w:sz w:val="24"/>
                <w:highlight w:val="none"/>
              </w:rPr>
              <w:t xml:space="preserve">、本项目是否接受进口产品：否。</w:t>
            </w:r>
            <w:r/>
          </w:p>
          <w:p>
            <w:pPr>
              <w:spacing w:line="360" w:lineRule="auto"/>
              <w:rPr>
                <w:rFonts w:hint="eastAsia" w:ascii="宋体" w:hAnsi="宋体" w:eastAsia="宋体" w:cs="宋体"/>
                <w:b w:val="0"/>
                <w:bCs/>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4"/>
                <w:highlight w:val="none"/>
                <w:lang w:val="en-US" w:eastAsia="zh-CN"/>
              </w:rPr>
              <w:t xml:space="preserve">四</w:t>
            </w:r>
            <w:r>
              <w:rPr>
                <w:rFonts w:hint="eastAsia" w:ascii="宋体" w:hAnsi="宋体" w:eastAsia="宋体" w:cs="宋体"/>
                <w:b w:val="0"/>
                <w:bCs/>
                <w:color w:val="000000"/>
                <w:sz w:val="24"/>
                <w:highlight w:val="none"/>
              </w:rPr>
              <w:t xml:space="preserve">、特定资格要求：无</w:t>
            </w:r>
            <w:r/>
          </w:p>
          <w:p>
            <w:pPr>
              <w:spacing w:line="360" w:lineRule="auto"/>
              <w:rPr>
                <w:rFonts w:hint="eastAsia" w:ascii="宋体" w:hAnsi="宋体" w:eastAsia="宋体" w:cs="宋体"/>
                <w:b/>
                <w:bCs w:val="0"/>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val="0"/>
                <w:color w:val="000000"/>
                <w:sz w:val="24"/>
                <w:highlight w:val="none"/>
              </w:rPr>
              <w:t xml:space="preserve">同时明确相关事项如下：</w:t>
            </w:r>
            <w:r/>
          </w:p>
          <w:p>
            <w:pPr>
              <w:spacing w:line="360" w:lineRule="auto"/>
              <w:rPr>
                <w:rFonts w:hint="eastAsia" w:ascii="宋体" w:hAnsi="宋体" w:eastAsia="宋体" w:cs="宋体"/>
                <w:bCs/>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000000"/>
                <w:sz w:val="24"/>
                <w:highlight w:val="none"/>
                <w:lang w:val="en-US" w:eastAsia="zh-CN"/>
              </w:rPr>
              <w:t xml:space="preserve">一、</w:t>
            </w:r>
            <w:r>
              <w:rPr>
                <w:rFonts w:hint="eastAsia" w:ascii="宋体" w:hAnsi="宋体" w:eastAsia="宋体" w:cs="宋体"/>
                <w:bCs/>
                <w:color w:val="000000"/>
                <w:sz w:val="24"/>
                <w:highlight w:val="none"/>
              </w:rPr>
              <w:t xml:space="preserve">本项目不接受联合体参与采购活动。</w:t>
            </w:r>
            <w:r/>
          </w:p>
          <w:p>
            <w:pPr>
              <w:spacing w:line="360" w:lineRule="auto"/>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000000"/>
                <w:sz w:val="24"/>
                <w:highlight w:val="none"/>
                <w:lang w:val="en-US" w:eastAsia="zh-CN"/>
              </w:rPr>
              <w:t xml:space="preserve">二、</w:t>
            </w:r>
            <w:r>
              <w:rPr>
                <w:rFonts w:hint="eastAsia" w:ascii="宋体" w:hAnsi="宋体" w:eastAsia="宋体" w:cs="宋体"/>
                <w:bCs/>
                <w:color w:val="000000"/>
                <w:sz w:val="24"/>
                <w:highlight w:val="none"/>
              </w:rPr>
              <w:t xml:space="preserve">单位负责人为同一</w:t>
            </w:r>
            <w:r>
              <w:rPr>
                <w:rFonts w:hint="eastAsia" w:ascii="宋体" w:hAnsi="宋体" w:eastAsia="宋体" w:cs="宋体"/>
                <w:color w:val="000000"/>
                <w:sz w:val="24"/>
                <w:highlight w:val="none"/>
              </w:rPr>
              <w:t xml:space="preserve">人或者存在直接控股、管理关系的不同供应商，不得参加同一合同项下的政府采购活动。</w:t>
            </w:r>
            <w:r/>
          </w:p>
          <w:p>
            <w:pPr>
              <w:spacing w:line="360" w:lineRule="auto"/>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val="en-US" w:eastAsia="zh-CN"/>
              </w:rPr>
              <w:t xml:space="preserve">三、</w:t>
            </w:r>
            <w:r>
              <w:rPr>
                <w:rFonts w:hint="eastAsia" w:ascii="宋体" w:hAnsi="宋体" w:eastAsia="宋体" w:cs="宋体"/>
                <w:color w:val="000000"/>
                <w:sz w:val="24"/>
                <w:highlight w:val="none"/>
              </w:rPr>
              <w:t xml:space="preserve">为本采购项目提供整体设计、规范编制或者项目管理、监理、检测等服务的供应商，不得再参加本采购项目的采购活动。</w:t>
            </w:r>
            <w:r/>
          </w:p>
          <w:p>
            <w:pPr>
              <w:spacing w:line="360" w:lineRule="auto"/>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四、查询及使用供应商信用记录：</w:t>
            </w:r>
            <w:r/>
          </w:p>
          <w:p>
            <w:pPr>
              <w:spacing w:line="360" w:lineRule="auto"/>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（一）由采购人查询信用信息。</w:t>
            </w:r>
            <w:r/>
          </w:p>
          <w:p>
            <w:pPr>
              <w:spacing w:line="360" w:lineRule="auto"/>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（二）查询渠道包括：</w:t>
            </w:r>
            <w:r/>
          </w:p>
          <w:p>
            <w:pPr>
              <w:jc w:val="left"/>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1.“信用中国”网（https://www.creditchina.gov.cn/）；</w:t>
            </w:r>
            <w:r/>
          </w:p>
          <w:p>
            <w:pPr>
              <w:jc w:val="left"/>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2.“中国政府采购”网（https://www.ccgp.gov.cn/）；</w:t>
            </w:r>
            <w:r/>
          </w:p>
          <w:p>
            <w:pPr>
              <w:jc w:val="left"/>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3.“信用江苏”网（https://credit.jiangsu.gov.cn/）；</w:t>
            </w:r>
            <w:r/>
          </w:p>
          <w:p>
            <w:pPr>
              <w:jc w:val="left"/>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4.“信用中国（江苏徐州）”网（https://www.xuzhoucredit.gov.cn/）；</w:t>
            </w:r>
            <w:r/>
          </w:p>
          <w:p>
            <w:pPr>
              <w:spacing w:line="360" w:lineRule="auto"/>
              <w:rPr>
                <w:rFonts w:hint="eastAsia" w:ascii="宋体" w:hAnsi="宋体" w:eastAsia="宋体" w:cs="宋体"/>
                <w:b/>
                <w:bCs/>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highlight w:val="none"/>
              </w:rPr>
              <w:t xml:space="preserve">（三）截止时点（查询环节）：开标后资格审查结束前。</w:t>
            </w:r>
            <w:r/>
          </w:p>
          <w:p>
            <w:pPr>
              <w:spacing w:line="360" w:lineRule="auto"/>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（四）信用信息查询记录和证据留存的具体方式：网页截屏打印，与其他采购文件一并保存。</w:t>
            </w:r>
            <w:r/>
          </w:p>
          <w:p>
            <w:pPr>
              <w:spacing w:line="360" w:lineRule="auto"/>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（五）信用信息的使用规则：</w:t>
            </w:r>
            <w:r/>
          </w:p>
          <w:p>
            <w:pPr>
              <w:ind w:firstLine="560"/>
              <w:spacing w:line="360" w:lineRule="auto"/>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p>
        </w:tc>
      </w:tr>
      <w:tr>
        <w:trPr>
          <w:jc w:val="center"/>
        </w:trPr>
        <w:tc>
          <w:tcPr>
            <w:tcMar>
              <w:left w:w="108" w:type="dxa"/>
              <w:top w:w="0" w:type="dxa"/>
              <w:right w:w="108" w:type="dxa"/>
              <w:bottom w:w="0" w:type="dxa"/>
            </w:tcMar>
            <w:tcW w:w="1471" w:type="dxa"/>
            <w:vAlign w:val="top"/>
            <w:textDirection w:val="lrTb"/>
            <w:noWrap w:val="false"/>
          </w:tcPr>
          <w:p>
            <w:pPr>
              <w:jc w:val="center"/>
              <w:spacing w:line="360" w:lineRule="auto"/>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（七）</w:t>
            </w:r>
            <w:r/>
          </w:p>
        </w:tc>
        <w:tc>
          <w:tcPr>
            <w:tcMar>
              <w:left w:w="108" w:type="dxa"/>
              <w:top w:w="0" w:type="dxa"/>
              <w:right w:w="108" w:type="dxa"/>
              <w:bottom w:w="0" w:type="dxa"/>
            </w:tcMar>
            <w:tcW w:w="8313" w:type="dxa"/>
            <w:vAlign w:val="top"/>
            <w:textDirection w:val="lrTb"/>
            <w:noWrap w:val="false"/>
          </w:tcPr>
          <w:p>
            <w:pPr>
              <w:spacing w:line="360" w:lineRule="auto"/>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招标代理服务费由中标人支付，标准按《招标代理服务收费标准》（见附件）。</w:t>
            </w:r>
            <w:r/>
          </w:p>
        </w:tc>
      </w:tr>
      <w:tr>
        <w:trPr>
          <w:jc w:val="center"/>
        </w:trPr>
        <w:tc>
          <w:tcPr>
            <w:tcMar>
              <w:left w:w="108" w:type="dxa"/>
              <w:top w:w="0" w:type="dxa"/>
              <w:right w:w="108" w:type="dxa"/>
              <w:bottom w:w="0" w:type="dxa"/>
            </w:tcMar>
            <w:tcW w:w="1471" w:type="dxa"/>
            <w:vAlign w:val="top"/>
            <w:textDirection w:val="lrTb"/>
            <w:noWrap w:val="false"/>
          </w:tcPr>
          <w:p>
            <w:pPr>
              <w:jc w:val="center"/>
              <w:spacing w:line="360" w:lineRule="auto"/>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二</w:t>
            </w:r>
            <w:r/>
          </w:p>
        </w:tc>
        <w:tc>
          <w:tcPr>
            <w:tcMar>
              <w:left w:w="108" w:type="dxa"/>
              <w:top w:w="0" w:type="dxa"/>
              <w:right w:w="108" w:type="dxa"/>
              <w:bottom w:w="0" w:type="dxa"/>
            </w:tcMar>
            <w:tcW w:w="8313" w:type="dxa"/>
            <w:vAlign w:val="top"/>
            <w:textDirection w:val="lrTb"/>
            <w:noWrap w:val="false"/>
          </w:tcPr>
          <w:p>
            <w:pPr>
              <w:spacing w:line="360" w:lineRule="auto"/>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招标</w:t>
            </w:r>
            <w:r/>
          </w:p>
        </w:tc>
      </w:tr>
      <w:tr>
        <w:trPr>
          <w:jc w:val="center"/>
          <w:trHeight w:val="1628"/>
        </w:trPr>
        <w:tc>
          <w:tcPr>
            <w:tcMar>
              <w:left w:w="108" w:type="dxa"/>
              <w:top w:w="0" w:type="dxa"/>
              <w:right w:w="108" w:type="dxa"/>
              <w:bottom w:w="0" w:type="dxa"/>
            </w:tcMar>
            <w:tcW w:w="1471" w:type="dxa"/>
            <w:vAlign w:val="top"/>
            <w:textDirection w:val="lrTb"/>
            <w:noWrap w:val="false"/>
          </w:tcPr>
          <w:p>
            <w:pPr>
              <w:jc w:val="center"/>
              <w:spacing w:line="360" w:lineRule="auto"/>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（八）1</w:t>
            </w:r>
            <w:r/>
          </w:p>
        </w:tc>
        <w:tc>
          <w:tcPr>
            <w:tcMar>
              <w:left w:w="108" w:type="dxa"/>
              <w:top w:w="0" w:type="dxa"/>
              <w:right w:w="108" w:type="dxa"/>
              <w:bottom w:w="0" w:type="dxa"/>
            </w:tcMar>
            <w:tcW w:w="8313" w:type="dxa"/>
            <w:vAlign w:val="top"/>
            <w:textDirection w:val="lrTb"/>
            <w:noWrap w:val="false"/>
          </w:tcPr>
          <w:p>
            <w:pPr>
              <w:spacing w:line="360" w:lineRule="auto"/>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采购代理机构可以对已发出的招标文件进行必要的澄清或修改。对澄清或修改的内容，应以所发布的本项目的“更正公告”的附件的形式通知所有获取招标文件的潜在投标人。当发布本项目的“更正公告”之后，采购代理机构便尽到了通知义务，其各潜在投标人应关注本项目的“更正公告”及附件，否则，将自行承担相应的风险。</w:t>
            </w:r>
            <w:r/>
          </w:p>
        </w:tc>
      </w:tr>
      <w:tr>
        <w:trPr>
          <w:jc w:val="center"/>
        </w:trPr>
        <w:tc>
          <w:tcPr>
            <w:tcMar>
              <w:left w:w="108" w:type="dxa"/>
              <w:top w:w="0" w:type="dxa"/>
              <w:right w:w="108" w:type="dxa"/>
              <w:bottom w:w="0" w:type="dxa"/>
            </w:tcMar>
            <w:tcW w:w="1471" w:type="dxa"/>
            <w:vAlign w:val="top"/>
            <w:textDirection w:val="lrTb"/>
            <w:noWrap w:val="false"/>
          </w:tcPr>
          <w:p>
            <w:pPr>
              <w:jc w:val="center"/>
              <w:spacing w:line="360" w:lineRule="auto"/>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（九）2</w:t>
            </w:r>
            <w:r/>
          </w:p>
        </w:tc>
        <w:tc>
          <w:tcPr>
            <w:tcMar>
              <w:left w:w="108" w:type="dxa"/>
              <w:top w:w="0" w:type="dxa"/>
              <w:right w:w="108" w:type="dxa"/>
              <w:bottom w:w="0" w:type="dxa"/>
            </w:tcMar>
            <w:tcW w:w="8313" w:type="dxa"/>
            <w:vAlign w:val="top"/>
            <w:textDirection w:val="lrTb"/>
            <w:noWrap w:val="false"/>
          </w:tcPr>
          <w:p>
            <w:pPr>
              <w:spacing w:line="360" w:lineRule="auto"/>
              <w:tabs>
                <w:tab w:val="left" w:pos="5760" w:leader="none"/>
              </w:tabs>
              <w:rPr>
                <w:rFonts w:hint="eastAsia" w:ascii="宋体" w:hAnsi="宋体" w:eastAsia="宋体" w:cs="宋体"/>
                <w:color w:val="000000"/>
                <w:sz w:val="24"/>
                <w:highlight w:val="none"/>
              </w:rPr>
            </w:pPr>
            <w:r>
              <w:rPr>
                <w:rFonts w:hint="eastAsia" w:ascii="宋体" w:hAnsi="宋体" w:eastAsia="宋体" w:cs="宋体"/>
                <w:b/>
                <w:bCs/>
                <w:color w:val="000000"/>
                <w:sz w:val="24"/>
                <w:highlight w:val="none"/>
              </w:rPr>
              <w:t xml:space="preserve">自行现场勘察。</w:t>
            </w:r>
            <w:r/>
          </w:p>
        </w:tc>
      </w:tr>
      <w:tr>
        <w:trPr>
          <w:jc w:val="center"/>
        </w:trPr>
        <w:tc>
          <w:tcPr>
            <w:tcMar>
              <w:left w:w="108" w:type="dxa"/>
              <w:top w:w="0" w:type="dxa"/>
              <w:right w:w="108" w:type="dxa"/>
              <w:bottom w:w="0" w:type="dxa"/>
            </w:tcMar>
            <w:tcW w:w="1471" w:type="dxa"/>
            <w:vAlign w:val="top"/>
            <w:textDirection w:val="lrTb"/>
            <w:noWrap w:val="false"/>
          </w:tcPr>
          <w:p>
            <w:pPr>
              <w:jc w:val="center"/>
              <w:spacing w:line="360" w:lineRule="auto"/>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（九）3</w:t>
            </w:r>
            <w:r/>
          </w:p>
        </w:tc>
        <w:tc>
          <w:tcPr>
            <w:tcMar>
              <w:left w:w="108" w:type="dxa"/>
              <w:top w:w="0" w:type="dxa"/>
              <w:right w:w="108" w:type="dxa"/>
              <w:bottom w:w="0" w:type="dxa"/>
            </w:tcMar>
            <w:tcW w:w="8313" w:type="dxa"/>
            <w:vAlign w:val="top"/>
            <w:textDirection w:val="lrTb"/>
            <w:noWrap w:val="false"/>
          </w:tcPr>
          <w:p>
            <w:pPr>
              <w:spacing w:line="360" w:lineRule="auto"/>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不安排开标前答疑会。</w:t>
            </w:r>
            <w:r/>
          </w:p>
        </w:tc>
      </w:tr>
      <w:tr>
        <w:trPr>
          <w:jc w:val="center"/>
        </w:trPr>
        <w:tc>
          <w:tcPr>
            <w:tcMar>
              <w:left w:w="108" w:type="dxa"/>
              <w:top w:w="0" w:type="dxa"/>
              <w:right w:w="108" w:type="dxa"/>
              <w:bottom w:w="0" w:type="dxa"/>
            </w:tcMar>
            <w:tcW w:w="1471" w:type="dxa"/>
            <w:vAlign w:val="top"/>
            <w:textDirection w:val="lrTb"/>
            <w:noWrap w:val="false"/>
          </w:tcPr>
          <w:p>
            <w:pPr>
              <w:jc w:val="center"/>
              <w:spacing w:line="360" w:lineRule="auto"/>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三</w:t>
            </w:r>
            <w:r/>
          </w:p>
        </w:tc>
        <w:tc>
          <w:tcPr>
            <w:tcMar>
              <w:left w:w="108" w:type="dxa"/>
              <w:top w:w="0" w:type="dxa"/>
              <w:right w:w="108" w:type="dxa"/>
              <w:bottom w:w="0" w:type="dxa"/>
            </w:tcMar>
            <w:tcW w:w="8313" w:type="dxa"/>
            <w:vAlign w:val="top"/>
            <w:textDirection w:val="lrTb"/>
            <w:noWrap w:val="false"/>
          </w:tcPr>
          <w:p>
            <w:pPr>
              <w:spacing w:line="360" w:lineRule="auto"/>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投标</w:t>
            </w:r>
            <w:r/>
          </w:p>
        </w:tc>
      </w:tr>
      <w:tr>
        <w:trPr>
          <w:jc w:val="center"/>
          <w:trHeight w:val="90"/>
        </w:trPr>
        <w:tc>
          <w:tcPr>
            <w:tcMar>
              <w:left w:w="108" w:type="dxa"/>
              <w:top w:w="0" w:type="dxa"/>
              <w:right w:w="108" w:type="dxa"/>
              <w:bottom w:w="0" w:type="dxa"/>
            </w:tcMar>
            <w:tcW w:w="1471" w:type="dxa"/>
            <w:vAlign w:val="top"/>
            <w:textDirection w:val="lrTb"/>
            <w:noWrap w:val="false"/>
          </w:tcPr>
          <w:p>
            <w:pPr>
              <w:jc w:val="center"/>
              <w:spacing w:line="360" w:lineRule="auto"/>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（十一）</w:t>
            </w:r>
            <w:r/>
          </w:p>
        </w:tc>
        <w:tc>
          <w:tcPr>
            <w:tcMar>
              <w:left w:w="108" w:type="dxa"/>
              <w:top w:w="0" w:type="dxa"/>
              <w:right w:w="108" w:type="dxa"/>
              <w:bottom w:w="0" w:type="dxa"/>
            </w:tcMar>
            <w:tcW w:w="8313" w:type="dxa"/>
            <w:vAlign w:val="top"/>
            <w:textDirection w:val="lrTb"/>
            <w:noWrap w:val="false"/>
          </w:tcPr>
          <w:p>
            <w:pPr>
              <w:spacing w:line="360" w:lineRule="auto"/>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投标文件的语言为中文</w:t>
            </w:r>
            <w:r/>
          </w:p>
        </w:tc>
      </w:tr>
      <w:tr>
        <w:trPr>
          <w:jc w:val="center"/>
          <w:trHeight w:val="525"/>
        </w:trPr>
        <w:tc>
          <w:tcPr>
            <w:tcMar>
              <w:left w:w="108" w:type="dxa"/>
              <w:top w:w="0" w:type="dxa"/>
              <w:right w:w="108" w:type="dxa"/>
              <w:bottom w:w="0" w:type="dxa"/>
            </w:tcMar>
            <w:tcW w:w="1471" w:type="dxa"/>
            <w:vAlign w:val="top"/>
            <w:textDirection w:val="lrTb"/>
            <w:noWrap w:val="false"/>
          </w:tcPr>
          <w:p>
            <w:pPr>
              <w:jc w:val="center"/>
              <w:spacing w:line="360" w:lineRule="auto"/>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（十二）1</w:t>
            </w:r>
            <w:r/>
          </w:p>
          <w:p>
            <w:pPr>
              <w:jc w:val="center"/>
              <w:spacing w:line="360" w:lineRule="auto"/>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（十二）2</w:t>
            </w:r>
            <w:r/>
          </w:p>
        </w:tc>
        <w:tc>
          <w:tcPr>
            <w:tcMar>
              <w:left w:w="108" w:type="dxa"/>
              <w:top w:w="0" w:type="dxa"/>
              <w:right w:w="108" w:type="dxa"/>
              <w:bottom w:w="0" w:type="dxa"/>
            </w:tcMar>
            <w:tcW w:w="8313" w:type="dxa"/>
            <w:vAlign w:val="top"/>
            <w:textDirection w:val="lrTb"/>
            <w:noWrap w:val="false"/>
          </w:tcPr>
          <w:p>
            <w:pPr>
              <w:spacing w:line="360" w:lineRule="auto"/>
              <w:rPr>
                <w:rFonts w:hint="eastAsia" w:ascii="宋体" w:hAnsi="宋体" w:eastAsia="宋体" w:cs="宋体"/>
                <w:b/>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highlight w:val="none"/>
              </w:rPr>
              <w:t xml:space="preserve">线上投标文件编制要求：</w:t>
            </w:r>
            <w:r/>
          </w:p>
          <w:p>
            <w:pPr>
              <w:spacing w:line="360" w:lineRule="auto"/>
              <w:rPr>
                <w:rFonts w:hint="eastAsia" w:ascii="宋体" w:hAnsi="宋体" w:eastAsia="宋体" w:cs="宋体"/>
                <w:b/>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highlight w:val="none"/>
              </w:rPr>
              <w:t xml:space="preserve">请按照以下要求（包括但不限于以下要求）制作：</w:t>
            </w:r>
            <w:r/>
          </w:p>
          <w:p>
            <w:pPr>
              <w:spacing w:line="360" w:lineRule="auto"/>
              <w:rPr>
                <w:rFonts w:hint="eastAsia" w:ascii="宋体" w:hAnsi="宋体" w:eastAsia="宋体" w:cs="宋体"/>
                <w:b/>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highlight w:val="none"/>
              </w:rPr>
              <w:t xml:space="preserve">一、基本目录</w:t>
            </w:r>
            <w:r/>
          </w:p>
          <w:p>
            <w:pPr>
              <w:spacing w:line="360" w:lineRule="auto"/>
              <w:rPr>
                <w:rFonts w:hint="eastAsia" w:ascii="宋体" w:hAnsi="宋体" w:eastAsia="宋体" w:cs="宋体"/>
                <w:b/>
                <w:bCs/>
                <w:color w:val="000000"/>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highlight w:val="none"/>
              </w:rPr>
              <w:t xml:space="preserve">1.《开标一览表》（政府采购客户端工具输入报价自动生成）（必须提供，否则在符合性审查时按照投标无效处理）；</w:t>
            </w:r>
            <w:r/>
          </w:p>
          <w:p>
            <w:pPr>
              <w:spacing w:line="360" w:lineRule="auto"/>
              <w:rPr>
                <w:rFonts w:hint="eastAsia" w:ascii="宋体" w:hAnsi="宋体" w:eastAsia="宋体" w:cs="宋体"/>
                <w:b/>
                <w:bCs/>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highlight w:val="none"/>
              </w:rPr>
              <w:t xml:space="preserve">2、所投产品的环境标志产品认证证书原件的扫描件（如有）。</w:t>
            </w:r>
            <w:r/>
          </w:p>
          <w:p>
            <w:pPr>
              <w:spacing w:line="360" w:lineRule="auto"/>
              <w:rPr>
                <w:rFonts w:hint="eastAsia" w:ascii="宋体" w:hAnsi="宋体" w:eastAsia="宋体" w:cs="宋体"/>
                <w:b w:val="0"/>
                <w:bCs w:val="0"/>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000000"/>
                <w:sz w:val="24"/>
                <w:highlight w:val="none"/>
              </w:rPr>
              <w:t xml:space="preserve">注：</w:t>
            </w:r>
            <w:r/>
          </w:p>
          <w:p>
            <w:pPr>
              <w:spacing w:line="360" w:lineRule="auto"/>
              <w:rPr>
                <w:rFonts w:hint="eastAsia" w:ascii="宋体" w:hAnsi="宋体" w:eastAsia="宋体" w:cs="宋体"/>
                <w:b w:val="0"/>
                <w:bCs w:val="0"/>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000000"/>
                <w:sz w:val="24"/>
                <w:highlight w:val="none"/>
              </w:rPr>
              <w:t xml:space="preserve">（1）所投产品属于《环境标志产品政府采购品目清单》（由财政部 生态环境部印发）范围的，投标文件中提供（如有）所投产品的国家确定的认证机构出具的、处于有效期之内（即“开标时间”当天在有效期之内）的环境标志产品认证证书原件的扫描件。</w:t>
            </w:r>
            <w:r/>
          </w:p>
          <w:p>
            <w:pPr>
              <w:spacing w:line="360" w:lineRule="auto"/>
              <w:rPr>
                <w:rFonts w:hint="eastAsia" w:ascii="宋体" w:hAnsi="宋体" w:eastAsia="宋体" w:cs="宋体"/>
                <w:b w:val="0"/>
                <w:bCs w:val="0"/>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000000"/>
                <w:sz w:val="24"/>
                <w:highlight w:val="none"/>
              </w:rPr>
              <w:t xml:space="preserve">（2）环境标志产品认证证书是否符合要求，采购人评标时查询中国政府采购网（www.ccgp.gov.cn）相关内容后确定。</w:t>
            </w:r>
            <w:r/>
          </w:p>
          <w:p>
            <w:pPr>
              <w:spacing w:line="360" w:lineRule="auto"/>
              <w:rPr>
                <w:rFonts w:hint="eastAsia" w:ascii="宋体" w:hAnsi="宋体" w:eastAsia="宋体" w:cs="宋体"/>
                <w:b/>
                <w:bCs/>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highlight w:val="none"/>
              </w:rPr>
              <w:t xml:space="preserve">3、所投产品的节能产品认证证书原件的扫描件（如有）。</w:t>
            </w:r>
            <w:r/>
          </w:p>
          <w:p>
            <w:pPr>
              <w:spacing w:line="360" w:lineRule="auto"/>
              <w:rPr>
                <w:rFonts w:hint="eastAsia" w:ascii="宋体" w:hAnsi="宋体" w:eastAsia="宋体" w:cs="宋体"/>
                <w:b/>
                <w:bCs/>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highlight w:val="none"/>
              </w:rPr>
              <w:t xml:space="preserve">注：</w:t>
            </w:r>
            <w:r/>
          </w:p>
          <w:p>
            <w:pPr>
              <w:spacing w:line="360" w:lineRule="auto"/>
              <w:rPr>
                <w:rFonts w:hint="eastAsia" w:ascii="宋体" w:hAnsi="宋体" w:eastAsia="宋体" w:cs="宋体"/>
                <w:b w:val="0"/>
                <w:bCs w:val="0"/>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000000"/>
                <w:sz w:val="24"/>
                <w:highlight w:val="none"/>
              </w:rPr>
              <w:t xml:space="preserve">（1）所投产品属于《节能产品政府采购品目清单》（由财政部发展改革委印发）范围的，投标文件中提供（如有）所投产品的国家确定的认证机构出具的、处于有效期之内（即“开标时间”当天在有效期之内）的节能产品认证证书原件的扫描件。</w:t>
            </w:r>
            <w:r/>
          </w:p>
          <w:p>
            <w:pPr>
              <w:spacing w:line="360" w:lineRule="auto"/>
              <w:rPr>
                <w:rFonts w:hint="eastAsia" w:ascii="宋体" w:hAnsi="宋体" w:eastAsia="宋体" w:cs="宋体"/>
                <w:b w:val="0"/>
                <w:bCs w:val="0"/>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000000"/>
                <w:sz w:val="24"/>
                <w:highlight w:val="none"/>
              </w:rPr>
              <w:t xml:space="preserve">（2）节能产品认证证书是否符合要求，采购人评标时查询中国政府采购网（www.ccgp.gov.cn）相关内容后确定。</w:t>
            </w:r>
            <w:r/>
          </w:p>
          <w:p>
            <w:pPr>
              <w:spacing w:line="360" w:lineRule="auto"/>
              <w:rPr>
                <w:rFonts w:hint="eastAsia" w:ascii="宋体" w:hAnsi="宋体" w:eastAsia="宋体" w:cs="宋体"/>
                <w:b/>
                <w:bCs/>
                <w:color w:val="000000"/>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highlight w:val="none"/>
                <w:lang w:val="en-US" w:eastAsia="zh-CN"/>
              </w:rPr>
              <w:t xml:space="preserve">4、投标人认为需要提供的其他资料（如有）</w:t>
            </w:r>
            <w:r/>
          </w:p>
          <w:p>
            <w:pPr>
              <w:spacing w:line="360" w:lineRule="auto"/>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highlight w:val="none"/>
              </w:rPr>
              <w:t xml:space="preserve">二、资格条件（必须提供，否则投标将被拒绝）</w:t>
            </w:r>
            <w:r/>
          </w:p>
          <w:p>
            <w:pPr>
              <w:spacing w:line="360" w:lineRule="auto"/>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1.具有独立承担民事责任的能力：合法有效的法人或者其他组织的营业执照等证明文件，自然人的身份证明，以上证明文件提供原件的扫描件；</w:t>
            </w:r>
            <w:r/>
          </w:p>
          <w:p>
            <w:pPr>
              <w:spacing w:line="360" w:lineRule="auto"/>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2.具有良好的商业信誉和健全的财务会计制度：即提供投标人的本项目开标时间前</w:t>
            </w:r>
            <w:r>
              <w:rPr>
                <w:rFonts w:hint="eastAsia" w:ascii="宋体" w:hAnsi="宋体" w:eastAsia="宋体" w:cs="宋体"/>
                <w:i w:val="0"/>
                <w:iCs w:val="0"/>
                <w:caps w:val="0"/>
                <w:color w:val="000000"/>
                <w:spacing w:val="0"/>
                <w:sz w:val="24"/>
                <w:szCs w:val="32"/>
                <w:highlight w:val="none"/>
              </w:rPr>
              <w:t xml:space="preserve">6个月内（不含开标当月）任何1个月</w:t>
            </w:r>
            <w:r>
              <w:rPr>
                <w:rFonts w:hint="eastAsia" w:ascii="宋体" w:hAnsi="宋体" w:eastAsia="宋体" w:cs="宋体"/>
                <w:color w:val="000000"/>
                <w:sz w:val="24"/>
                <w:szCs w:val="32"/>
                <w:highlight w:val="none"/>
              </w:rPr>
              <w:t xml:space="preserve">的资产负债表和利润表扫描件各一份；或提供合法有效的经第三方机构审计的2024年度财务审计报告扫描件（应包括审计报告正文、资产负债表、现金流量表、利润表）</w:t>
            </w:r>
            <w:r>
              <w:rPr>
                <w:rFonts w:hint="eastAsia" w:ascii="宋体" w:hAnsi="宋体" w:eastAsia="宋体" w:cs="宋体"/>
                <w:color w:val="000000"/>
                <w:sz w:val="24"/>
                <w:szCs w:val="32"/>
                <w:highlight w:val="none"/>
                <w:lang w:eastAsia="zh-CN"/>
              </w:rPr>
              <w:t xml:space="preserve">；</w:t>
            </w:r>
            <w:r>
              <w:rPr>
                <w:rFonts w:hint="eastAsia" w:ascii="宋体" w:hAnsi="宋体" w:eastAsia="宋体" w:cs="宋体"/>
                <w:color w:val="000000"/>
                <w:sz w:val="24"/>
                <w:szCs w:val="32"/>
                <w:highlight w:val="none"/>
                <w:lang w:val="en-US" w:eastAsia="zh-CN"/>
              </w:rPr>
              <w:t xml:space="preserve">或投标人的本项目开标时间前6个月内银行出具的资信证明材料；或财政部门认可的政府采购专业担保机构出具的有效的投标担保函</w:t>
            </w:r>
            <w:r>
              <w:rPr>
                <w:rFonts w:hint="eastAsia" w:ascii="宋体" w:hAnsi="宋体" w:eastAsia="宋体" w:cs="宋体"/>
                <w:color w:val="000000"/>
                <w:sz w:val="24"/>
                <w:szCs w:val="32"/>
                <w:highlight w:val="none"/>
              </w:rPr>
              <w:t xml:space="preserve">；</w:t>
            </w:r>
            <w:r/>
          </w:p>
          <w:p>
            <w:pPr>
              <w:spacing w:line="360" w:lineRule="auto"/>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3.有依法缴纳税收和社会保障资金的良好记录：即提供投标人的本项目开标时间前</w:t>
            </w:r>
            <w:r>
              <w:rPr>
                <w:rFonts w:hint="eastAsia" w:ascii="宋体" w:hAnsi="宋体" w:eastAsia="宋体" w:cs="宋体"/>
                <w:i w:val="0"/>
                <w:iCs w:val="0"/>
                <w:caps w:val="0"/>
                <w:color w:val="000000"/>
                <w:spacing w:val="0"/>
                <w:sz w:val="24"/>
                <w:szCs w:val="32"/>
                <w:highlight w:val="none"/>
              </w:rPr>
              <w:t xml:space="preserve">6个月内（不含开标当月）任何1个月</w:t>
            </w:r>
            <w:r>
              <w:rPr>
                <w:rFonts w:hint="eastAsia" w:ascii="宋体" w:hAnsi="宋体" w:eastAsia="宋体" w:cs="宋体"/>
                <w:color w:val="000000"/>
                <w:sz w:val="24"/>
                <w:szCs w:val="32"/>
                <w:highlight w:val="none"/>
              </w:rPr>
              <w:t xml:space="preserve">的依法缴纳税收扫描件和社会保障资金扫描件的相关材料（依法免税或不需要缴纳社会保障资金的供应商，提供相应文件扫描件证明其依法免税或不需要缴纳社会保障资金）；</w:t>
            </w:r>
            <w:r/>
          </w:p>
          <w:p>
            <w:pPr>
              <w:spacing w:line="360" w:lineRule="auto"/>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4.具有履行合同所必需的设备和专业技术能力：投标文件中提供《</w:t>
            </w:r>
            <w:bookmarkStart w:id="0" w:name="_Toc515551102"/>
            <w:r>
              <w:rPr>
                <w:rFonts w:hint="eastAsia" w:ascii="宋体" w:hAnsi="宋体" w:eastAsia="宋体" w:cs="宋体"/>
                <w:color w:val="000000"/>
                <w:sz w:val="24"/>
                <w:highlight w:val="none"/>
              </w:rPr>
              <w:t xml:space="preserve">具备履行合同所必需的设备和专业技术能力的书面声明</w:t>
            </w:r>
            <w:bookmarkEnd w:id="0"/>
            <w:r>
              <w:rPr>
                <w:rFonts w:hint="eastAsia" w:ascii="宋体" w:hAnsi="宋体" w:eastAsia="宋体" w:cs="宋体"/>
                <w:color w:val="000000"/>
                <w:sz w:val="24"/>
                <w:highlight w:val="none"/>
              </w:rPr>
              <w:t xml:space="preserve">（附证明材料原件的扫描件）》（加盖电子签章，格式见招标文件第七章《投标文件相关格式》,所附证明材料可不加盖电子签章）；</w:t>
            </w:r>
            <w:r/>
          </w:p>
          <w:p>
            <w:pPr>
              <w:spacing w:line="360" w:lineRule="auto"/>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5.参加政府采购活动前三年内，在经营活动中没有重大违法记录：即提供投标人参加政府采购活动前3年内在经营活动中没有重大违法记录的书面声明（加盖电子签章，格式见招标文件第七章《投标文件相关格式》）；</w:t>
            </w:r>
            <w:r/>
          </w:p>
          <w:p>
            <w:pPr>
              <w:spacing w:line="360" w:lineRule="auto"/>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t xml:space="preserve">三、符合条件（必须提供，否则在符合性审查时按照投标无效处理）</w:t>
            </w:r>
            <w:r/>
          </w:p>
          <w:p>
            <w:pPr>
              <w:spacing w:line="360" w:lineRule="auto"/>
              <w:rPr>
                <w:rFonts w:hint="eastAsia" w:ascii="宋体" w:hAnsi="宋体" w:eastAsia="宋体" w:cs="宋体"/>
                <w:b/>
                <w:bCs/>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highlight w:val="none"/>
              </w:rPr>
              <w:t xml:space="preserve">（一）报价</w:t>
            </w:r>
            <w:r/>
          </w:p>
          <w:p>
            <w:pPr>
              <w:spacing w:line="360" w:lineRule="auto"/>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highlight w:val="none"/>
              </w:rPr>
              <w:t xml:space="preserve">1.《分项价格表》。加盖电子签章，格式见本文件第七章《投标文件相关格式》。</w:t>
            </w:r>
            <w:r/>
          </w:p>
          <w:p>
            <w:pPr>
              <w:spacing w:line="360" w:lineRule="auto"/>
              <w:rPr>
                <w:rFonts w:hint="eastAsia" w:ascii="宋体" w:hAnsi="宋体" w:eastAsia="宋体" w:cs="宋体"/>
                <w:b/>
                <w:bCs/>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highlight w:val="none"/>
              </w:rPr>
              <w:t xml:space="preserve">（二）商务资信</w:t>
            </w:r>
            <w:r/>
          </w:p>
          <w:p>
            <w:pPr>
              <w:spacing w:line="360" w:lineRule="auto"/>
              <w:rPr>
                <w:rFonts w:hint="eastAsia" w:ascii="宋体" w:hAnsi="宋体" w:eastAsia="宋体" w:cs="宋体"/>
                <w:b/>
                <w:bCs/>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highlight w:val="none"/>
              </w:rPr>
              <w:t xml:space="preserve">1.《投标函》加盖电子签章，格式见招标文件第七章《投标文件相关格式》。</w:t>
            </w:r>
            <w:r/>
          </w:p>
          <w:p>
            <w:pPr>
              <w:spacing w:line="360" w:lineRule="auto"/>
              <w:rPr>
                <w:rFonts w:hint="eastAsia" w:ascii="宋体" w:hAnsi="宋体" w:eastAsia="宋体" w:cs="宋体"/>
                <w:b/>
                <w:bCs/>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highlight w:val="none"/>
              </w:rPr>
              <w:t xml:space="preserve">2.</w:t>
            </w:r>
            <w:r>
              <w:rPr>
                <w:rFonts w:hint="eastAsia" w:ascii="宋体" w:hAnsi="宋体" w:eastAsia="宋体" w:cs="宋体"/>
                <w:b/>
                <w:color w:val="000000"/>
                <w:sz w:val="24"/>
                <w:highlight w:val="none"/>
              </w:rPr>
              <w:t xml:space="preserve">《授权委托书及法定代表人身份证明书》。加盖电子签章，格式见本文件第七章《投标文件相关格式》。</w:t>
            </w:r>
            <w:r/>
          </w:p>
          <w:p>
            <w:pPr>
              <w:spacing w:line="360" w:lineRule="auto"/>
              <w:rPr>
                <w:rFonts w:hint="eastAsia" w:ascii="宋体" w:hAnsi="宋体" w:eastAsia="宋体" w:cs="宋体"/>
                <w:b/>
                <w:bCs/>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highlight w:val="none"/>
              </w:rPr>
              <w:t xml:space="preserve">（三）技术响应</w:t>
            </w:r>
            <w:r/>
          </w:p>
          <w:p>
            <w:pPr>
              <w:spacing w:line="360" w:lineRule="auto"/>
              <w:rPr>
                <w:rFonts w:hint="eastAsia" w:ascii="宋体" w:hAnsi="宋体" w:eastAsia="宋体" w:cs="宋体"/>
                <w:b/>
                <w:bCs/>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highlight w:val="none"/>
              </w:rPr>
              <w:t xml:space="preserve">1.《偏离表》加盖电子签章，格式见招标文件第七章《投标文件相关格式》。</w:t>
            </w:r>
            <w:r/>
          </w:p>
          <w:p>
            <w:pPr>
              <w:spacing w:line="360" w:lineRule="auto"/>
              <w:rPr>
                <w:rFonts w:hint="eastAsia" w:ascii="宋体" w:hAnsi="宋体" w:eastAsia="宋体" w:cs="宋体"/>
                <w:b/>
                <w:bCs/>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highlight w:val="none"/>
              </w:rPr>
              <w:t xml:space="preserve">四、综合评审评分项</w:t>
            </w:r>
            <w:r/>
          </w:p>
          <w:p>
            <w:pPr>
              <w:spacing w:line="360" w:lineRule="auto"/>
              <w:rPr>
                <w:rFonts w:hint="eastAsia" w:ascii="宋体" w:hAnsi="宋体" w:eastAsia="宋体" w:cs="宋体"/>
                <w:b/>
                <w:bCs/>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highlight w:val="none"/>
              </w:rPr>
              <w:t xml:space="preserve">（一）技术部分</w:t>
            </w:r>
            <w:r/>
          </w:p>
          <w:p>
            <w:pPr>
              <w:spacing w:line="360" w:lineRule="auto"/>
              <w:rPr>
                <w:rFonts w:hint="eastAsia" w:ascii="宋体" w:hAnsi="宋体" w:eastAsia="宋体" w:cs="宋体"/>
                <w:b w:val="0"/>
                <w:bCs w:val="0"/>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000000"/>
                <w:sz w:val="24"/>
                <w:highlight w:val="none"/>
              </w:rPr>
              <w:t xml:space="preserve">1.项目实施方案（要求见招标文件第六章《采购需求》及第四章《评标标准》中《评分细则》）；</w:t>
            </w:r>
            <w:r/>
          </w:p>
          <w:p>
            <w:pPr>
              <w:spacing w:line="360" w:lineRule="auto"/>
              <w:rPr>
                <w:rFonts w:hint="eastAsia" w:ascii="宋体" w:hAnsi="宋体" w:eastAsia="宋体" w:cs="宋体"/>
                <w:b w:val="0"/>
                <w:bCs w:val="0"/>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000000"/>
                <w:sz w:val="24"/>
                <w:highlight w:val="none"/>
                <w:lang w:val="en-US" w:eastAsia="zh-CN"/>
              </w:rPr>
              <w:t xml:space="preserve">2</w:t>
            </w:r>
            <w:r>
              <w:rPr>
                <w:rFonts w:hint="eastAsia" w:ascii="宋体" w:hAnsi="宋体" w:eastAsia="宋体" w:cs="宋体"/>
                <w:b w:val="0"/>
                <w:bCs w:val="0"/>
                <w:color w:val="000000"/>
                <w:sz w:val="24"/>
                <w:highlight w:val="none"/>
              </w:rPr>
              <w:t xml:space="preserve">.</w:t>
            </w:r>
            <w:r>
              <w:rPr>
                <w:rFonts w:hint="eastAsia" w:ascii="宋体" w:hAnsi="宋体" w:cs="宋体"/>
                <w:b w:val="0"/>
                <w:bCs w:val="0"/>
                <w:color w:val="000000"/>
                <w:sz w:val="24"/>
                <w:highlight w:val="none"/>
                <w:lang w:eastAsia="zh-CN"/>
              </w:rPr>
              <w:t xml:space="preserve">质量</w:t>
            </w:r>
            <w:r>
              <w:rPr>
                <w:rFonts w:hint="eastAsia" w:ascii="宋体" w:hAnsi="宋体" w:cs="宋体"/>
                <w:b w:val="0"/>
                <w:bCs w:val="0"/>
                <w:color w:val="000000"/>
                <w:sz w:val="24"/>
                <w:highlight w:val="none"/>
                <w:lang w:val="en-US" w:eastAsia="zh-CN"/>
              </w:rPr>
              <w:t xml:space="preserve">保证</w:t>
            </w:r>
            <w:r>
              <w:rPr>
                <w:rFonts w:hint="eastAsia" w:ascii="宋体" w:hAnsi="宋体" w:cs="宋体"/>
                <w:b w:val="0"/>
                <w:bCs w:val="0"/>
                <w:color w:val="000000"/>
                <w:sz w:val="24"/>
                <w:highlight w:val="none"/>
                <w:lang w:eastAsia="zh-CN"/>
              </w:rPr>
              <w:t xml:space="preserve">方案</w:t>
            </w:r>
            <w:r>
              <w:rPr>
                <w:rFonts w:hint="eastAsia" w:ascii="宋体" w:hAnsi="宋体" w:eastAsia="宋体" w:cs="宋体"/>
                <w:b w:val="0"/>
                <w:bCs w:val="0"/>
                <w:color w:val="000000"/>
                <w:sz w:val="24"/>
                <w:highlight w:val="none"/>
              </w:rPr>
              <w:t xml:space="preserve">（要求见招标文件第六章《采购需求》及第四章《评标标准》中《评分细则》）；</w:t>
            </w:r>
            <w:r/>
          </w:p>
          <w:p>
            <w:pPr>
              <w:spacing w:line="360" w:lineRule="auto"/>
              <w:rPr>
                <w:rFonts w:hint="eastAsia" w:ascii="宋体" w:hAnsi="宋体" w:eastAsia="宋体" w:cs="宋体"/>
                <w:b w:val="0"/>
                <w:bCs w:val="0"/>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000000"/>
                <w:sz w:val="24"/>
                <w:highlight w:val="none"/>
                <w:lang w:val="en-US" w:eastAsia="zh-CN"/>
              </w:rPr>
              <w:t xml:space="preserve">3</w:t>
            </w:r>
            <w:r>
              <w:rPr>
                <w:rFonts w:hint="eastAsia" w:ascii="宋体" w:hAnsi="宋体" w:eastAsia="宋体" w:cs="宋体"/>
                <w:b w:val="0"/>
                <w:bCs w:val="0"/>
                <w:color w:val="000000"/>
                <w:sz w:val="24"/>
                <w:highlight w:val="none"/>
              </w:rPr>
              <w:t xml:space="preserve">.</w:t>
            </w:r>
            <w:r>
              <w:rPr>
                <w:rFonts w:hint="eastAsia" w:ascii="宋体" w:hAnsi="宋体" w:cs="宋体"/>
                <w:b w:val="0"/>
                <w:bCs w:val="0"/>
                <w:color w:val="000000"/>
                <w:sz w:val="24"/>
                <w:highlight w:val="none"/>
                <w:lang w:val="en-US" w:eastAsia="zh-CN"/>
              </w:rPr>
              <w:t xml:space="preserve">供货安装</w:t>
            </w:r>
            <w:r>
              <w:rPr>
                <w:rFonts w:hint="eastAsia" w:ascii="宋体" w:hAnsi="宋体" w:cs="宋体"/>
                <w:b w:val="0"/>
                <w:bCs w:val="0"/>
                <w:color w:val="000000"/>
                <w:sz w:val="24"/>
                <w:highlight w:val="none"/>
                <w:lang w:eastAsia="zh-CN"/>
              </w:rPr>
              <w:t xml:space="preserve">方案</w:t>
            </w:r>
            <w:r>
              <w:rPr>
                <w:rFonts w:hint="eastAsia" w:ascii="宋体" w:hAnsi="宋体" w:eastAsia="宋体" w:cs="宋体"/>
                <w:b w:val="0"/>
                <w:bCs w:val="0"/>
                <w:color w:val="000000"/>
                <w:sz w:val="24"/>
                <w:highlight w:val="none"/>
              </w:rPr>
              <w:t xml:space="preserve">（要求见招标文件第六章《采购需求》及第四章《评标标准》中《评分细则》）</w:t>
            </w:r>
            <w:r/>
          </w:p>
          <w:p>
            <w:pPr>
              <w:spacing w:line="360" w:lineRule="auto"/>
              <w:rPr>
                <w:rFonts w:hint="eastAsia" w:ascii="宋体" w:hAnsi="宋体" w:eastAsia="宋体" w:cs="宋体"/>
                <w:b w:val="0"/>
                <w:bCs w:val="0"/>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000000"/>
                <w:sz w:val="24"/>
                <w:highlight w:val="none"/>
                <w:lang w:val="en-US" w:eastAsia="zh-CN"/>
              </w:rPr>
              <w:t xml:space="preserve">4</w:t>
            </w:r>
            <w:r>
              <w:rPr>
                <w:rFonts w:hint="eastAsia" w:ascii="宋体" w:hAnsi="宋体" w:eastAsia="宋体" w:cs="宋体"/>
                <w:b w:val="0"/>
                <w:bCs w:val="0"/>
                <w:color w:val="000000"/>
                <w:sz w:val="24"/>
                <w:highlight w:val="none"/>
              </w:rPr>
              <w:t xml:space="preserve">.</w:t>
            </w:r>
            <w:r>
              <w:rPr>
                <w:rFonts w:hint="eastAsia" w:ascii="宋体" w:hAnsi="宋体" w:cs="宋体"/>
                <w:b w:val="0"/>
                <w:bCs w:val="0"/>
                <w:color w:val="000000"/>
                <w:sz w:val="24"/>
                <w:highlight w:val="none"/>
                <w:lang w:val="en-US" w:eastAsia="zh-CN"/>
              </w:rPr>
              <w:t xml:space="preserve">培训</w:t>
            </w:r>
            <w:r>
              <w:rPr>
                <w:rFonts w:hint="eastAsia" w:ascii="宋体" w:hAnsi="宋体" w:cs="宋体"/>
                <w:b w:val="0"/>
                <w:bCs w:val="0"/>
                <w:color w:val="000000"/>
                <w:sz w:val="24"/>
                <w:highlight w:val="none"/>
                <w:lang w:eastAsia="zh-CN"/>
              </w:rPr>
              <w:t xml:space="preserve">方案</w:t>
            </w:r>
            <w:r>
              <w:rPr>
                <w:rFonts w:hint="eastAsia" w:ascii="宋体" w:hAnsi="宋体" w:eastAsia="宋体" w:cs="宋体"/>
                <w:b w:val="0"/>
                <w:bCs w:val="0"/>
                <w:color w:val="000000"/>
                <w:sz w:val="24"/>
                <w:highlight w:val="none"/>
              </w:rPr>
              <w:t xml:space="preserve">（要求见招标文件第六章《采购需求》及第四章《评标标准》中《评分细则》）</w:t>
            </w:r>
            <w:r/>
          </w:p>
          <w:p>
            <w:pPr>
              <w:spacing w:line="360" w:lineRule="auto"/>
              <w:rPr>
                <w:rFonts w:hint="eastAsia" w:ascii="宋体" w:hAnsi="宋体" w:eastAsia="宋体" w:cs="宋体"/>
                <w:b w:val="0"/>
                <w:bCs w:val="0"/>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000000"/>
                <w:sz w:val="24"/>
                <w:highlight w:val="none"/>
                <w:lang w:val="en-US" w:eastAsia="zh-CN"/>
              </w:rPr>
              <w:t xml:space="preserve">5</w:t>
            </w:r>
            <w:r>
              <w:rPr>
                <w:rFonts w:hint="eastAsia" w:ascii="宋体" w:hAnsi="宋体" w:eastAsia="宋体" w:cs="宋体"/>
                <w:b w:val="0"/>
                <w:bCs w:val="0"/>
                <w:color w:val="000000"/>
                <w:sz w:val="24"/>
                <w:highlight w:val="none"/>
              </w:rPr>
              <w:t xml:space="preserve">.</w:t>
            </w:r>
            <w:r>
              <w:rPr>
                <w:rFonts w:hint="eastAsia" w:ascii="宋体" w:hAnsi="宋体" w:eastAsia="宋体" w:cs="宋体"/>
                <w:b w:val="0"/>
                <w:bCs w:val="0"/>
                <w:color w:val="000000"/>
                <w:sz w:val="24"/>
                <w:highlight w:val="none"/>
                <w:lang w:val="en-US" w:eastAsia="zh-CN"/>
              </w:rPr>
              <w:t xml:space="preserve">售后服务方案</w:t>
            </w:r>
            <w:r>
              <w:rPr>
                <w:rFonts w:hint="eastAsia" w:ascii="宋体" w:hAnsi="宋体" w:eastAsia="宋体" w:cs="宋体"/>
                <w:b w:val="0"/>
                <w:bCs w:val="0"/>
                <w:color w:val="000000"/>
                <w:sz w:val="24"/>
                <w:highlight w:val="none"/>
              </w:rPr>
              <w:t xml:space="preserve">（要求见招标文件第六章《采购需求》及第四章《评标标准》中《评分细则》）；</w:t>
            </w:r>
            <w:r/>
          </w:p>
          <w:p>
            <w:pPr>
              <w:spacing w:line="360" w:lineRule="auto"/>
              <w:rPr>
                <w:rFonts w:hint="eastAsia" w:ascii="宋体" w:hAnsi="宋体" w:eastAsia="宋体" w:cs="宋体"/>
                <w:b w:val="0"/>
                <w:bCs w:val="0"/>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val="0"/>
                <w:bCs w:val="0"/>
                <w:color w:val="000000"/>
                <w:sz w:val="24"/>
                <w:highlight w:val="none"/>
                <w:lang w:val="en-US" w:eastAsia="zh-CN"/>
              </w:rPr>
              <w:t xml:space="preserve">6</w:t>
            </w:r>
            <w:r>
              <w:rPr>
                <w:rFonts w:hint="eastAsia" w:ascii="宋体" w:hAnsi="宋体" w:eastAsia="宋体" w:cs="宋体"/>
                <w:b w:val="0"/>
                <w:bCs w:val="0"/>
                <w:color w:val="000000"/>
                <w:sz w:val="24"/>
                <w:highlight w:val="none"/>
              </w:rPr>
              <w:t xml:space="preserve">.评分细则中评分得分需提供的相关证明文件扫描件。</w:t>
            </w:r>
            <w:r/>
          </w:p>
          <w:p>
            <w:pPr>
              <w:spacing w:line="360" w:lineRule="auto"/>
              <w:rPr>
                <w:rFonts w:hint="eastAsia" w:ascii="宋体" w:hAnsi="宋体" w:eastAsia="宋体" w:cs="宋体"/>
                <w:b/>
                <w:bCs/>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highlight w:val="none"/>
              </w:rPr>
              <w:t xml:space="preserve">（二）</w:t>
            </w:r>
            <w:r>
              <w:rPr>
                <w:rFonts w:hint="eastAsia" w:ascii="宋体" w:hAnsi="宋体" w:eastAsia="宋体" w:cs="宋体"/>
                <w:b/>
                <w:bCs/>
                <w:color w:val="000000"/>
                <w:sz w:val="24"/>
                <w:highlight w:val="none"/>
              </w:rPr>
              <w:t xml:space="preserve">商务部分</w:t>
            </w:r>
            <w:r/>
          </w:p>
          <w:p>
            <w:pPr>
              <w:spacing w:line="360" w:lineRule="auto"/>
              <w:rPr>
                <w:rFonts w:hint="eastAsia" w:ascii="宋体" w:hAnsi="宋体" w:eastAsia="宋体" w:cs="宋体"/>
                <w:b w:val="0"/>
                <w:bCs w:val="0"/>
                <w:color w:val="000000"/>
                <w:sz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000000"/>
                <w:sz w:val="24"/>
                <w:highlight w:val="none"/>
              </w:rPr>
              <w:t xml:space="preserve">1.类似业绩（要求见第四章《评标标准》中《评分细则》）</w:t>
            </w:r>
            <w:r>
              <w:rPr>
                <w:rFonts w:hint="eastAsia" w:ascii="宋体" w:hAnsi="宋体" w:cs="宋体"/>
                <w:b w:val="0"/>
                <w:bCs w:val="0"/>
                <w:color w:val="000000"/>
                <w:sz w:val="24"/>
                <w:highlight w:val="none"/>
                <w:lang w:eastAsia="zh-CN"/>
              </w:rPr>
              <w:t xml:space="preserve">；</w:t>
            </w:r>
            <w:r/>
          </w:p>
          <w:p>
            <w:pPr>
              <w:spacing w:line="360" w:lineRule="auto"/>
              <w:rPr>
                <w:rFonts w:hint="eastAsia" w:ascii="宋体" w:hAnsi="宋体" w:eastAsia="宋体" w:cs="宋体"/>
                <w:b w:val="0"/>
                <w:bCs w:val="0"/>
                <w:color w:val="000000"/>
                <w:sz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sz w:val="24"/>
                <w:szCs w:val="24"/>
                <w:lang w:val="en-US" w:eastAsia="zh-CN"/>
              </w:rPr>
              <w:t xml:space="preserve">2.</w:t>
            </w:r>
            <w:r>
              <w:rPr>
                <w:rFonts w:hint="eastAsia" w:ascii="宋体" w:hAnsi="宋体" w:eastAsia="宋体" w:cs="宋体"/>
                <w:b w:val="0"/>
                <w:bCs w:val="0"/>
                <w:sz w:val="24"/>
                <w:szCs w:val="24"/>
              </w:rPr>
              <w:t xml:space="preserve">供应商评价</w:t>
            </w:r>
            <w:r>
              <w:rPr>
                <w:rFonts w:hint="eastAsia" w:ascii="宋体" w:hAnsi="宋体" w:eastAsia="宋体" w:cs="宋体"/>
                <w:b w:val="0"/>
                <w:bCs w:val="0"/>
                <w:color w:val="000000"/>
                <w:sz w:val="24"/>
                <w:highlight w:val="none"/>
              </w:rPr>
              <w:t xml:space="preserve">（要求见第四章《评标标准》中《评分细则》）</w:t>
            </w:r>
            <w:r>
              <w:rPr>
                <w:rFonts w:hint="eastAsia" w:ascii="宋体" w:hAnsi="宋体" w:cs="宋体"/>
                <w:b w:val="0"/>
                <w:bCs w:val="0"/>
                <w:color w:val="000000"/>
                <w:sz w:val="24"/>
                <w:highlight w:val="none"/>
                <w:lang w:eastAsia="zh-CN"/>
              </w:rPr>
              <w:t xml:space="preserve">；</w:t>
            </w:r>
            <w:r/>
          </w:p>
          <w:p>
            <w:pPr>
              <w:spacing w:line="360" w:lineRule="auto"/>
              <w:rPr>
                <w:rFonts w:hint="eastAsia" w:ascii="宋体" w:hAnsi="宋体" w:eastAsia="宋体" w:cs="宋体"/>
                <w:b w:val="0"/>
                <w:bCs w:val="0"/>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val="0"/>
                <w:bCs w:val="0"/>
                <w:sz w:val="24"/>
                <w:szCs w:val="24"/>
                <w:lang w:val="en-US" w:eastAsia="zh-CN"/>
              </w:rPr>
              <w:t xml:space="preserve">3</w:t>
            </w:r>
            <w:r>
              <w:rPr>
                <w:rFonts w:hint="eastAsia" w:ascii="宋体" w:hAnsi="宋体" w:eastAsia="宋体" w:cs="宋体"/>
                <w:b w:val="0"/>
                <w:bCs w:val="0"/>
                <w:sz w:val="24"/>
                <w:szCs w:val="24"/>
                <w:lang w:val="en-US" w:eastAsia="zh-CN"/>
              </w:rPr>
              <w:t xml:space="preserve">.</w:t>
            </w:r>
            <w:r>
              <w:rPr>
                <w:rFonts w:hint="eastAsia" w:ascii="宋体" w:hAnsi="宋体" w:cs="宋体"/>
                <w:b w:val="0"/>
                <w:bCs w:val="0"/>
                <w:sz w:val="24"/>
                <w:szCs w:val="24"/>
                <w:lang w:val="en-US" w:eastAsia="zh-CN"/>
              </w:rPr>
              <w:t xml:space="preserve">人员配备</w:t>
            </w:r>
            <w:r>
              <w:rPr>
                <w:rFonts w:hint="eastAsia" w:ascii="宋体" w:hAnsi="宋体" w:eastAsia="宋体" w:cs="宋体"/>
                <w:b w:val="0"/>
                <w:bCs w:val="0"/>
                <w:color w:val="000000"/>
                <w:sz w:val="24"/>
                <w:highlight w:val="none"/>
              </w:rPr>
              <w:t xml:space="preserve">（要求见第四章《评标标准》中《评分细则》）。</w:t>
            </w:r>
            <w:r/>
          </w:p>
          <w:p>
            <w:pPr>
              <w:spacing w:line="360" w:lineRule="auto"/>
              <w:rPr>
                <w:rFonts w:hint="eastAsia" w:ascii="宋体" w:hAnsi="宋体" w:eastAsia="宋体" w:cs="宋体"/>
                <w:b w:val="0"/>
                <w:bCs w:val="0"/>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val="0"/>
                <w:bCs w:val="0"/>
                <w:color w:val="000000"/>
                <w:sz w:val="24"/>
                <w:highlight w:val="none"/>
                <w:lang w:val="en-US" w:eastAsia="zh-CN"/>
              </w:rPr>
              <w:t xml:space="preserve">4.</w:t>
            </w:r>
            <w:r>
              <w:rPr>
                <w:rFonts w:hint="eastAsia" w:ascii="宋体" w:hAnsi="宋体" w:eastAsia="宋体" w:cs="宋体"/>
                <w:b w:val="0"/>
                <w:bCs w:val="0"/>
                <w:color w:val="000000"/>
                <w:sz w:val="24"/>
                <w:highlight w:val="none"/>
              </w:rPr>
              <w:t xml:space="preserve">评分细则中评分得分需提供的相关证明文件扫描件。</w:t>
            </w:r>
            <w:r/>
          </w:p>
          <w:p>
            <w:pPr>
              <w:spacing w:line="360" w:lineRule="auto"/>
              <w:rPr>
                <w:rFonts w:hint="eastAsia" w:ascii="宋体" w:hAnsi="宋体" w:eastAsia="宋体" w:cs="宋体"/>
                <w:b/>
                <w:bCs/>
                <w:color w:val="000000"/>
                <w:sz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highlight w:val="none"/>
              </w:rPr>
              <w:t xml:space="preserve">五、报价折扣证明</w:t>
            </w:r>
            <w:r>
              <w:rPr>
                <w:rFonts w:hint="eastAsia" w:ascii="宋体" w:hAnsi="宋体" w:eastAsia="宋体" w:cs="宋体"/>
                <w:b/>
                <w:bCs/>
                <w:color w:val="000000"/>
                <w:sz w:val="24"/>
                <w:highlight w:val="none"/>
                <w:lang w:eastAsia="zh-CN"/>
              </w:rPr>
              <w:t xml:space="preserve">：</w:t>
            </w:r>
            <w:r/>
          </w:p>
          <w:p>
            <w:pPr>
              <w:pStyle w:val="765"/>
              <w:ind w:right="0"/>
              <w:jc w:val="both"/>
              <w:keepLines w:val="0"/>
              <w:keepNext w:val="0"/>
              <w:spacing w:before="0" w:beforeAutospacing="0" w:after="0" w:afterAutospacing="0" w:line="360" w:lineRule="auto"/>
              <w:widowControl w:val="off"/>
              <w:rPr>
                <w:rFonts w:hint="eastAsia" w:ascii="宋体" w:hAnsi="宋体" w:eastAsia="宋体" w:cs="宋体"/>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lang w:val="en-US" w:eastAsia="zh-CN" w:bidi="ar-SA"/>
              </w:rPr>
              <w:t xml:space="preserve">投标人《中小企业声明函》（填写完整，加盖电子签章，格式见招标文件第七章《投标文件相关格式》）。查询渠道参考工业和信息化部发布的中小企业规模自测小程序。中小企业规模自测小程序详见《中小企业声明函》。</w:t>
            </w:r>
            <w:r/>
          </w:p>
          <w:p>
            <w:pPr>
              <w:pStyle w:val="765"/>
              <w:jc w:val="both"/>
              <w:keepLines w:val="0"/>
              <w:keepNext w:val="0"/>
              <w:spacing w:before="0" w:beforeAutospacing="0" w:after="0" w:afterAutospacing="0" w:line="360" w:lineRule="auto"/>
              <w:widowControl w:val="off"/>
              <w:rPr>
                <w:rFonts w:hint="eastAsia" w:ascii="宋体" w:hAnsi="宋体" w:eastAsia="宋体" w:cs="宋体"/>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lang w:val="en-US" w:eastAsia="zh-CN" w:bidi="ar-SA"/>
              </w:rPr>
              <w:t xml:space="preserve">注：具体以《政府采购促进中小企业发展管理办法》（财库[2020]46号）和《关于印发中小企业划型标准规定的通知》（工信部联企业[2011]300号）的规定为准。</w:t>
            </w:r>
            <w:r/>
          </w:p>
          <w:p>
            <w:pPr>
              <w:pStyle w:val="765"/>
              <w:jc w:val="both"/>
              <w:keepLines w:val="0"/>
              <w:keepNext w:val="0"/>
              <w:spacing w:before="0" w:beforeAutospacing="0" w:after="0" w:afterAutospacing="0" w:line="360" w:lineRule="auto"/>
              <w:widowControl w:val="off"/>
              <w:rPr>
                <w:rFonts w:hint="eastAsia" w:ascii="宋体" w:hAnsi="宋体" w:eastAsia="宋体" w:cs="宋体"/>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lang w:val="en-US" w:eastAsia="zh-CN" w:bidi="ar-SA"/>
              </w:rPr>
              <w:t xml:space="preserve">注：监狱企业和残疾人福利性单位等同于小微企业。</w:t>
            </w:r>
            <w:r/>
          </w:p>
          <w:p>
            <w:pPr>
              <w:pStyle w:val="765"/>
              <w:jc w:val="both"/>
              <w:keepLines w:val="0"/>
              <w:keepNext w:val="0"/>
              <w:spacing w:before="0" w:beforeAutospacing="0" w:after="0" w:afterAutospacing="0" w:line="360" w:lineRule="auto"/>
              <w:widowControl w:val="off"/>
              <w:rPr>
                <w:rFonts w:hint="eastAsia" w:ascii="宋体" w:hAnsi="宋体" w:eastAsia="宋体" w:cs="宋体"/>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lang w:val="en-US" w:eastAsia="zh-CN" w:bidi="ar-SA"/>
              </w:rPr>
              <w:t xml:space="preserve">投标人为监狱企业的，提供省级以上监狱管理局、戒毒管理局（含新疆生产建设兵团）出具的属于监狱企业的证明文件原件的扫描件。</w:t>
            </w:r>
            <w:r/>
          </w:p>
          <w:p>
            <w:pPr>
              <w:pStyle w:val="765"/>
              <w:jc w:val="both"/>
              <w:keepLines w:val="0"/>
              <w:keepNext w:val="0"/>
              <w:spacing w:before="0" w:beforeAutospacing="0" w:after="0" w:afterAutospacing="0" w:line="360" w:lineRule="auto"/>
              <w:widowControl w:val="off"/>
              <w:rPr>
                <w:rFonts w:hint="eastAsia" w:ascii="宋体" w:hAnsi="宋体" w:eastAsia="宋体" w:cs="宋体"/>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lang w:val="en-US" w:eastAsia="zh-CN" w:bidi="ar-SA"/>
              </w:rPr>
              <w:t xml:space="preserve">具体以《财政部司法部关于政府采购支持监狱企业发展有关问题的通知》（财库〔2014〕68号）的规定为准。</w:t>
            </w:r>
            <w:r/>
          </w:p>
          <w:p>
            <w:pPr>
              <w:pStyle w:val="765"/>
              <w:jc w:val="both"/>
              <w:keepLines w:val="0"/>
              <w:keepNext w:val="0"/>
              <w:spacing w:before="0" w:beforeAutospacing="0" w:after="0" w:afterAutospacing="0" w:line="360" w:lineRule="auto"/>
              <w:widowControl w:val="off"/>
              <w:rPr>
                <w:rFonts w:hint="eastAsia" w:ascii="宋体" w:hAnsi="宋体" w:eastAsia="宋体" w:cs="宋体"/>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lang w:val="en-US" w:eastAsia="zh-CN" w:bidi="ar-SA"/>
              </w:rPr>
              <w:t xml:space="preserve">投标人为享受政府采购支持政策的残疾人福利性单位的，提供《残疾人福利性单位声明函》（加盖电子签章，格式见招标文件第七章《投标文件相关格式》）。</w:t>
            </w:r>
            <w:r/>
          </w:p>
          <w:p>
            <w:pPr>
              <w:pStyle w:val="765"/>
              <w:jc w:val="both"/>
              <w:keepLines w:val="0"/>
              <w:keepNext w:val="0"/>
              <w:spacing w:before="0" w:beforeAutospacing="0" w:after="0" w:afterAutospacing="0" w:line="360" w:lineRule="auto"/>
              <w:widowControl w:val="off"/>
              <w:rPr>
                <w:rFonts w:hint="eastAsia" w:ascii="宋体" w:hAnsi="宋体" w:eastAsia="宋体" w:cs="宋体"/>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lang w:val="en-US" w:eastAsia="zh-CN" w:bidi="ar-SA"/>
              </w:rPr>
              <w:t xml:space="preserve">享受政府采购支持政策的残疾人福利性单位应当同时满足以下条件：</w:t>
            </w:r>
            <w:r/>
          </w:p>
          <w:p>
            <w:pPr>
              <w:pStyle w:val="765"/>
              <w:jc w:val="both"/>
              <w:keepLines w:val="0"/>
              <w:keepNext w:val="0"/>
              <w:spacing w:before="0" w:beforeAutospacing="0" w:after="0" w:afterAutospacing="0" w:line="360" w:lineRule="auto"/>
              <w:widowControl w:val="off"/>
              <w:rPr>
                <w:rFonts w:hint="eastAsia" w:ascii="宋体" w:hAnsi="宋体" w:eastAsia="宋体" w:cs="宋体"/>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lang w:val="en-US" w:eastAsia="zh-CN" w:bidi="ar-SA"/>
              </w:rPr>
              <w:t xml:space="preserve">①安置的残疾人占本单位在职职工人数的比例不低于25%（含25%），并且安置的残疾人人数不少于10人（含10人）；</w:t>
            </w:r>
            <w:r/>
          </w:p>
          <w:p>
            <w:pPr>
              <w:pStyle w:val="765"/>
              <w:jc w:val="both"/>
              <w:keepLines w:val="0"/>
              <w:keepNext w:val="0"/>
              <w:spacing w:before="0" w:beforeAutospacing="0" w:after="0" w:afterAutospacing="0" w:line="360" w:lineRule="auto"/>
              <w:widowControl w:val="off"/>
              <w:rPr>
                <w:rFonts w:hint="eastAsia" w:ascii="宋体" w:hAnsi="宋体" w:eastAsia="宋体" w:cs="宋体"/>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lang w:val="en-US" w:eastAsia="zh-CN" w:bidi="ar-SA"/>
              </w:rPr>
              <w:t xml:space="preserve">②依法与安置的每位残疾人签订了一年以上（含一年）的劳动合同或服务协议；</w:t>
            </w:r>
            <w:r/>
          </w:p>
          <w:p>
            <w:pPr>
              <w:pStyle w:val="765"/>
              <w:jc w:val="both"/>
              <w:keepLines w:val="0"/>
              <w:keepNext w:val="0"/>
              <w:spacing w:before="0" w:beforeAutospacing="0" w:after="0" w:afterAutospacing="0" w:line="360" w:lineRule="auto"/>
              <w:widowControl w:val="off"/>
              <w:rPr>
                <w:rFonts w:hint="eastAsia" w:ascii="宋体" w:hAnsi="宋体" w:eastAsia="宋体" w:cs="宋体"/>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lang w:val="en-US" w:eastAsia="zh-CN" w:bidi="ar-SA"/>
              </w:rPr>
              <w:t xml:space="preserve">③为安置的每位残疾人按月足额缴纳了基本养老保险、基本医疗保险、失业保险、工伤保险和生育保险等社会保险费；</w:t>
            </w:r>
            <w:r/>
          </w:p>
          <w:p>
            <w:pPr>
              <w:pStyle w:val="765"/>
              <w:jc w:val="both"/>
              <w:keepLines w:val="0"/>
              <w:keepNext w:val="0"/>
              <w:spacing w:before="0" w:beforeAutospacing="0" w:after="0" w:afterAutospacing="0" w:line="360" w:lineRule="auto"/>
              <w:widowControl w:val="off"/>
              <w:rPr>
                <w:rFonts w:hint="eastAsia" w:ascii="宋体" w:hAnsi="宋体" w:eastAsia="宋体" w:cs="宋体"/>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lang w:val="en-US" w:eastAsia="zh-CN" w:bidi="ar-SA"/>
              </w:rPr>
              <w:t xml:space="preserve">④通过银行等金融机构向安置的每位残疾人，按月支付了不低于单位所在区县适用的经省级人民政府批准的月最低工资标准的工资；</w:t>
            </w:r>
            <w:r/>
          </w:p>
          <w:p>
            <w:pPr>
              <w:pStyle w:val="765"/>
              <w:jc w:val="both"/>
              <w:keepLines w:val="0"/>
              <w:keepNext w:val="0"/>
              <w:spacing w:before="0" w:beforeAutospacing="0" w:after="0" w:afterAutospacing="0" w:line="360" w:lineRule="auto"/>
              <w:widowControl w:val="off"/>
              <w:rPr>
                <w:rFonts w:hint="eastAsia" w:ascii="宋体" w:hAnsi="宋体" w:eastAsia="宋体" w:cs="宋体"/>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lang w:val="en-US" w:eastAsia="zh-CN" w:bidi="ar-SA"/>
              </w:rPr>
              <w:t xml:space="preserve">⑤提供本单位制造的货物、承担的工程或者服务（以下简称产品），或者提供其他残疾人福利性单位制造的货物（不包括使用非残疾人福利性单位注册商标的货物）。</w:t>
            </w:r>
            <w:r/>
          </w:p>
          <w:p>
            <w:pPr>
              <w:pStyle w:val="765"/>
              <w:jc w:val="both"/>
              <w:keepLines w:val="0"/>
              <w:keepNext w:val="0"/>
              <w:spacing w:before="0" w:beforeAutospacing="0" w:after="0" w:afterAutospacing="0" w:line="360" w:lineRule="auto"/>
              <w:widowControl w:val="off"/>
              <w:rPr>
                <w:rFonts w:hint="eastAsia" w:ascii="宋体" w:hAnsi="宋体" w:eastAsia="宋体" w:cs="宋体"/>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lang w:val="en-US" w:eastAsia="zh-CN" w:bidi="ar-SA"/>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pStyle w:val="765"/>
              <w:jc w:val="both"/>
              <w:keepLines w:val="0"/>
              <w:keepNext w:val="0"/>
              <w:spacing w:before="0" w:beforeAutospacing="0" w:after="0" w:afterAutospacing="0" w:line="360" w:lineRule="auto"/>
              <w:widowControl w:val="off"/>
              <w:rPr>
                <w:rFonts w:hint="eastAsia" w:ascii="宋体" w:hAnsi="宋体" w:eastAsia="宋体" w:cs="宋体"/>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lang w:val="en-US" w:eastAsia="zh-CN" w:bidi="ar-SA"/>
              </w:rPr>
              <w:t xml:space="preserve">具体以《三部门联合发布关于促进残疾人就业政府采购政策的通知》（财库〔2017〕141号）规定为准。</w:t>
            </w:r>
            <w:r/>
          </w:p>
          <w:p>
            <w:pPr>
              <w:spacing w:line="360" w:lineRule="auto"/>
              <w:rPr>
                <w:rFonts w:hint="eastAsia" w:ascii="宋体" w:hAnsi="宋体" w:eastAsia="宋体" w:cs="宋体"/>
                <w:b/>
                <w:bCs/>
                <w:color w:val="000000"/>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highlight w:val="none"/>
                <w:lang w:val="en-US" w:eastAsia="zh-CN"/>
              </w:rPr>
              <w:t xml:space="preserve">六、其他</w:t>
            </w:r>
            <w:r/>
          </w:p>
          <w:p>
            <w:pPr>
              <w:spacing w:line="360" w:lineRule="auto"/>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1.投标人应对以上文件的合法性、真实性负责。</w:t>
            </w:r>
            <w:r/>
          </w:p>
          <w:p>
            <w:pPr>
              <w:spacing w:line="360" w:lineRule="auto"/>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2.签订合同前，中标人必须向采购人提交其投标文件中所有扫描件的原件，采购人核查无误后，签订合同。如中标人不能在采购人规定的时间内向采购人提供原件，将被采购人视为放弃中标资格。</w:t>
            </w:r>
            <w:r/>
          </w:p>
        </w:tc>
      </w:tr>
      <w:tr>
        <w:trPr>
          <w:jc w:val="center"/>
          <w:trHeight w:val="90"/>
        </w:trPr>
        <w:tc>
          <w:tcPr>
            <w:tcMar>
              <w:left w:w="108" w:type="dxa"/>
              <w:top w:w="0" w:type="dxa"/>
              <w:right w:w="108" w:type="dxa"/>
              <w:bottom w:w="0" w:type="dxa"/>
            </w:tcMar>
            <w:tcW w:w="1471" w:type="dxa"/>
            <w:vAlign w:val="top"/>
            <w:textDirection w:val="lrTb"/>
            <w:noWrap w:val="false"/>
          </w:tcPr>
          <w:p>
            <w:pPr>
              <w:jc w:val="center"/>
              <w:spacing w:line="360" w:lineRule="auto"/>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（十三）2</w:t>
            </w:r>
            <w:r/>
          </w:p>
        </w:tc>
        <w:tc>
          <w:tcPr>
            <w:tcMar>
              <w:left w:w="108" w:type="dxa"/>
              <w:top w:w="0" w:type="dxa"/>
              <w:right w:w="108" w:type="dxa"/>
              <w:bottom w:w="0" w:type="dxa"/>
            </w:tcMar>
            <w:tcW w:w="8313" w:type="dxa"/>
            <w:vAlign w:val="top"/>
            <w:textDirection w:val="lrTb"/>
            <w:noWrap w:val="false"/>
          </w:tcPr>
          <w:p>
            <w:pPr>
              <w:spacing w:line="360" w:lineRule="auto"/>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商务条件见：</w:t>
            </w:r>
            <w:r/>
          </w:p>
          <w:p>
            <w:pPr>
              <w:spacing w:line="360" w:lineRule="auto"/>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一、本文件第四章《评标标准》中《评分细则》。</w:t>
            </w:r>
            <w:r/>
          </w:p>
          <w:p>
            <w:pPr>
              <w:spacing w:line="360" w:lineRule="auto"/>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二、本文件第三章《投标资料表》中（十二）1和（十二）2。</w:t>
            </w:r>
            <w:r/>
          </w:p>
        </w:tc>
      </w:tr>
      <w:tr>
        <w:trPr>
          <w:jc w:val="center"/>
          <w:trHeight w:val="687"/>
        </w:trPr>
        <w:tc>
          <w:tcPr>
            <w:tcMar>
              <w:left w:w="108" w:type="dxa"/>
              <w:top w:w="0" w:type="dxa"/>
              <w:right w:w="108" w:type="dxa"/>
              <w:bottom w:w="0" w:type="dxa"/>
            </w:tcMar>
            <w:tcW w:w="1471" w:type="dxa"/>
            <w:vAlign w:val="top"/>
            <w:textDirection w:val="lrTb"/>
            <w:noWrap w:val="false"/>
          </w:tcPr>
          <w:p>
            <w:pPr>
              <w:jc w:val="center"/>
              <w:spacing w:line="360" w:lineRule="auto"/>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（十三）3</w:t>
            </w:r>
            <w:r/>
          </w:p>
        </w:tc>
        <w:tc>
          <w:tcPr>
            <w:tcMar>
              <w:left w:w="108" w:type="dxa"/>
              <w:top w:w="0" w:type="dxa"/>
              <w:right w:w="108" w:type="dxa"/>
              <w:bottom w:w="0" w:type="dxa"/>
            </w:tcMar>
            <w:tcW w:w="8313" w:type="dxa"/>
            <w:vAlign w:val="top"/>
            <w:textDirection w:val="lrTb"/>
            <w:noWrap w:val="false"/>
          </w:tcPr>
          <w:p>
            <w:pPr>
              <w:spacing w:line="360" w:lineRule="auto"/>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交货和提供服务的时间：见本文件第五章 《拟签订的合同文本》及本文件第六章《采购需求》。</w:t>
            </w:r>
            <w:r/>
          </w:p>
        </w:tc>
      </w:tr>
      <w:tr>
        <w:trPr>
          <w:jc w:val="center"/>
          <w:trHeight w:val="1009"/>
        </w:trPr>
        <w:tc>
          <w:tcPr>
            <w:tcMar>
              <w:left w:w="108" w:type="dxa"/>
              <w:top w:w="0" w:type="dxa"/>
              <w:right w:w="108" w:type="dxa"/>
              <w:bottom w:w="0" w:type="dxa"/>
            </w:tcMar>
            <w:tcW w:w="1471" w:type="dxa"/>
            <w:vAlign w:val="top"/>
            <w:textDirection w:val="lrTb"/>
            <w:noWrap w:val="false"/>
          </w:tcPr>
          <w:p>
            <w:pPr>
              <w:jc w:val="center"/>
              <w:spacing w:line="360" w:lineRule="auto"/>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（十四）</w:t>
            </w:r>
            <w:r/>
          </w:p>
        </w:tc>
        <w:tc>
          <w:tcPr>
            <w:tcMar>
              <w:left w:w="108" w:type="dxa"/>
              <w:top w:w="0" w:type="dxa"/>
              <w:right w:w="108" w:type="dxa"/>
              <w:bottom w:w="0" w:type="dxa"/>
            </w:tcMar>
            <w:tcW w:w="8313" w:type="dxa"/>
            <w:vAlign w:val="top"/>
            <w:textDirection w:val="lrTb"/>
            <w:noWrap w:val="false"/>
          </w:tcPr>
          <w:p>
            <w:pPr>
              <w:spacing w:line="360" w:lineRule="auto"/>
              <w:rPr>
                <w:rFonts w:hint="eastAsia" w:ascii="宋体" w:hAnsi="宋体" w:eastAsia="宋体" w:cs="宋体"/>
                <w:b/>
                <w:bCs/>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highlight w:val="none"/>
              </w:rPr>
              <w:t xml:space="preserve">本项目预算金额人民币</w:t>
            </w:r>
            <w:r>
              <w:rPr>
                <w:rFonts w:hint="eastAsia" w:ascii="宋体" w:hAnsi="宋体" w:cs="宋体"/>
                <w:b/>
                <w:bCs/>
                <w:color w:val="000000"/>
                <w:sz w:val="24"/>
                <w:highlight w:val="none"/>
                <w:u w:val="none"/>
                <w:lang w:val="en-US" w:eastAsia="zh-CN"/>
              </w:rPr>
              <w:t xml:space="preserve">343 万元</w:t>
            </w:r>
            <w:r>
              <w:rPr>
                <w:rFonts w:hint="eastAsia" w:ascii="宋体" w:hAnsi="宋体" w:eastAsia="宋体" w:cs="宋体"/>
                <w:b/>
                <w:bCs/>
                <w:color w:val="000000"/>
                <w:sz w:val="24"/>
                <w:highlight w:val="none"/>
              </w:rPr>
              <w:t xml:space="preserve">，不接受超过项目预算的投标报价。</w:t>
            </w:r>
            <w:r/>
          </w:p>
          <w:p>
            <w:pPr>
              <w:jc w:val="left"/>
              <w:keepLines w:val="0"/>
              <w:keepNext w:val="0"/>
              <w:pageBreakBefore w:val="0"/>
              <w:spacing w:after="120" w:line="360" w:lineRule="auto"/>
              <w:widowControl w:val="off"/>
              <w:rPr>
                <w:rFonts w:hint="eastAsia" w:ascii="宋体" w:hAnsi="宋体" w:eastAsia="宋体" w:cs="宋体"/>
                <w:color w:val="000000"/>
                <w:sz w:val="24"/>
                <w:highlight w:val="none"/>
              </w:rPr>
            </w:pPr>
            <w:r>
              <w:rPr>
                <w:rFonts w:hint="eastAsia" w:ascii="宋体" w:hAnsi="宋体" w:eastAsia="宋体" w:cs="宋体"/>
                <w:b w:val="0"/>
                <w:i w:val="0"/>
                <w:iCs w:val="0"/>
                <w:caps w:val="0"/>
                <w:strike w:val="0"/>
                <w:color w:val="000000"/>
                <w:spacing w:val="0"/>
                <w:sz w:val="24"/>
                <w:szCs w:val="10"/>
                <w:highlight w:val="none"/>
                <w:u w:val="none"/>
                <w:lang w:val="en-US" w:eastAsia="zh-CN" w:bidi="ar-SA"/>
              </w:rPr>
              <w:t xml:space="preserve">报价包括产品价、税金、运费、检验、调试、售后服务、培训费用等全部费用（不包含安装费），采购人不再支付报价以外的任何费用。</w:t>
            </w:r>
            <w:r/>
          </w:p>
        </w:tc>
      </w:tr>
      <w:tr>
        <w:trPr>
          <w:jc w:val="center"/>
          <w:trHeight w:val="417"/>
        </w:trPr>
        <w:tc>
          <w:tcPr>
            <w:tcMar>
              <w:left w:w="108" w:type="dxa"/>
              <w:top w:w="0" w:type="dxa"/>
              <w:right w:w="108" w:type="dxa"/>
              <w:bottom w:w="0" w:type="dxa"/>
            </w:tcMar>
            <w:tcW w:w="1471" w:type="dxa"/>
            <w:vAlign w:val="top"/>
            <w:textDirection w:val="lrTb"/>
            <w:noWrap w:val="false"/>
          </w:tcPr>
          <w:p>
            <w:pPr>
              <w:jc w:val="center"/>
              <w:spacing w:line="360" w:lineRule="auto"/>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（十五）</w:t>
            </w:r>
            <w:r/>
          </w:p>
        </w:tc>
        <w:tc>
          <w:tcPr>
            <w:tcMar>
              <w:left w:w="108" w:type="dxa"/>
              <w:top w:w="0" w:type="dxa"/>
              <w:right w:w="108" w:type="dxa"/>
              <w:bottom w:w="0" w:type="dxa"/>
            </w:tcMar>
            <w:tcW w:w="8313" w:type="dxa"/>
            <w:vAlign w:val="center"/>
            <w:textDirection w:val="lrTb"/>
            <w:noWrap w:val="false"/>
          </w:tcPr>
          <w:p>
            <w:pPr>
              <w:spacing w:line="360" w:lineRule="auto"/>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以人民币报价。</w:t>
            </w:r>
            <w:r/>
          </w:p>
        </w:tc>
      </w:tr>
      <w:tr>
        <w:trPr>
          <w:jc w:val="center"/>
          <w:trHeight w:val="388"/>
        </w:trPr>
        <w:tc>
          <w:tcPr>
            <w:tcMar>
              <w:left w:w="108" w:type="dxa"/>
              <w:top w:w="0" w:type="dxa"/>
              <w:right w:w="108" w:type="dxa"/>
              <w:bottom w:w="0" w:type="dxa"/>
            </w:tcMar>
            <w:tcW w:w="1471" w:type="dxa"/>
            <w:vAlign w:val="top"/>
            <w:textDirection w:val="lrTb"/>
            <w:noWrap w:val="false"/>
          </w:tcPr>
          <w:p>
            <w:pPr>
              <w:jc w:val="center"/>
              <w:spacing w:line="360" w:lineRule="auto"/>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（十七）</w:t>
            </w:r>
            <w:r/>
          </w:p>
        </w:tc>
        <w:tc>
          <w:tcPr>
            <w:tcMar>
              <w:left w:w="108" w:type="dxa"/>
              <w:top w:w="0" w:type="dxa"/>
              <w:right w:w="108" w:type="dxa"/>
              <w:bottom w:w="0" w:type="dxa"/>
            </w:tcMar>
            <w:tcW w:w="8313" w:type="dxa"/>
            <w:vAlign w:val="center"/>
            <w:textDirection w:val="lrTb"/>
            <w:noWrap w:val="false"/>
          </w:tcPr>
          <w:p>
            <w:pPr>
              <w:spacing w:line="360" w:lineRule="auto"/>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投标人须用政府采购客户端工具导入“苏采云”系统下载的采购文件（后缀）、供应商操作手册及政府采购客户端工具可通过“苏采云”系统（网址：http://jszfcg.jsczt.cn）--已报名项目-－报名详情页面内相应链接进行下载；供应商操作手册及政府采购客户端工具也可通过徐州政府采购网-－业务工作－－快速服务－－下载专区，点击进入《江苏省政府采购管理交易系统（苏采云）供应商操作手册及政府采购客户端》，进行下载。</w:t>
            </w:r>
            <w:r/>
          </w:p>
          <w:p>
            <w:pPr>
              <w:spacing w:line="360" w:lineRule="auto"/>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投标人应当通过“苏采云”系统提交数据电文形式的投标文件（即电子投标）。</w:t>
            </w:r>
            <w:r/>
          </w:p>
          <w:p>
            <w:pPr>
              <w:spacing w:line="360" w:lineRule="auto"/>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特别说明：政府采购客户端工具需要导出加密的投标文件（后缀名为</w:t>
            </w:r>
            <w:r>
              <w:rPr>
                <w:rFonts w:hint="eastAsia" w:ascii="宋体" w:hAnsi="宋体" w:eastAsia="宋体" w:cs="宋体"/>
                <w:b/>
                <w:bCs/>
                <w:color w:val="000000"/>
                <w:sz w:val="24"/>
                <w:highlight w:val="none"/>
              </w:rPr>
              <w:t xml:space="preserve">zip</w:t>
            </w:r>
            <w:r>
              <w:rPr>
                <w:rFonts w:hint="eastAsia" w:ascii="宋体" w:hAnsi="宋体" w:eastAsia="宋体" w:cs="宋体"/>
                <w:color w:val="000000"/>
                <w:sz w:val="24"/>
                <w:highlight w:val="none"/>
              </w:rPr>
              <w:t xml:space="preserve">）。</w:t>
            </w:r>
            <w:r>
              <w:rPr>
                <w:rFonts w:hint="eastAsia" w:ascii="宋体" w:hAnsi="宋体" w:eastAsia="宋体" w:cs="宋体"/>
                <w:b/>
                <w:bCs/>
                <w:color w:val="000000"/>
                <w:sz w:val="24"/>
                <w:highlight w:val="none"/>
              </w:rPr>
              <w:t xml:space="preserve">投标文件不得超过150M</w:t>
            </w:r>
            <w:r>
              <w:rPr>
                <w:rFonts w:hint="eastAsia" w:ascii="宋体" w:hAnsi="宋体" w:eastAsia="宋体" w:cs="宋体"/>
                <w:color w:val="000000"/>
                <w:sz w:val="24"/>
                <w:highlight w:val="none"/>
              </w:rPr>
              <w:t xml:space="preserve">！名为“</w:t>
            </w:r>
            <w:r>
              <w:rPr>
                <w:rFonts w:hint="eastAsia" w:ascii="宋体" w:hAnsi="宋体" w:eastAsia="宋体" w:cs="宋体"/>
                <w:b/>
                <w:bCs/>
                <w:color w:val="000000"/>
                <w:sz w:val="24"/>
                <w:highlight w:val="none"/>
              </w:rPr>
              <w:t xml:space="preserve">.kedt</w:t>
            </w:r>
            <w:r>
              <w:rPr>
                <w:rFonts w:hint="eastAsia" w:ascii="宋体" w:hAnsi="宋体" w:eastAsia="宋体" w:cs="宋体"/>
                <w:color w:val="000000"/>
                <w:sz w:val="24"/>
                <w:highlight w:val="none"/>
              </w:rPr>
              <w:t xml:space="preserve">”）后，离线编制投标文件。采购文件（后缀名为“</w:t>
            </w:r>
            <w:r>
              <w:rPr>
                <w:rFonts w:hint="eastAsia" w:ascii="宋体" w:hAnsi="宋体" w:eastAsia="宋体" w:cs="宋体"/>
                <w:b/>
                <w:bCs/>
                <w:color w:val="000000"/>
                <w:sz w:val="24"/>
                <w:highlight w:val="none"/>
              </w:rPr>
              <w:t xml:space="preserve">.kedt</w:t>
            </w:r>
            <w:r>
              <w:rPr>
                <w:rFonts w:hint="eastAsia" w:ascii="宋体" w:hAnsi="宋体" w:eastAsia="宋体" w:cs="宋体"/>
                <w:color w:val="000000"/>
                <w:sz w:val="24"/>
                <w:highlight w:val="none"/>
              </w:rPr>
              <w:t xml:space="preserve">”）。</w:t>
            </w:r>
            <w:r/>
          </w:p>
        </w:tc>
      </w:tr>
      <w:tr>
        <w:trPr>
          <w:jc w:val="center"/>
          <w:trHeight w:val="525"/>
        </w:trPr>
        <w:tc>
          <w:tcPr>
            <w:tcMar>
              <w:left w:w="108" w:type="dxa"/>
              <w:top w:w="0" w:type="dxa"/>
              <w:right w:w="108" w:type="dxa"/>
              <w:bottom w:w="0" w:type="dxa"/>
            </w:tcMar>
            <w:tcW w:w="1471" w:type="dxa"/>
            <w:vAlign w:val="top"/>
            <w:textDirection w:val="lrTb"/>
            <w:noWrap w:val="false"/>
          </w:tcPr>
          <w:p>
            <w:pPr>
              <w:jc w:val="center"/>
              <w:spacing w:line="360" w:lineRule="auto"/>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（十八）</w:t>
            </w:r>
            <w:r/>
          </w:p>
        </w:tc>
        <w:tc>
          <w:tcPr>
            <w:tcMar>
              <w:left w:w="108" w:type="dxa"/>
              <w:top w:w="0" w:type="dxa"/>
              <w:right w:w="108" w:type="dxa"/>
              <w:bottom w:w="0" w:type="dxa"/>
            </w:tcMar>
            <w:tcW w:w="8313" w:type="dxa"/>
            <w:vAlign w:val="center"/>
            <w:textDirection w:val="lrTb"/>
            <w:noWrap w:val="false"/>
          </w:tcPr>
          <w:p>
            <w:pPr>
              <w:spacing w:line="360" w:lineRule="auto"/>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见本文件第三章《投标资料表》中（十二）1和（十二）2</w:t>
            </w:r>
            <w:r/>
          </w:p>
        </w:tc>
      </w:tr>
      <w:tr>
        <w:trPr>
          <w:jc w:val="center"/>
          <w:trHeight w:val="1775"/>
        </w:trPr>
        <w:tc>
          <w:tcPr>
            <w:tcMar>
              <w:left w:w="108" w:type="dxa"/>
              <w:top w:w="0" w:type="dxa"/>
              <w:right w:w="108" w:type="dxa"/>
              <w:bottom w:w="0" w:type="dxa"/>
            </w:tcMar>
            <w:tcW w:w="1471" w:type="dxa"/>
            <w:vAlign w:val="top"/>
            <w:textDirection w:val="lrTb"/>
            <w:noWrap w:val="false"/>
          </w:tcPr>
          <w:p>
            <w:pPr>
              <w:jc w:val="center"/>
              <w:spacing w:line="360" w:lineRule="auto"/>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（十九）</w:t>
            </w:r>
            <w:r/>
          </w:p>
        </w:tc>
        <w:tc>
          <w:tcPr>
            <w:tcMar>
              <w:left w:w="108" w:type="dxa"/>
              <w:top w:w="0" w:type="dxa"/>
              <w:right w:w="108" w:type="dxa"/>
              <w:bottom w:w="0" w:type="dxa"/>
            </w:tcMar>
            <w:tcW w:w="8313" w:type="dxa"/>
            <w:vAlign w:val="center"/>
            <w:textDirection w:val="lrTb"/>
            <w:noWrap w:val="false"/>
          </w:tcPr>
          <w:p>
            <w:pPr>
              <w:ind w:left="560" w:hanging="560"/>
              <w:spacing w:line="360" w:lineRule="auto"/>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投标文件的提交与接收： </w:t>
            </w:r>
            <w:r/>
          </w:p>
          <w:p>
            <w:pPr>
              <w:spacing w:line="360" w:lineRule="auto"/>
              <w:rPr>
                <w:rFonts w:hint="eastAsia" w:ascii="宋体" w:hAnsi="宋体" w:eastAsia="宋体" w:cs="宋体"/>
                <w:b/>
                <w:bCs/>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highlight w:val="none"/>
              </w:rPr>
              <w:t xml:space="preserve">1.投标文件提交与接收时间：</w:t>
            </w:r>
            <w:r>
              <w:rPr>
                <w:rFonts w:hint="eastAsia" w:ascii="宋体" w:hAnsi="宋体" w:eastAsia="宋体" w:cs="宋体"/>
                <w:b/>
                <w:bCs/>
                <w:color w:val="000000"/>
                <w:sz w:val="24"/>
                <w:highlight w:val="none"/>
                <w:lang w:eastAsia="zh-CN"/>
              </w:rPr>
              <w:t xml:space="preserve">2026年</w:t>
            </w:r>
            <w:r>
              <w:rPr>
                <w:rFonts w:hint="eastAsia" w:ascii="宋体" w:hAnsi="宋体" w:cs="宋体"/>
                <w:b/>
                <w:bCs/>
                <w:color w:val="000000"/>
                <w:sz w:val="24"/>
                <w:highlight w:val="none"/>
                <w:lang w:eastAsia="zh-CN"/>
              </w:rPr>
              <w:t xml:space="preserve">3月23日</w:t>
            </w:r>
            <w:r>
              <w:rPr>
                <w:rFonts w:hint="eastAsia" w:ascii="宋体" w:hAnsi="宋体" w:eastAsia="宋体" w:cs="宋体"/>
                <w:b/>
                <w:bCs/>
                <w:color w:val="000000"/>
                <w:sz w:val="24"/>
                <w:highlight w:val="none"/>
              </w:rPr>
              <w:t xml:space="preserve">北京时间09:30前。</w:t>
            </w:r>
            <w:r/>
          </w:p>
          <w:p>
            <w:pPr>
              <w:ind w:left="560" w:hanging="560"/>
              <w:spacing w:line="360" w:lineRule="auto"/>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2.投标文件提交与接收地点： </w:t>
            </w:r>
            <w:r/>
          </w:p>
          <w:p>
            <w:pPr>
              <w:spacing w:line="360" w:lineRule="auto"/>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投标人应当通过“苏采云”系统提交数据电文形式的投标文件（即电子投标），“苏采云”系统自动接收。</w:t>
            </w:r>
            <w:r/>
          </w:p>
        </w:tc>
      </w:tr>
      <w:tr>
        <w:trPr>
          <w:jc w:val="center"/>
          <w:trHeight w:val="1201"/>
        </w:trPr>
        <w:tc>
          <w:tcPr>
            <w:tcMar>
              <w:left w:w="108" w:type="dxa"/>
              <w:top w:w="0" w:type="dxa"/>
              <w:right w:w="108" w:type="dxa"/>
              <w:bottom w:w="0" w:type="dxa"/>
            </w:tcMar>
            <w:tcW w:w="1471" w:type="dxa"/>
            <w:vAlign w:val="top"/>
            <w:textDirection w:val="lrTb"/>
            <w:noWrap w:val="false"/>
          </w:tcPr>
          <w:p>
            <w:pPr>
              <w:jc w:val="center"/>
              <w:spacing w:line="360" w:lineRule="auto"/>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（二十）</w:t>
            </w:r>
            <w:r/>
          </w:p>
        </w:tc>
        <w:tc>
          <w:tcPr>
            <w:tcMar>
              <w:left w:w="108" w:type="dxa"/>
              <w:top w:w="0" w:type="dxa"/>
              <w:right w:w="108" w:type="dxa"/>
              <w:bottom w:w="0" w:type="dxa"/>
            </w:tcMar>
            <w:tcW w:w="8313" w:type="dxa"/>
            <w:vAlign w:val="center"/>
            <w:textDirection w:val="lrTb"/>
            <w:noWrap w:val="false"/>
          </w:tcPr>
          <w:p>
            <w:pPr>
              <w:spacing w:line="360" w:lineRule="auto"/>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电子投标文件应由其法定代表人或法定代表人授权代表在规定的网上投标时间内，</w:t>
            </w:r>
            <w:r>
              <w:rPr>
                <w:rFonts w:hint="eastAsia" w:ascii="宋体" w:hAnsi="宋体" w:eastAsia="宋体" w:cs="宋体"/>
                <w:b/>
                <w:color w:val="000000"/>
                <w:sz w:val="24"/>
                <w:highlight w:val="none"/>
              </w:rPr>
              <w:t xml:space="preserve">凭CA证书登陆“苏采云”系统在线编制投标文件（电子数据），并在投标截止时间之前上传投标文件。并于开标时凭CA锁进行解密。</w:t>
            </w:r>
            <w:r/>
          </w:p>
        </w:tc>
      </w:tr>
      <w:tr>
        <w:trPr>
          <w:jc w:val="center"/>
        </w:trPr>
        <w:tc>
          <w:tcPr>
            <w:tcMar>
              <w:left w:w="108" w:type="dxa"/>
              <w:top w:w="0" w:type="dxa"/>
              <w:right w:w="108" w:type="dxa"/>
              <w:bottom w:w="0" w:type="dxa"/>
            </w:tcMar>
            <w:tcW w:w="1471" w:type="dxa"/>
            <w:vAlign w:val="top"/>
            <w:textDirection w:val="lrTb"/>
            <w:noWrap w:val="false"/>
          </w:tcPr>
          <w:p>
            <w:pPr>
              <w:jc w:val="center"/>
              <w:spacing w:line="360" w:lineRule="auto"/>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四</w:t>
            </w:r>
            <w:r/>
          </w:p>
        </w:tc>
        <w:tc>
          <w:tcPr>
            <w:tcMar>
              <w:left w:w="108" w:type="dxa"/>
              <w:top w:w="0" w:type="dxa"/>
              <w:right w:w="108" w:type="dxa"/>
              <w:bottom w:w="0" w:type="dxa"/>
            </w:tcMar>
            <w:tcW w:w="8313" w:type="dxa"/>
            <w:vAlign w:val="top"/>
            <w:textDirection w:val="lrTb"/>
            <w:noWrap w:val="false"/>
          </w:tcPr>
          <w:p>
            <w:pPr>
              <w:spacing w:line="360" w:lineRule="auto"/>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开标</w:t>
            </w:r>
            <w:r/>
          </w:p>
        </w:tc>
      </w:tr>
      <w:tr>
        <w:trPr>
          <w:jc w:val="center"/>
          <w:trHeight w:val="90"/>
        </w:trPr>
        <w:tc>
          <w:tcPr>
            <w:tcMar>
              <w:left w:w="108" w:type="dxa"/>
              <w:top w:w="0" w:type="dxa"/>
              <w:right w:w="108" w:type="dxa"/>
              <w:bottom w:w="0" w:type="dxa"/>
            </w:tcMar>
            <w:tcW w:w="1471" w:type="dxa"/>
            <w:vAlign w:val="top"/>
            <w:textDirection w:val="lrTb"/>
            <w:noWrap w:val="false"/>
          </w:tcPr>
          <w:p>
            <w:pPr>
              <w:jc w:val="center"/>
              <w:spacing w:line="360" w:lineRule="auto"/>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（二十五）1</w:t>
            </w:r>
            <w:r/>
          </w:p>
        </w:tc>
        <w:tc>
          <w:tcPr>
            <w:tcMar>
              <w:left w:w="108" w:type="dxa"/>
              <w:top w:w="0" w:type="dxa"/>
              <w:right w:w="108" w:type="dxa"/>
              <w:bottom w:w="0" w:type="dxa"/>
            </w:tcMar>
            <w:tcW w:w="8313" w:type="dxa"/>
            <w:vAlign w:val="center"/>
            <w:textDirection w:val="lrTb"/>
            <w:noWrap w:val="false"/>
          </w:tcPr>
          <w:p>
            <w:pPr>
              <w:spacing w:line="360" w:lineRule="auto"/>
              <w:rPr>
                <w:rFonts w:hint="eastAsia" w:ascii="宋体" w:hAnsi="宋体" w:eastAsia="宋体" w:cs="宋体"/>
                <w:b/>
                <w:bCs/>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highlight w:val="none"/>
              </w:rPr>
              <w:t xml:space="preserve">开标时间及地点：</w:t>
            </w:r>
            <w:r/>
          </w:p>
          <w:p>
            <w:pPr>
              <w:spacing w:line="360" w:lineRule="auto"/>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highlight w:val="none"/>
              </w:rPr>
              <w:t xml:space="preserve">1.开标时间：</w:t>
            </w:r>
            <w:r>
              <w:rPr>
                <w:rFonts w:hint="eastAsia" w:ascii="宋体" w:hAnsi="宋体" w:eastAsia="宋体" w:cs="宋体"/>
                <w:b/>
                <w:color w:val="000000"/>
                <w:sz w:val="24"/>
                <w:highlight w:val="none"/>
                <w:lang w:eastAsia="zh-CN"/>
              </w:rPr>
              <w:t xml:space="preserve">2026年</w:t>
            </w:r>
            <w:r>
              <w:rPr>
                <w:rFonts w:hint="eastAsia" w:ascii="宋体" w:hAnsi="宋体" w:cs="宋体"/>
                <w:b/>
                <w:color w:val="000000"/>
                <w:sz w:val="24"/>
                <w:highlight w:val="none"/>
                <w:lang w:eastAsia="zh-CN"/>
              </w:rPr>
              <w:t xml:space="preserve">3月23日</w:t>
            </w:r>
            <w:r>
              <w:rPr>
                <w:rFonts w:hint="eastAsia" w:ascii="宋体" w:hAnsi="宋体" w:eastAsia="宋体" w:cs="宋体"/>
                <w:b/>
                <w:color w:val="000000"/>
                <w:sz w:val="24"/>
                <w:highlight w:val="none"/>
              </w:rPr>
              <w:t xml:space="preserve">09:30（北京时间）</w:t>
            </w:r>
            <w:r/>
          </w:p>
          <w:p>
            <w:pPr>
              <w:spacing w:line="360" w:lineRule="auto"/>
              <w:rPr>
                <w:rFonts w:hint="eastAsia" w:ascii="宋体" w:hAnsi="宋体" w:eastAsia="宋体" w:cs="宋体"/>
                <w:b/>
                <w:bCs/>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highlight w:val="none"/>
              </w:rPr>
              <w:t xml:space="preserve">2.开标地点：</w:t>
            </w:r>
            <w:r/>
          </w:p>
          <w:p>
            <w:pPr>
              <w:jc w:val="left"/>
              <w:spacing w:line="360" w:lineRule="auto"/>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“苏采云”系统（网址： http://jszfcg.jsczt.cn/）“开标大厅”或进入徐州政府采购网（网址：http://czj.xz.gov.cn/Home/HomeIndex）--业务工作--用户登录，点击“苏采云”进入系统“开标大厅”。</w:t>
            </w:r>
            <w:r/>
          </w:p>
        </w:tc>
      </w:tr>
      <w:tr>
        <w:trPr>
          <w:jc w:val="center"/>
          <w:trHeight w:val="540"/>
        </w:trPr>
        <w:tc>
          <w:tcPr>
            <w:tcMar>
              <w:left w:w="108" w:type="dxa"/>
              <w:top w:w="0" w:type="dxa"/>
              <w:right w:w="108" w:type="dxa"/>
              <w:bottom w:w="0" w:type="dxa"/>
            </w:tcMar>
            <w:tcW w:w="1471" w:type="dxa"/>
            <w:vAlign w:val="top"/>
            <w:textDirection w:val="lrTb"/>
            <w:noWrap w:val="false"/>
          </w:tcPr>
          <w:p>
            <w:pPr>
              <w:jc w:val="center"/>
              <w:spacing w:line="360" w:lineRule="auto"/>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（二十五）1</w:t>
            </w:r>
            <w:r/>
          </w:p>
        </w:tc>
        <w:tc>
          <w:tcPr>
            <w:tcMar>
              <w:left w:w="108" w:type="dxa"/>
              <w:top w:w="0" w:type="dxa"/>
              <w:right w:w="108" w:type="dxa"/>
              <w:bottom w:w="0" w:type="dxa"/>
            </w:tcMar>
            <w:tcW w:w="8313" w:type="dxa"/>
            <w:vAlign w:val="center"/>
            <w:textDirection w:val="lrTb"/>
            <w:noWrap w:val="false"/>
          </w:tcPr>
          <w:p>
            <w:pPr>
              <w:spacing w:line="360" w:lineRule="auto"/>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招标文件规定的需要宣布的内容：投标人名称、投标价格。</w:t>
            </w:r>
            <w:r/>
          </w:p>
        </w:tc>
      </w:tr>
      <w:tr>
        <w:trPr>
          <w:jc w:val="center"/>
        </w:trPr>
        <w:tc>
          <w:tcPr>
            <w:tcMar>
              <w:left w:w="108" w:type="dxa"/>
              <w:top w:w="0" w:type="dxa"/>
              <w:right w:w="108" w:type="dxa"/>
              <w:bottom w:w="0" w:type="dxa"/>
            </w:tcMar>
            <w:tcW w:w="1471" w:type="dxa"/>
            <w:vAlign w:val="top"/>
            <w:textDirection w:val="lrTb"/>
            <w:noWrap w:val="false"/>
          </w:tcPr>
          <w:p>
            <w:pPr>
              <w:jc w:val="center"/>
              <w:spacing w:line="360" w:lineRule="auto"/>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五</w:t>
            </w:r>
            <w:r/>
          </w:p>
        </w:tc>
        <w:tc>
          <w:tcPr>
            <w:tcMar>
              <w:left w:w="108" w:type="dxa"/>
              <w:top w:w="0" w:type="dxa"/>
              <w:right w:w="108" w:type="dxa"/>
              <w:bottom w:w="0" w:type="dxa"/>
            </w:tcMar>
            <w:tcW w:w="8313" w:type="dxa"/>
            <w:vAlign w:val="top"/>
            <w:textDirection w:val="lrTb"/>
            <w:noWrap w:val="false"/>
          </w:tcPr>
          <w:p>
            <w:pPr>
              <w:spacing w:line="360" w:lineRule="auto"/>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评标</w:t>
            </w:r>
            <w:r/>
          </w:p>
        </w:tc>
      </w:tr>
      <w:tr>
        <w:trPr>
          <w:jc w:val="center"/>
          <w:trHeight w:val="220"/>
        </w:trPr>
        <w:tc>
          <w:tcPr>
            <w:tcMar>
              <w:left w:w="108" w:type="dxa"/>
              <w:top w:w="0" w:type="dxa"/>
              <w:right w:w="108" w:type="dxa"/>
              <w:bottom w:w="0" w:type="dxa"/>
            </w:tcMar>
            <w:tcW w:w="1471" w:type="dxa"/>
            <w:vAlign w:val="top"/>
            <w:textDirection w:val="lrTb"/>
            <w:noWrap w:val="false"/>
          </w:tcPr>
          <w:p>
            <w:pPr>
              <w:jc w:val="center"/>
              <w:spacing w:line="360" w:lineRule="auto"/>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（二十七）</w:t>
            </w:r>
            <w:r/>
          </w:p>
        </w:tc>
        <w:tc>
          <w:tcPr>
            <w:tcMar>
              <w:left w:w="108" w:type="dxa"/>
              <w:top w:w="0" w:type="dxa"/>
              <w:right w:w="108" w:type="dxa"/>
              <w:bottom w:w="0" w:type="dxa"/>
            </w:tcMar>
            <w:tcW w:w="8313" w:type="dxa"/>
            <w:vAlign w:val="top"/>
            <w:textDirection w:val="lrTb"/>
            <w:noWrap w:val="false"/>
          </w:tcPr>
          <w:p>
            <w:pPr>
              <w:spacing w:line="360" w:lineRule="auto"/>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采用综合评分法。</w:t>
            </w:r>
            <w:r/>
          </w:p>
        </w:tc>
      </w:tr>
      <w:tr>
        <w:trPr>
          <w:jc w:val="center"/>
          <w:trHeight w:val="2621"/>
        </w:trPr>
        <w:tc>
          <w:tcPr>
            <w:tcMar>
              <w:left w:w="108" w:type="dxa"/>
              <w:top w:w="0" w:type="dxa"/>
              <w:right w:w="108" w:type="dxa"/>
              <w:bottom w:w="0" w:type="dxa"/>
            </w:tcMar>
            <w:tcW w:w="1471" w:type="dxa"/>
            <w:vAlign w:val="top"/>
            <w:textDirection w:val="lrTb"/>
            <w:noWrap w:val="false"/>
          </w:tcPr>
          <w:p>
            <w:pPr>
              <w:jc w:val="center"/>
              <w:spacing w:line="360" w:lineRule="auto"/>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（二十八）</w:t>
            </w:r>
            <w:r/>
          </w:p>
        </w:tc>
        <w:tc>
          <w:tcPr>
            <w:tcMar>
              <w:left w:w="108" w:type="dxa"/>
              <w:top w:w="0" w:type="dxa"/>
              <w:right w:w="108" w:type="dxa"/>
              <w:bottom w:w="0" w:type="dxa"/>
            </w:tcMar>
            <w:tcW w:w="8313" w:type="dxa"/>
            <w:vAlign w:val="top"/>
            <w:textDirection w:val="lrTb"/>
            <w:noWrap w:val="false"/>
          </w:tcPr>
          <w:p>
            <w:pPr>
              <w:spacing w:line="360" w:lineRule="auto"/>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一、</w:t>
            </w:r>
            <w:r>
              <w:rPr>
                <w:rFonts w:hint="eastAsia" w:ascii="宋体" w:hAnsi="宋体" w:eastAsia="宋体" w:cs="宋体"/>
                <w:color w:val="000000"/>
                <w:sz w:val="24"/>
                <w:highlight w:val="none"/>
                <w:lang w:val="en-US" w:eastAsia="zh-CN"/>
              </w:rPr>
              <w:t xml:space="preserve">评标委员会</w:t>
            </w:r>
            <w:r>
              <w:rPr>
                <w:rFonts w:hint="eastAsia" w:ascii="宋体" w:hAnsi="宋体" w:eastAsia="宋体" w:cs="宋体"/>
                <w:color w:val="000000"/>
                <w:sz w:val="24"/>
                <w:highlight w:val="none"/>
              </w:rPr>
              <w:t xml:space="preserve">推荐中标候选投标人数量为3名。中标候选供应商数量应当根据采购需要确定，但必须按顺序排列中标候选供应商。</w:t>
            </w:r>
            <w:r/>
          </w:p>
          <w:p>
            <w:pPr>
              <w:spacing w:line="360" w:lineRule="auto"/>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二、采用综合评分法的，按评审后得分由高到低顺序排列。得分相同的，按投标报价由低到高顺序排列。得分且投标报价相同的，按项目实施方案得分由高到低顺序排列。</w:t>
            </w:r>
            <w:r/>
          </w:p>
          <w:p>
            <w:pPr>
              <w:spacing w:line="360" w:lineRule="auto"/>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三、采购人应当自收到评标报告之日起５个工作日内，在评标报告确定的中标候选人名单中按得分最高顺序确定一名中标人。</w:t>
            </w:r>
            <w:r/>
          </w:p>
        </w:tc>
      </w:tr>
      <w:tr>
        <w:trPr>
          <w:jc w:val="center"/>
          <w:trHeight w:val="3772"/>
        </w:trPr>
        <w:tc>
          <w:tcPr>
            <w:tcMar>
              <w:left w:w="108" w:type="dxa"/>
              <w:top w:w="0" w:type="dxa"/>
              <w:right w:w="108" w:type="dxa"/>
              <w:bottom w:w="0" w:type="dxa"/>
            </w:tcMar>
            <w:tcW w:w="1471" w:type="dxa"/>
            <w:vAlign w:val="top"/>
            <w:textDirection w:val="lrTb"/>
            <w:noWrap w:val="false"/>
          </w:tcPr>
          <w:p>
            <w:pPr>
              <w:jc w:val="center"/>
              <w:spacing w:line="360" w:lineRule="auto"/>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二十九</w:t>
            </w:r>
            <w:r/>
          </w:p>
        </w:tc>
        <w:tc>
          <w:tcPr>
            <w:tcMar>
              <w:left w:w="108" w:type="dxa"/>
              <w:top w:w="0" w:type="dxa"/>
              <w:right w:w="108" w:type="dxa"/>
              <w:bottom w:w="0" w:type="dxa"/>
            </w:tcMar>
            <w:tcW w:w="8313" w:type="dxa"/>
            <w:vAlign w:val="top"/>
            <w:textDirection w:val="lrTb"/>
            <w:noWrap w:val="false"/>
          </w:tcPr>
          <w:p>
            <w:pPr>
              <w:spacing w:line="360" w:lineRule="auto"/>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1.评标中需要投标人对投标文件澄清或者说明的，应当通过“苏采云”系统交换数据电文。在评标期间，请投标人保持在线。</w:t>
            </w:r>
            <w:r/>
          </w:p>
          <w:p>
            <w:pPr>
              <w:spacing w:line="360" w:lineRule="auto"/>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2.对于投标文件中含义不明确、同类问题表述不一致或者有明显文字和计算错误的内容，评标委员会通过“苏采云”系统要求投标人作出必要的澄清、说明或者补正，并规定回复时间。</w:t>
            </w:r>
            <w:r/>
          </w:p>
          <w:p>
            <w:pPr>
              <w:spacing w:line="360" w:lineRule="auto"/>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3.投标人的澄清、说明或者补正应当采用通过“苏采云”系统（使用“CA数字证书”，加盖电子签章）形式。投标人没有在规定的回复时间内作出必要的澄清、说明或者补正，评标委员会将认为投标人拒绝作出必要的澄清、说明或者补正，并承担相应的后果和法律责任。</w:t>
            </w:r>
            <w:r/>
          </w:p>
          <w:p>
            <w:pPr>
              <w:spacing w:line="360" w:lineRule="auto"/>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特别说明：“苏采云”系统通过“江苏省政府采购一体化不见面开标大厅”提醒投标人。投标人自行查看，投标人因自身原因不及时查看导致没收到信息，“苏采云”系统不承担任何责任。</w:t>
            </w:r>
            <w:r/>
          </w:p>
        </w:tc>
      </w:tr>
      <w:tr>
        <w:trPr>
          <w:jc w:val="center"/>
          <w:trHeight w:val="3772"/>
        </w:trPr>
        <w:tc>
          <w:tcPr>
            <w:tcMar>
              <w:left w:w="108" w:type="dxa"/>
              <w:top w:w="0" w:type="dxa"/>
              <w:right w:w="108" w:type="dxa"/>
              <w:bottom w:w="0" w:type="dxa"/>
            </w:tcMar>
            <w:tcW w:w="1471" w:type="dxa"/>
            <w:vAlign w:val="top"/>
            <w:textDirection w:val="lrTb"/>
            <w:noWrap w:val="false"/>
          </w:tcPr>
          <w:p>
            <w:pPr>
              <w:jc w:val="center"/>
              <w:spacing w:line="360" w:lineRule="auto"/>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(三十)</w:t>
            </w:r>
            <w:r/>
          </w:p>
        </w:tc>
        <w:tc>
          <w:tcPr>
            <w:tcMar>
              <w:left w:w="108" w:type="dxa"/>
              <w:top w:w="0" w:type="dxa"/>
              <w:right w:w="108" w:type="dxa"/>
              <w:bottom w:w="0" w:type="dxa"/>
            </w:tcMar>
            <w:tcW w:w="8313" w:type="dxa"/>
            <w:vAlign w:val="top"/>
            <w:textDirection w:val="lrTb"/>
            <w:noWrap w:val="false"/>
          </w:tcPr>
          <w:p>
            <w:pPr>
              <w:spacing w:line="360" w:lineRule="auto"/>
              <w:rPr>
                <w:rFonts w:hint="eastAsia" w:ascii="宋体" w:hAnsi="宋体" w:eastAsia="宋体" w:cs="宋体"/>
                <w:color w:val="000000"/>
                <w:sz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评标委员会启动异常低价投标审查的情形和具体要求，包括</w:t>
            </w:r>
            <w:r>
              <w:rPr>
                <w:rFonts w:hint="eastAsia" w:ascii="宋体" w:hAnsi="宋体" w:eastAsia="宋体" w:cs="宋体"/>
                <w:color w:val="000000"/>
                <w:sz w:val="24"/>
                <w:highlight w:val="none"/>
                <w:lang w:eastAsia="zh-CN"/>
              </w:rPr>
              <w:t xml:space="preserve">：</w:t>
            </w:r>
            <w:r/>
          </w:p>
          <w:p>
            <w:pPr>
              <w:spacing w:line="360" w:lineRule="auto"/>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val="en-US" w:eastAsia="zh-CN"/>
              </w:rPr>
              <w:t xml:space="preserve">1、</w:t>
            </w:r>
            <w:r>
              <w:rPr>
                <w:rFonts w:hint="eastAsia" w:ascii="宋体" w:hAnsi="宋体" w:eastAsia="宋体" w:cs="宋体"/>
                <w:color w:val="000000"/>
                <w:sz w:val="24"/>
                <w:highlight w:val="none"/>
              </w:rPr>
              <w:t xml:space="preserve">评审过程中出现下列情形之一的，评审委员会应当启动异常低价投标(响应)审查程序:</w:t>
            </w:r>
            <w:r/>
          </w:p>
          <w:p>
            <w:pPr>
              <w:spacing w:line="360" w:lineRule="auto"/>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val="en-US" w:eastAsia="zh-CN"/>
              </w:rPr>
              <w:t xml:space="preserve">①</w:t>
            </w:r>
            <w:r>
              <w:rPr>
                <w:rFonts w:hint="eastAsia" w:ascii="宋体" w:hAnsi="宋体" w:eastAsia="宋体" w:cs="宋体"/>
                <w:color w:val="000000"/>
                <w:sz w:val="24"/>
                <w:highlight w:val="none"/>
              </w:rPr>
              <w:t xml:space="preserve">投标(响应)报价低于采购项目预算50%的，即投标(响应)报价&lt;采购项目预算×50%；</w:t>
            </w:r>
            <w:r/>
          </w:p>
          <w:p>
            <w:pPr>
              <w:spacing w:line="360" w:lineRule="auto"/>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val="en-US" w:eastAsia="zh-CN"/>
              </w:rPr>
              <w:t xml:space="preserve">②</w:t>
            </w:r>
            <w:r>
              <w:rPr>
                <w:rFonts w:hint="eastAsia" w:ascii="宋体" w:hAnsi="宋体" w:eastAsia="宋体" w:cs="宋体"/>
                <w:color w:val="000000"/>
                <w:sz w:val="24"/>
                <w:highlight w:val="none"/>
              </w:rPr>
              <w:t xml:space="preserve">投标(响应)报价低于采购项目最高限价45%的，即投标(响应)报价&lt;采购项目最高限价×45%；</w:t>
            </w:r>
            <w:r/>
          </w:p>
          <w:p>
            <w:pPr>
              <w:spacing w:line="360" w:lineRule="auto"/>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val="en-US" w:eastAsia="zh-CN"/>
              </w:rPr>
              <w:t xml:space="preserve">③</w:t>
            </w:r>
            <w:r>
              <w:rPr>
                <w:rFonts w:hint="eastAsia" w:ascii="宋体" w:hAnsi="宋体" w:eastAsia="宋体" w:cs="宋体"/>
                <w:color w:val="000000"/>
                <w:sz w:val="24"/>
                <w:highlight w:val="none"/>
              </w:rPr>
              <w:t xml:space="preserve">评审委员会认定的供应商报价过低、有可能影响产品质量或者不能诚信履约的其他情形。</w:t>
            </w:r>
            <w:r/>
          </w:p>
          <w:p>
            <w:pPr>
              <w:spacing w:line="360" w:lineRule="auto"/>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val="en-US" w:eastAsia="zh-CN"/>
              </w:rPr>
              <w:t xml:space="preserve">2、启动异常低</w:t>
            </w:r>
            <w:r>
              <w:rPr>
                <w:rFonts w:hint="eastAsia" w:ascii="宋体" w:hAnsi="宋体" w:eastAsia="宋体" w:cs="宋体"/>
                <w:color w:val="000000"/>
                <w:sz w:val="24"/>
                <w:highlight w:val="none"/>
                <w:lang w:val="en-US" w:eastAsia="zh-CN"/>
              </w:rPr>
              <w:t xml:space="preserve">价投标(响应)审查后，评审委员会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人说明应当采用通过“苏采云”系统(使用“CA数字证书”,加盖电子签章)形式。投标人不提供书面说明、证明材料,或者提供的书面说明、证明材料不能证明其报价合理性的，评标委员会应当将其作为无效投标处理。审查相关情况应当在评标报告中进行记录。</w:t>
            </w:r>
            <w:r/>
          </w:p>
          <w:p>
            <w:pPr>
              <w:spacing w:line="360" w:lineRule="auto"/>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val="en-US" w:eastAsia="zh-CN"/>
              </w:rPr>
              <w:t xml:space="preserve">3、</w:t>
            </w:r>
            <w:r>
              <w:rPr>
                <w:rFonts w:hint="eastAsia" w:ascii="宋体" w:hAnsi="宋体" w:eastAsia="宋体" w:cs="宋体"/>
                <w:color w:val="000000"/>
                <w:sz w:val="24"/>
                <w:highlight w:val="none"/>
              </w:rPr>
              <w:t xml:space="preserve">对报价异常低且经评审委员会启动相关审查机制后仍中标或成交的供应商，采购人要重点关注其履约能力、履约承诺、实际履约情况等。如供应商在中标或成交后无正当理由拒不签订政府采购合同，采购人应将相关情况书面报送同级财政部门，由财政部门依法追究其法律责任；如供应商在签订政府采购合同后不严格履行合同，采购人应按照政府采购合同约定追究供应商违约责任，并将不良履约行为书面报送同级财政部门。</w:t>
            </w:r>
            <w:r/>
          </w:p>
          <w:p>
            <w:pPr>
              <w:spacing w:line="360" w:lineRule="auto"/>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相关内容和要求见：《中华人民共和国政府采购法》、《中华人民共和国政府采购法实施条例》、《省财政厅关于推动解决政府采购异常低价问题相关工作的通知》（苏财购〔2025〕62号）及徐财购（2025）17号文。</w:t>
            </w:r>
            <w:r/>
          </w:p>
        </w:tc>
      </w:tr>
      <w:tr>
        <w:trPr>
          <w:jc w:val="center"/>
          <w:trHeight w:val="242"/>
        </w:trPr>
        <w:tc>
          <w:tcPr>
            <w:tcMar>
              <w:left w:w="108" w:type="dxa"/>
              <w:top w:w="0" w:type="dxa"/>
              <w:right w:w="108" w:type="dxa"/>
              <w:bottom w:w="0" w:type="dxa"/>
            </w:tcMar>
            <w:tcW w:w="1471" w:type="dxa"/>
            <w:vAlign w:val="top"/>
            <w:textDirection w:val="lrTb"/>
            <w:noWrap w:val="false"/>
          </w:tcPr>
          <w:p>
            <w:pPr>
              <w:jc w:val="center"/>
              <w:spacing w:line="360" w:lineRule="auto"/>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七</w:t>
            </w:r>
            <w:r/>
          </w:p>
        </w:tc>
        <w:tc>
          <w:tcPr>
            <w:tcMar>
              <w:left w:w="108" w:type="dxa"/>
              <w:top w:w="0" w:type="dxa"/>
              <w:right w:w="108" w:type="dxa"/>
              <w:bottom w:w="0" w:type="dxa"/>
            </w:tcMar>
            <w:tcW w:w="8313" w:type="dxa"/>
            <w:vAlign w:val="top"/>
            <w:textDirection w:val="lrTb"/>
            <w:noWrap w:val="false"/>
          </w:tcPr>
          <w:p>
            <w:pPr>
              <w:spacing w:line="360" w:lineRule="auto"/>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政府采购合同</w:t>
            </w:r>
            <w:r/>
          </w:p>
        </w:tc>
      </w:tr>
      <w:tr>
        <w:trPr>
          <w:jc w:val="center"/>
        </w:trPr>
        <w:tc>
          <w:tcPr>
            <w:tcMar>
              <w:left w:w="108" w:type="dxa"/>
              <w:top w:w="0" w:type="dxa"/>
              <w:right w:w="108" w:type="dxa"/>
              <w:bottom w:w="0" w:type="dxa"/>
            </w:tcMar>
            <w:tcW w:w="1471" w:type="dxa"/>
            <w:vAlign w:val="top"/>
            <w:textDirection w:val="lrTb"/>
            <w:noWrap w:val="false"/>
          </w:tcPr>
          <w:p>
            <w:pPr>
              <w:jc w:val="center"/>
              <w:spacing w:line="360" w:lineRule="auto"/>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（三十六）</w:t>
            </w:r>
            <w:r/>
          </w:p>
        </w:tc>
        <w:tc>
          <w:tcPr>
            <w:tcMar>
              <w:left w:w="108" w:type="dxa"/>
              <w:top w:w="0" w:type="dxa"/>
              <w:right w:w="108" w:type="dxa"/>
              <w:bottom w:w="0" w:type="dxa"/>
            </w:tcMar>
            <w:tcW w:w="8313" w:type="dxa"/>
            <w:vAlign w:val="center"/>
            <w:textDirection w:val="lrTb"/>
            <w:noWrap w:val="false"/>
          </w:tcPr>
          <w:p>
            <w:pPr>
              <w:spacing w:line="360" w:lineRule="auto"/>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采购人与中标，成交供应商应当在中标，成交通知书发出之日起30日内，按照采购文件确定的事项签订政府采购合同。</w:t>
            </w:r>
            <w:r/>
          </w:p>
        </w:tc>
      </w:tr>
      <w:tr>
        <w:trPr>
          <w:jc w:val="center"/>
          <w:trHeight w:val="90"/>
        </w:trPr>
        <w:tc>
          <w:tcPr>
            <w:tcMar>
              <w:left w:w="108" w:type="dxa"/>
              <w:top w:w="0" w:type="dxa"/>
              <w:right w:w="108" w:type="dxa"/>
              <w:bottom w:w="0" w:type="dxa"/>
            </w:tcMar>
            <w:tcW w:w="1471" w:type="dxa"/>
            <w:vAlign w:val="top"/>
            <w:textDirection w:val="lrTb"/>
            <w:noWrap w:val="false"/>
          </w:tcPr>
          <w:p>
            <w:pPr>
              <w:jc w:val="center"/>
              <w:spacing w:line="360" w:lineRule="auto"/>
              <w:rPr>
                <w:rFonts w:hint="eastAsia" w:ascii="宋体" w:hAnsi="宋体" w:eastAsia="宋体" w:cs="宋体"/>
                <w:b/>
                <w:bCs/>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（三十八）</w:t>
            </w:r>
            <w:r/>
          </w:p>
        </w:tc>
        <w:tc>
          <w:tcPr>
            <w:tcMar>
              <w:left w:w="108" w:type="dxa"/>
              <w:top w:w="0" w:type="dxa"/>
              <w:right w:w="108" w:type="dxa"/>
              <w:bottom w:w="0" w:type="dxa"/>
            </w:tcMar>
            <w:tcW w:w="8313" w:type="dxa"/>
            <w:vAlign w:val="center"/>
            <w:textDirection w:val="lrTb"/>
            <w:noWrap w:val="false"/>
          </w:tcPr>
          <w:p>
            <w:pPr>
              <w:spacing w:line="360" w:lineRule="auto"/>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履约保证金：</w:t>
            </w:r>
            <w:r>
              <w:rPr>
                <w:rFonts w:hint="eastAsia" w:ascii="宋体" w:hAnsi="宋体" w:cs="宋体"/>
                <w:color w:val="000000"/>
                <w:sz w:val="24"/>
                <w:highlight w:val="none"/>
                <w:lang w:val="en-US" w:eastAsia="zh-CN"/>
              </w:rPr>
              <w:t xml:space="preserve">无</w:t>
            </w:r>
            <w:r>
              <w:rPr>
                <w:rFonts w:hint="eastAsia" w:ascii="宋体" w:hAnsi="宋体" w:eastAsia="宋体" w:cs="宋体"/>
                <w:color w:val="000000"/>
                <w:sz w:val="24"/>
                <w:highlight w:val="none"/>
              </w:rPr>
              <w:t xml:space="preserve">。</w:t>
            </w:r>
            <w:r/>
          </w:p>
        </w:tc>
      </w:tr>
      <w:tr>
        <w:trPr>
          <w:jc w:val="center"/>
          <w:trHeight w:val="2053"/>
        </w:trPr>
        <w:tc>
          <w:tcPr>
            <w:tcMar>
              <w:left w:w="108" w:type="dxa"/>
              <w:top w:w="0" w:type="dxa"/>
              <w:right w:w="108" w:type="dxa"/>
              <w:bottom w:w="0" w:type="dxa"/>
            </w:tcMar>
            <w:tcW w:w="1471" w:type="dxa"/>
            <w:vAlign w:val="top"/>
            <w:textDirection w:val="lrTb"/>
            <w:noWrap w:val="false"/>
          </w:tcPr>
          <w:p>
            <w:pPr>
              <w:jc w:val="center"/>
              <w:spacing w:line="360" w:lineRule="auto"/>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（四十）</w:t>
            </w:r>
            <w:r/>
          </w:p>
        </w:tc>
        <w:tc>
          <w:tcPr>
            <w:tcMar>
              <w:left w:w="108" w:type="dxa"/>
              <w:top w:w="0" w:type="dxa"/>
              <w:right w:w="108" w:type="dxa"/>
              <w:bottom w:w="0" w:type="dxa"/>
            </w:tcMar>
            <w:tcW w:w="8313" w:type="dxa"/>
            <w:vAlign w:val="top"/>
            <w:textDirection w:val="lrTb"/>
            <w:noWrap w:val="false"/>
          </w:tcPr>
          <w:p>
            <w:pPr>
              <w:spacing w:line="360" w:lineRule="auto"/>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供应商对政府采购活动事项有疑问的，可以向采购人或采购代理机构提出询问；供应商认为采购文件、采购过程和中标、成交结果使自己的权益受到损害的，可以在知道或者应知其权益受到损害之日起七个工作日内，以书面形式向采购人或采购代理机构提出质疑。询问和质疑由采购人或采购代理机构依法处理。供应商对同一采购程序环节的质疑应在质疑期内一次性提出。</w:t>
            </w:r>
            <w:r/>
          </w:p>
          <w:p>
            <w:pPr>
              <w:spacing w:line="360" w:lineRule="auto"/>
              <w:rPr>
                <w:rFonts w:hint="eastAsia" w:ascii="宋体" w:hAnsi="宋体" w:eastAsia="宋体" w:cs="宋体"/>
                <w:color w:val="000000"/>
                <w:sz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质疑接收人：</w:t>
            </w:r>
            <w:r>
              <w:rPr>
                <w:rFonts w:hint="eastAsia" w:ascii="宋体" w:hAnsi="宋体" w:cs="宋体"/>
                <w:color w:val="000000"/>
                <w:sz w:val="24"/>
                <w:highlight w:val="none"/>
                <w:lang w:eastAsia="zh-CN"/>
              </w:rPr>
              <w:t xml:space="preserve">燕宏伟</w:t>
            </w:r>
            <w:r>
              <w:rPr>
                <w:rFonts w:hint="eastAsia" w:ascii="宋体" w:hAnsi="宋体" w:eastAsia="宋体" w:cs="宋体"/>
                <w:color w:val="000000"/>
                <w:sz w:val="24"/>
                <w:highlight w:val="none"/>
              </w:rPr>
              <w:t xml:space="preserve">      联系电话：</w:t>
            </w:r>
            <w:r>
              <w:rPr>
                <w:rFonts w:hint="eastAsia" w:ascii="宋体" w:hAnsi="宋体" w:cs="宋体"/>
                <w:color w:val="000000"/>
                <w:sz w:val="24"/>
                <w:highlight w:val="none"/>
                <w:lang w:eastAsia="zh-CN"/>
              </w:rPr>
              <w:t xml:space="preserve">17751965233</w:t>
            </w:r>
            <w:r/>
          </w:p>
          <w:p>
            <w:pPr>
              <w:spacing w:line="360" w:lineRule="auto"/>
              <w:rPr>
                <w:rFonts w:hint="eastAsia" w:ascii="宋体" w:hAnsi="宋体" w:eastAsia="宋体" w:cs="宋体"/>
                <w:color w:val="000000"/>
                <w:sz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地址：</w:t>
            </w:r>
            <w:r>
              <w:rPr>
                <w:rFonts w:hint="eastAsia" w:ascii="宋体" w:hAnsi="宋体" w:cs="宋体"/>
                <w:color w:val="000000"/>
                <w:sz w:val="24"/>
                <w:highlight w:val="none"/>
                <w:lang w:eastAsia="zh-CN"/>
              </w:rPr>
              <w:t xml:space="preserve">江苏省徐州市云龙区世茂商业外街A3-7-1272室</w:t>
            </w:r>
            <w:r/>
          </w:p>
        </w:tc>
      </w:tr>
      <w:tr>
        <w:trPr>
          <w:jc w:val="center"/>
        </w:trPr>
        <w:tc>
          <w:tcPr>
            <w:tcMar>
              <w:left w:w="108" w:type="dxa"/>
              <w:top w:w="0" w:type="dxa"/>
              <w:right w:w="108" w:type="dxa"/>
              <w:bottom w:w="0" w:type="dxa"/>
            </w:tcMar>
            <w:tcW w:w="1471" w:type="dxa"/>
            <w:vAlign w:val="top"/>
            <w:vMerge w:val="restart"/>
            <w:textDirection w:val="lrTb"/>
            <w:noWrap w:val="false"/>
          </w:tcPr>
          <w:p>
            <w:pPr>
              <w:jc w:val="center"/>
              <w:spacing w:line="360" w:lineRule="auto"/>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附加说明</w:t>
            </w:r>
            <w:r/>
          </w:p>
        </w:tc>
        <w:tc>
          <w:tcPr>
            <w:tcMar>
              <w:left w:w="108" w:type="dxa"/>
              <w:top w:w="0" w:type="dxa"/>
              <w:right w:w="108" w:type="dxa"/>
              <w:bottom w:w="0" w:type="dxa"/>
            </w:tcMar>
            <w:tcW w:w="8313" w:type="dxa"/>
            <w:vAlign w:val="top"/>
            <w:textDirection w:val="lrTb"/>
            <w:noWrap w:val="false"/>
          </w:tcPr>
          <w:p>
            <w:pPr>
              <w:spacing w:line="360" w:lineRule="auto"/>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中标人在收到中标通知书时，须向采购人和采购代理机构提交《开标一览表》和《分项价格表》的数据文件（WORD格式）。</w:t>
            </w:r>
            <w:r/>
          </w:p>
        </w:tc>
      </w:tr>
      <w:tr>
        <w:trPr>
          <w:jc w:val="center"/>
        </w:trPr>
        <w:tc>
          <w:tcPr>
            <w:tcMar>
              <w:left w:w="108" w:type="dxa"/>
              <w:top w:w="0" w:type="dxa"/>
              <w:right w:w="108" w:type="dxa"/>
              <w:bottom w:w="0" w:type="dxa"/>
            </w:tcMar>
            <w:tcW w:w="1471" w:type="dxa"/>
            <w:vAlign w:val="top"/>
            <w:vMerge w:val="continue"/>
            <w:textDirection w:val="lrTb"/>
            <w:noWrap w:val="false"/>
          </w:tcPr>
          <w:p>
            <w:pPr>
              <w:jc w:val="center"/>
              <w:spacing w:line="360" w:lineRule="auto"/>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r>
            <w:r/>
          </w:p>
        </w:tc>
        <w:tc>
          <w:tcPr>
            <w:tcMar>
              <w:left w:w="108" w:type="dxa"/>
              <w:top w:w="0" w:type="dxa"/>
              <w:right w:w="108" w:type="dxa"/>
              <w:bottom w:w="0" w:type="dxa"/>
            </w:tcMar>
            <w:tcW w:w="8313" w:type="dxa"/>
            <w:vAlign w:val="top"/>
            <w:textDirection w:val="lrTb"/>
            <w:noWrap w:val="false"/>
          </w:tcPr>
          <w:p>
            <w:pPr>
              <w:spacing w:line="360" w:lineRule="auto"/>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1.评标中需要投标人对投标文件澄清或者说明的，应当通过“苏采云”系统交换数据电文。在评标期间，请投标人保持在线。</w:t>
            </w:r>
            <w:r/>
          </w:p>
          <w:p>
            <w:pPr>
              <w:spacing w:line="360" w:lineRule="auto"/>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2.对于投标文件中含义不明确、同类问题表述不一致或者有明显文字和计算错误的内容，评审委员会通过“苏采云”系统要求投标人作出必要的澄清、说明或者补正，并规定回复时间。</w:t>
            </w:r>
            <w:r/>
          </w:p>
          <w:p>
            <w:pPr>
              <w:spacing w:line="360" w:lineRule="auto"/>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3.投标人的澄清、说明或者补正应当采用通过“苏采云”系统（使用“CA数字证书”，加盖电子签章）形式。投标人没有在规定的回复时间内作出必要的澄清、说明或者补正，评审委员会将认为投标人拒绝作出必要的澄清、说明或者补正，并承担相应的后果和法律责任。</w:t>
            </w:r>
            <w:r/>
          </w:p>
          <w:p>
            <w:pPr>
              <w:spacing w:line="360" w:lineRule="auto"/>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特别说明：“苏采云”系统通过“江苏省政府采购一体化不见面开标大厅”提醒投标人。投标人自行查看，投标人因自身原因不及时查看导致没收到信息，“苏采云”系统不承担任何责任。</w:t>
            </w:r>
            <w:r/>
          </w:p>
        </w:tc>
      </w:tr>
    </w:tbl>
    <w:p>
      <w:pPr>
        <w:ind w:firstLine="600"/>
        <w:spacing w:line="239" w:lineRule="atLeast"/>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p>
      <w:pPr>
        <w:ind w:firstLine="600"/>
        <w:spacing w:line="239" w:lineRule="atLeast"/>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p>
      <w:pPr>
        <w:ind w:firstLine="600"/>
        <w:spacing w:line="519" w:lineRule="atLeast"/>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74" w:right="1474" w:bottom="1474" w:left="1474" w:header="851" w:footer="992" w:gutter="0"/>
          <w:pgNumType w:start="1"/>
          <w:cols w:num="1" w:sep="0" w:space="1701" w:equalWidth="1"/>
          <w:docGrid w:linePitch="360"/>
        </w:sectPr>
      </w:pPr>
      <w:r>
        <w:rPr>
          <w:rFonts w:hint="eastAsia" w:ascii="宋体" w:hAnsi="宋体" w:eastAsia="宋体" w:cs="宋体"/>
          <w:color w:val="000000"/>
          <w:sz w:val="24"/>
          <w:highlight w:val="none"/>
        </w:rPr>
      </w:r>
      <w:r/>
    </w:p>
    <w:p>
      <w:pPr>
        <w:spacing w:line="360" w:lineRule="auto"/>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本章附件：</w:t>
      </w:r>
      <w:r>
        <w:rPr>
          <w:rFonts w:hint="eastAsia" w:ascii="宋体" w:hAnsi="宋体" w:eastAsia="宋体" w:cs="宋体"/>
          <w:b/>
          <w:color w:val="000000"/>
          <w:sz w:val="24"/>
          <w:highlight w:val="none"/>
        </w:rPr>
        <w:t xml:space="preserve">招标代理服务收费标准</w:t>
      </w:r>
      <w:r/>
    </w:p>
    <w:tbl>
      <w:tblPr>
        <w:tblStyle w:val="739"/>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266"/>
        <w:gridCol w:w="2853"/>
      </w:tblGrid>
      <w:tr>
        <w:trPr>
          <w:jc w:val="center"/>
          <w:trHeight w:val="567"/>
        </w:trPr>
        <w:tc>
          <w:tcPr>
            <w:tcW w:w="5266" w:type="dxa"/>
            <w:vAlign w:val="center"/>
            <w:textDirection w:val="lrTb"/>
            <w:noWrap w:val="false"/>
          </w:tcPr>
          <w:p>
            <w:pPr>
              <w:jc w:val="center"/>
              <w:spacing w:line="400" w:lineRule="exact"/>
              <w:rPr>
                <w:rFonts w:hint="eastAsia" w:ascii="宋体" w:hAnsi="宋体" w:eastAsia="宋体" w:cs="宋体"/>
                <w:b/>
                <w:bCs/>
                <w:color w:val="000000"/>
                <w:sz w:val="28"/>
                <w:szCs w:val="28"/>
                <w:highlight w:val="none"/>
              </w:rPr>
            </w:pPr>
            <w:r>
              <w:rPr>
                <w:rFonts w:hint="eastAsia" w:ascii="宋体" w:hAnsi="宋体" w:eastAsia="宋体" w:cs="宋体"/>
                <w:b/>
                <w:bCs/>
                <w:color w:val="000000"/>
                <w:sz w:val="28"/>
                <w:szCs w:val="28"/>
                <w:highlight w:val="none"/>
              </w:rPr>
              <w:t xml:space="preserve">中标或者成交金额</w:t>
            </w:r>
            <w:r/>
          </w:p>
        </w:tc>
        <w:tc>
          <w:tcPr>
            <w:tcW w:w="2853" w:type="dxa"/>
            <w:vAlign w:val="center"/>
            <w:textDirection w:val="lrTb"/>
            <w:noWrap w:val="false"/>
          </w:tcPr>
          <w:p>
            <w:pPr>
              <w:jc w:val="center"/>
              <w:spacing w:line="400" w:lineRule="exact"/>
              <w:rPr>
                <w:rFonts w:hint="eastAsia" w:ascii="宋体" w:hAnsi="宋体" w:eastAsia="宋体" w:cs="宋体"/>
                <w:b/>
                <w:bCs/>
                <w:color w:val="000000"/>
                <w:sz w:val="28"/>
                <w:szCs w:val="28"/>
                <w:highlight w:val="none"/>
              </w:rPr>
            </w:pPr>
            <w:r>
              <w:rPr>
                <w:rFonts w:hint="eastAsia" w:ascii="宋体" w:hAnsi="宋体" w:eastAsia="宋体" w:cs="宋体"/>
                <w:b/>
                <w:bCs/>
                <w:color w:val="000000"/>
                <w:sz w:val="28"/>
                <w:szCs w:val="28"/>
                <w:highlight w:val="none"/>
              </w:rPr>
              <w:t xml:space="preserve">费率</w:t>
            </w:r>
            <w:r/>
          </w:p>
        </w:tc>
      </w:tr>
      <w:tr>
        <w:trPr>
          <w:jc w:val="center"/>
          <w:trHeight w:val="567"/>
        </w:trPr>
        <w:tc>
          <w:tcPr>
            <w:tcW w:w="5266" w:type="dxa"/>
            <w:vAlign w:val="center"/>
            <w:textDirection w:val="lrTb"/>
            <w:noWrap w:val="false"/>
          </w:tcPr>
          <w:p>
            <w:pPr>
              <w:jc w:val="center"/>
              <w:spacing w:line="4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最低收费金额（每个委托项目）</w:t>
            </w:r>
            <w:r/>
          </w:p>
        </w:tc>
        <w:tc>
          <w:tcPr>
            <w:tcW w:w="2853" w:type="dxa"/>
            <w:vAlign w:val="center"/>
            <w:textDirection w:val="lrTb"/>
            <w:noWrap w:val="false"/>
          </w:tcPr>
          <w:p>
            <w:pPr>
              <w:jc w:val="center"/>
              <w:spacing w:line="4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5000元</w:t>
            </w:r>
            <w:r/>
          </w:p>
        </w:tc>
      </w:tr>
      <w:tr>
        <w:trPr>
          <w:jc w:val="center"/>
          <w:trHeight w:val="567"/>
        </w:trPr>
        <w:tc>
          <w:tcPr>
            <w:tcW w:w="5266" w:type="dxa"/>
            <w:vAlign w:val="center"/>
            <w:textDirection w:val="lrTb"/>
            <w:noWrap w:val="false"/>
          </w:tcPr>
          <w:p>
            <w:pPr>
              <w:jc w:val="center"/>
              <w:spacing w:line="4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50万元以下（含50万元）</w:t>
            </w:r>
            <w:r/>
          </w:p>
        </w:tc>
        <w:tc>
          <w:tcPr>
            <w:tcW w:w="2853" w:type="dxa"/>
            <w:vAlign w:val="center"/>
            <w:textDirection w:val="lrTb"/>
            <w:noWrap w:val="false"/>
          </w:tcPr>
          <w:p>
            <w:pPr>
              <w:jc w:val="center"/>
              <w:spacing w:line="4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1.6%</w:t>
            </w:r>
            <w:r/>
          </w:p>
        </w:tc>
      </w:tr>
      <w:tr>
        <w:trPr>
          <w:jc w:val="center"/>
          <w:trHeight w:val="567"/>
        </w:trPr>
        <w:tc>
          <w:tcPr>
            <w:tcW w:w="5266" w:type="dxa"/>
            <w:vAlign w:val="center"/>
            <w:textDirection w:val="lrTb"/>
            <w:noWrap w:val="false"/>
          </w:tcPr>
          <w:p>
            <w:pPr>
              <w:jc w:val="center"/>
              <w:spacing w:line="4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50万-400万元（含400万元）</w:t>
            </w:r>
            <w:r/>
          </w:p>
        </w:tc>
        <w:tc>
          <w:tcPr>
            <w:tcW w:w="2853" w:type="dxa"/>
            <w:vAlign w:val="center"/>
            <w:textDirection w:val="lrTb"/>
            <w:noWrap w:val="false"/>
          </w:tcPr>
          <w:p>
            <w:pPr>
              <w:jc w:val="center"/>
              <w:spacing w:line="4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1.5%</w:t>
            </w:r>
            <w:r/>
          </w:p>
        </w:tc>
      </w:tr>
      <w:tr>
        <w:trPr>
          <w:jc w:val="center"/>
          <w:trHeight w:val="567"/>
        </w:trPr>
        <w:tc>
          <w:tcPr>
            <w:tcW w:w="5266" w:type="dxa"/>
            <w:vAlign w:val="center"/>
            <w:textDirection w:val="lrTb"/>
            <w:noWrap w:val="false"/>
          </w:tcPr>
          <w:p>
            <w:pPr>
              <w:jc w:val="center"/>
              <w:spacing w:line="4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400万-1000万元（含1000万元）</w:t>
            </w:r>
            <w:r/>
          </w:p>
        </w:tc>
        <w:tc>
          <w:tcPr>
            <w:tcW w:w="2853" w:type="dxa"/>
            <w:vAlign w:val="center"/>
            <w:textDirection w:val="lrTb"/>
            <w:noWrap w:val="false"/>
          </w:tcPr>
          <w:p>
            <w:pPr>
              <w:jc w:val="center"/>
              <w:spacing w:line="4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1.1%</w:t>
            </w:r>
            <w:r/>
          </w:p>
        </w:tc>
      </w:tr>
      <w:tr>
        <w:trPr>
          <w:jc w:val="center"/>
          <w:trHeight w:val="567"/>
        </w:trPr>
        <w:tc>
          <w:tcPr>
            <w:tcW w:w="5266" w:type="dxa"/>
            <w:vAlign w:val="center"/>
            <w:textDirection w:val="lrTb"/>
            <w:noWrap w:val="false"/>
          </w:tcPr>
          <w:p>
            <w:pPr>
              <w:jc w:val="center"/>
              <w:spacing w:line="4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1000万-5000万元（含5000万元）</w:t>
            </w:r>
            <w:r/>
          </w:p>
        </w:tc>
        <w:tc>
          <w:tcPr>
            <w:tcW w:w="2853" w:type="dxa"/>
            <w:vAlign w:val="center"/>
            <w:textDirection w:val="lrTb"/>
            <w:noWrap w:val="false"/>
          </w:tcPr>
          <w:p>
            <w:pPr>
              <w:jc w:val="center"/>
              <w:spacing w:line="4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0.8%</w:t>
            </w:r>
            <w:r/>
          </w:p>
        </w:tc>
      </w:tr>
      <w:tr>
        <w:trPr>
          <w:jc w:val="center"/>
          <w:trHeight w:val="567"/>
        </w:trPr>
        <w:tc>
          <w:tcPr>
            <w:tcW w:w="5266" w:type="dxa"/>
            <w:vAlign w:val="center"/>
            <w:textDirection w:val="lrTb"/>
            <w:noWrap w:val="false"/>
          </w:tcPr>
          <w:p>
            <w:pPr>
              <w:jc w:val="center"/>
              <w:spacing w:line="4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5000万-1亿元（含1亿元）</w:t>
            </w:r>
            <w:r/>
          </w:p>
        </w:tc>
        <w:tc>
          <w:tcPr>
            <w:tcW w:w="2853" w:type="dxa"/>
            <w:vAlign w:val="center"/>
            <w:textDirection w:val="lrTb"/>
            <w:noWrap w:val="false"/>
          </w:tcPr>
          <w:p>
            <w:pPr>
              <w:jc w:val="center"/>
              <w:spacing w:line="4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0.25%</w:t>
            </w:r>
            <w:r/>
          </w:p>
        </w:tc>
      </w:tr>
      <w:tr>
        <w:trPr>
          <w:jc w:val="center"/>
          <w:trHeight w:val="567"/>
        </w:trPr>
        <w:tc>
          <w:tcPr>
            <w:tcW w:w="5266" w:type="dxa"/>
            <w:vAlign w:val="center"/>
            <w:textDirection w:val="lrTb"/>
            <w:noWrap w:val="false"/>
          </w:tcPr>
          <w:p>
            <w:pPr>
              <w:jc w:val="center"/>
              <w:spacing w:line="4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1亿-10亿元（含10亿元）</w:t>
            </w:r>
            <w:r/>
          </w:p>
        </w:tc>
        <w:tc>
          <w:tcPr>
            <w:tcW w:w="2853" w:type="dxa"/>
            <w:vAlign w:val="center"/>
            <w:textDirection w:val="lrTb"/>
            <w:noWrap w:val="false"/>
          </w:tcPr>
          <w:p>
            <w:pPr>
              <w:jc w:val="center"/>
              <w:spacing w:line="4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0.05%</w:t>
            </w:r>
            <w:r/>
          </w:p>
        </w:tc>
      </w:tr>
      <w:tr>
        <w:trPr>
          <w:jc w:val="center"/>
          <w:trHeight w:val="567"/>
        </w:trPr>
        <w:tc>
          <w:tcPr>
            <w:tcW w:w="5266" w:type="dxa"/>
            <w:vAlign w:val="center"/>
            <w:textDirection w:val="lrTb"/>
            <w:noWrap w:val="false"/>
          </w:tcPr>
          <w:p>
            <w:pPr>
              <w:jc w:val="center"/>
              <w:spacing w:line="4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10亿-50亿元（含50亿元）</w:t>
            </w:r>
            <w:r/>
          </w:p>
        </w:tc>
        <w:tc>
          <w:tcPr>
            <w:tcW w:w="2853" w:type="dxa"/>
            <w:vAlign w:val="center"/>
            <w:textDirection w:val="lrTb"/>
            <w:noWrap w:val="false"/>
          </w:tcPr>
          <w:p>
            <w:pPr>
              <w:jc w:val="center"/>
              <w:spacing w:line="4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0.01%</w:t>
            </w:r>
            <w:r/>
          </w:p>
        </w:tc>
      </w:tr>
      <w:tr>
        <w:trPr>
          <w:jc w:val="center"/>
          <w:trHeight w:val="567"/>
        </w:trPr>
        <w:tc>
          <w:tcPr>
            <w:tcW w:w="5266" w:type="dxa"/>
            <w:vAlign w:val="center"/>
            <w:textDirection w:val="lrTb"/>
            <w:noWrap w:val="false"/>
          </w:tcPr>
          <w:p>
            <w:pPr>
              <w:jc w:val="center"/>
              <w:spacing w:line="4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50亿元以上</w:t>
            </w:r>
            <w:r/>
          </w:p>
        </w:tc>
        <w:tc>
          <w:tcPr>
            <w:tcW w:w="2853" w:type="dxa"/>
            <w:vAlign w:val="center"/>
            <w:textDirection w:val="lrTb"/>
            <w:noWrap w:val="false"/>
          </w:tcPr>
          <w:p>
            <w:pPr>
              <w:jc w:val="center"/>
              <w:spacing w:line="4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0.005%</w:t>
            </w:r>
            <w:r/>
          </w:p>
        </w:tc>
      </w:tr>
    </w:tbl>
    <w:p>
      <w:pPr>
        <w:spacing w:line="276" w:lineRule="auto"/>
        <w:rPr>
          <w:rFonts w:hint="eastAsia" w:ascii="宋体" w:hAnsi="宋体" w:eastAsia="宋体" w:cs="宋体"/>
          <w:b/>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highlight w:val="none"/>
        </w:rPr>
        <w:t xml:space="preserve">说明：</w:t>
      </w:r>
      <w:r/>
    </w:p>
    <w:p>
      <w:pPr>
        <w:ind w:firstLine="720"/>
        <w:spacing w:line="4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1.按上表计算的收费为代理服务全过程的收费金额。各社会代理机构不再收取采购文件制作售卖费用。</w:t>
      </w:r>
      <w:r/>
    </w:p>
    <w:p>
      <w:pPr>
        <w:ind w:firstLine="720"/>
        <w:spacing w:line="4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2.代理服务费按差额定率累进法计算。</w:t>
      </w:r>
      <w:r/>
    </w:p>
    <w:p>
      <w:pPr>
        <w:ind w:firstLine="720"/>
        <w:spacing w:line="4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3.代理服务费基准金额（按差额定率累进法计算的）=中标金额（按差额定率累进法计算的） * 费率（%）。</w:t>
      </w:r>
      <w:r/>
    </w:p>
    <w:p>
      <w:pPr>
        <w:ind w:firstLine="720"/>
        <w:spacing w:line="4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4.代理服务费应收取金额=代理服务费基准金额（按差额定率累进法计算的）的合计数。</w:t>
      </w:r>
      <w:r/>
    </w:p>
    <w:p>
      <w:pPr>
        <w:ind w:firstLine="720"/>
        <w:spacing w:line="4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5.定点类等无金额或事先不能计算出价格总额的项目，按中标（成交）金额100万元计算服务费。</w:t>
      </w:r>
      <w:r/>
    </w:p>
    <w:p>
      <w:pPr>
        <w:ind w:firstLine="720"/>
        <w:spacing w:line="4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6.有分包（分标段）的以一个项目计算。</w:t>
      </w:r>
      <w:r/>
    </w:p>
    <w:p>
      <w:pPr>
        <w:rPr>
          <w:rFonts w:hint="eastAsia" w:ascii="宋体" w:hAnsi="宋体" w:eastAsia="宋体" w:cs="宋体"/>
          <w:b/>
          <w:color w:val="000000"/>
          <w:sz w:val="30"/>
          <w:highlight w:val="none"/>
        </w:rPr>
      </w:pPr>
      <w:r>
        <w:rPr>
          <w:rFonts w:hint="eastAsia" w:ascii="宋体" w:hAnsi="宋体" w:eastAsia="宋体" w:cs="宋体"/>
          <w:b/>
          <w:color w:val="000000"/>
          <w:sz w:val="30"/>
          <w:highlight w:val="none"/>
        </w:rPr>
      </w:r>
      <w:r/>
    </w:p>
    <w:p>
      <w:pPr>
        <w:rPr>
          <w:rFonts w:hint="eastAsia" w:ascii="宋体" w:hAnsi="宋体" w:eastAsia="宋体" w:cs="宋体"/>
          <w:b/>
          <w:color w:val="000000"/>
          <w:sz w:val="30"/>
          <w:highlight w:val="none"/>
        </w:rPr>
      </w:pPr>
      <w:r>
        <w:rPr>
          <w:rFonts w:hint="eastAsia" w:ascii="宋体" w:hAnsi="宋体" w:eastAsia="宋体" w:cs="宋体"/>
          <w:b/>
          <w:color w:val="000000"/>
          <w:sz w:val="30"/>
          <w:highlight w:val="none"/>
        </w:rPr>
      </w:r>
      <w:r/>
    </w:p>
    <w:p>
      <w:pPr>
        <w:rPr>
          <w:rFonts w:hint="eastAsia" w:ascii="宋体" w:hAnsi="宋体" w:eastAsia="宋体" w:cs="宋体"/>
          <w:b/>
          <w:color w:val="000000"/>
          <w:sz w:val="30"/>
          <w:highlight w:val="none"/>
        </w:rPr>
      </w:pPr>
      <w:r>
        <w:rPr>
          <w:rFonts w:hint="eastAsia" w:ascii="宋体" w:hAnsi="宋体" w:eastAsia="宋体" w:cs="宋体"/>
          <w:b/>
          <w:color w:val="000000"/>
          <w:sz w:val="30"/>
          <w:highlight w:val="none"/>
        </w:rPr>
      </w:r>
      <w:r/>
    </w:p>
    <w:p>
      <w:pPr>
        <w:jc w:val="center"/>
        <w:spacing w:line="360" w:lineRule="auto"/>
        <w:rPr>
          <w:rFonts w:hint="eastAsia" w:ascii="宋体" w:hAnsi="宋体" w:eastAsia="宋体" w:cs="宋体"/>
          <w:b/>
          <w:color w:val="000000"/>
          <w:sz w:val="3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0"/>
          <w:highlight w:val="none"/>
        </w:rPr>
      </w:r>
      <w:r/>
    </w:p>
    <w:p>
      <w:pPr>
        <w:jc w:val="center"/>
        <w:spacing w:line="360" w:lineRule="auto"/>
        <w:rPr>
          <w:rFonts w:hint="eastAsia" w:ascii="宋体" w:hAnsi="宋体" w:eastAsia="宋体" w:cs="宋体"/>
          <w:b/>
          <w:color w:val="000000"/>
          <w:sz w:val="3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0"/>
          <w:highlight w:val="none"/>
        </w:rPr>
      </w:r>
      <w:r/>
    </w:p>
    <w:p>
      <w:pPr>
        <w:jc w:val="center"/>
        <w:spacing w:line="360" w:lineRule="auto"/>
        <w:rPr>
          <w:rFonts w:hint="eastAsia" w:ascii="宋体" w:hAnsi="宋体" w:eastAsia="宋体" w:cs="宋体"/>
          <w:b/>
          <w:color w:val="000000"/>
          <w:sz w:val="3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0"/>
          <w:highlight w:val="none"/>
        </w:rPr>
      </w:r>
      <w:r/>
    </w:p>
    <w:p>
      <w:pPr>
        <w:jc w:val="center"/>
        <w:spacing w:line="360" w:lineRule="auto"/>
        <w:rPr>
          <w:rFonts w:hint="eastAsia" w:ascii="宋体" w:hAnsi="宋体" w:eastAsia="宋体" w:cs="宋体"/>
          <w:b/>
          <w:color w:val="000000"/>
          <w:sz w:val="3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0"/>
          <w:highlight w:val="none"/>
        </w:rPr>
      </w:r>
      <w:r/>
    </w:p>
    <w:p>
      <w:pPr>
        <w:jc w:val="center"/>
        <w:spacing w:line="360" w:lineRule="auto"/>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0"/>
          <w:highlight w:val="none"/>
        </w:rPr>
        <w:t xml:space="preserve">第四章 评标标准</w:t>
      </w:r>
      <w:r/>
    </w:p>
    <w:tbl>
      <w:tblPr>
        <w:tblStyle w:val="739"/>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1421"/>
        <w:gridCol w:w="7818"/>
      </w:tblGrid>
      <w:tr>
        <w:trPr>
          <w:jc w:val="center"/>
          <w:trHeight w:val="397"/>
        </w:trPr>
        <w:tc>
          <w:tcPr>
            <w:shd w:val="clear" w:color="auto" w:fill="auto"/>
            <w:tcW w:w="1421" w:type="dxa"/>
            <w:vAlign w:val="center"/>
            <w:textDirection w:val="lrTb"/>
            <w:noWrap w:val="false"/>
          </w:tcPr>
          <w:p>
            <w:pPr>
              <w:jc w:val="center"/>
              <w:rPr>
                <w:rFonts w:hint="eastAsia" w:ascii="宋体" w:hAnsi="宋体" w:eastAsia="宋体" w:cs="宋体"/>
                <w:b/>
                <w:bCs/>
                <w:sz w:val="24"/>
                <w:szCs w:val="24"/>
              </w:rPr>
            </w:pPr>
            <w:r>
              <w:rPr>
                <w:rFonts w:hint="eastAsia" w:ascii="宋体" w:hAnsi="宋体" w:eastAsia="宋体" w:cs="宋体"/>
                <w:b/>
                <w:bCs/>
                <w:sz w:val="24"/>
                <w:szCs w:val="24"/>
              </w:rPr>
              <w:t xml:space="preserve">评分内容</w:t>
            </w:r>
            <w:r/>
          </w:p>
        </w:tc>
        <w:tc>
          <w:tcPr>
            <w:shd w:val="clear" w:color="auto" w:fill="auto"/>
            <w:tcW w:w="7818" w:type="dxa"/>
            <w:vAlign w:val="center"/>
            <w:textDirection w:val="lrTb"/>
            <w:noWrap w:val="false"/>
          </w:tcPr>
          <w:p>
            <w:pPr>
              <w:jc w:val="center"/>
              <w:rPr>
                <w:rFonts w:hint="eastAsia" w:ascii="宋体" w:hAnsi="宋体" w:eastAsia="宋体" w:cs="宋体"/>
                <w:b/>
                <w:bCs/>
                <w:sz w:val="24"/>
                <w:szCs w:val="24"/>
              </w:rPr>
            </w:pPr>
            <w:r>
              <w:rPr>
                <w:rFonts w:hint="eastAsia" w:ascii="宋体" w:hAnsi="宋体" w:eastAsia="宋体" w:cs="宋体"/>
                <w:b/>
                <w:bCs/>
                <w:sz w:val="24"/>
                <w:szCs w:val="24"/>
              </w:rPr>
              <w:t xml:space="preserve">评分细则</w:t>
            </w:r>
            <w:r/>
          </w:p>
        </w:tc>
      </w:tr>
      <w:tr>
        <w:trPr>
          <w:jc w:val="center"/>
          <w:trHeight w:val="858"/>
        </w:trPr>
        <w:tc>
          <w:tcPr>
            <w:shd w:val="clear" w:color="auto" w:fill="auto"/>
            <w:tcW w:w="1421"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投标报价</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 xml:space="preserve">（</w:t>
            </w:r>
            <w:r>
              <w:rPr>
                <w:rFonts w:hint="eastAsia" w:ascii="宋体" w:hAnsi="宋体" w:eastAsia="宋体" w:cs="宋体"/>
                <w:sz w:val="24"/>
                <w:szCs w:val="24"/>
                <w:lang w:val="en-US" w:eastAsia="zh-CN"/>
              </w:rPr>
              <w:t xml:space="preserve">30</w:t>
            </w:r>
            <w:r>
              <w:rPr>
                <w:rFonts w:hint="eastAsia" w:ascii="宋体" w:hAnsi="宋体" w:eastAsia="宋体" w:cs="宋体"/>
                <w:sz w:val="24"/>
                <w:szCs w:val="24"/>
              </w:rPr>
              <w:t xml:space="preserve">分）</w:t>
            </w:r>
            <w:r/>
          </w:p>
        </w:tc>
        <w:tc>
          <w:tcPr>
            <w:shd w:val="clear" w:color="auto" w:fill="auto"/>
            <w:tcW w:w="7818" w:type="dxa"/>
            <w:vAlign w:val="center"/>
            <w:textDirection w:val="lrTb"/>
            <w:noWrap w:val="false"/>
          </w:tcPr>
          <w:p>
            <w:pP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价格分采用低价优先法计算，即满足招标文件要求且投标价格最低的投标报价为评标基准价，其价格分为满分30分。其他投标人的价格分按照下列公式计算：投标报价得分=（评标基准价／投标报价）×30；</w:t>
            </w:r>
            <w:r/>
          </w:p>
          <w:p>
            <w:pPr>
              <w:rPr>
                <w:rFonts w:hint="eastAsia" w:ascii="宋体" w:hAnsi="宋体" w:eastAsia="宋体" w:cs="宋体"/>
                <w:sz w:val="24"/>
                <w:szCs w:val="24"/>
              </w:rPr>
            </w:pPr>
            <w:r>
              <w:rPr>
                <w:rFonts w:hint="eastAsia" w:ascii="宋体" w:hAnsi="宋体" w:eastAsia="宋体" w:cs="宋体"/>
                <w:sz w:val="24"/>
                <w:szCs w:val="24"/>
                <w:lang w:val="en-US" w:eastAsia="zh-CN"/>
              </w:rPr>
              <w:t xml:space="preserve">投标人所投产品全部为小微企业制造或监狱企业、享受政府采购支持政策的残疾人福利性单位制造的（以投标人提供的《分项价格表》、《中小企业声明函》、监狱企业证明文件和《残疾人福利性单位声明函》等相关材料为准），给予10%的价格扣除，用扣除后的价格参加评审。该投标人的评审价格=《开标一览表》中的“总价”*（100%-10%）。</w:t>
            </w:r>
            <w:r/>
          </w:p>
        </w:tc>
      </w:tr>
      <w:tr>
        <w:trPr>
          <w:jc w:val="center"/>
          <w:trHeight w:val="573"/>
        </w:trPr>
        <w:tc>
          <w:tcPr>
            <w:shd w:val="clear" w:color="auto" w:fill="auto"/>
            <w:tcW w:w="1421"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类似业绩</w:t>
            </w:r>
            <w:r/>
          </w:p>
          <w:p>
            <w:pPr>
              <w:jc w:val="center"/>
              <w:rPr>
                <w:rFonts w:hint="eastAsia" w:ascii="宋体" w:hAnsi="宋体" w:eastAsia="宋体" w:cs="宋体"/>
                <w:sz w:val="24"/>
                <w:szCs w:val="24"/>
              </w:rPr>
            </w:pPr>
            <w:r>
              <w:rPr>
                <w:rFonts w:hint="eastAsia" w:ascii="宋体" w:hAnsi="宋体" w:eastAsia="宋体" w:cs="宋体"/>
                <w:sz w:val="24"/>
                <w:szCs w:val="24"/>
              </w:rPr>
              <w:t xml:space="preserve">（4分）</w:t>
            </w:r>
            <w:r/>
          </w:p>
        </w:tc>
        <w:tc>
          <w:tcPr>
            <w:shd w:val="clear" w:color="auto" w:fill="auto"/>
            <w:tcW w:w="7818" w:type="dxa"/>
            <w:vAlign w:val="center"/>
            <w:textDirection w:val="lrTb"/>
            <w:noWrap w:val="false"/>
          </w:tcPr>
          <w:p>
            <w:pP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投标文件中提供投标人自2022年12月1日以来（时间以合同签订时间为准），具有与本项目采购标的类似的业绩，</w:t>
            </w:r>
            <w:r>
              <w:rPr>
                <w:rFonts w:hint="eastAsia" w:ascii="宋体" w:hAnsi="宋体" w:eastAsia="宋体" w:cs="宋体"/>
                <w:color w:val="000000"/>
                <w:sz w:val="24"/>
                <w:szCs w:val="24"/>
              </w:rPr>
              <w:t xml:space="preserve">每提供一份</w:t>
            </w:r>
            <w:r>
              <w:rPr>
                <w:rFonts w:hint="eastAsia" w:ascii="宋体" w:hAnsi="宋体" w:eastAsia="宋体" w:cs="宋体"/>
                <w:sz w:val="24"/>
                <w:szCs w:val="24"/>
                <w:lang w:val="en-US" w:eastAsia="zh-CN"/>
              </w:rPr>
              <w:t xml:space="preserve">得2分，最高得4分。</w:t>
            </w:r>
            <w:r/>
          </w:p>
          <w:p>
            <w:pPr>
              <w:rPr>
                <w:rFonts w:hint="eastAsia" w:ascii="宋体" w:hAnsi="宋体" w:eastAsia="宋体" w:cs="宋体"/>
                <w:sz w:val="24"/>
                <w:szCs w:val="24"/>
              </w:rPr>
            </w:pPr>
            <w:r>
              <w:rPr>
                <w:rFonts w:hint="eastAsia" w:ascii="宋体" w:hAnsi="宋体" w:eastAsia="宋体" w:cs="宋体"/>
                <w:b/>
                <w:bCs/>
                <w:sz w:val="24"/>
                <w:szCs w:val="24"/>
                <w:lang w:val="en-US" w:eastAsia="zh-CN"/>
              </w:rPr>
              <w:t xml:space="preserve">注：投标文件中同时提供中标（成交）通知书原件扫描件及合同原件扫描件并加盖电子签章，业绩合同中主要内容、总金额等清晰可见，缺一或提供内容模糊不清的不得分，未提供不得分。</w:t>
            </w:r>
            <w:r/>
          </w:p>
        </w:tc>
      </w:tr>
      <w:tr>
        <w:trPr>
          <w:jc w:val="center"/>
          <w:trHeight w:val="573"/>
        </w:trPr>
        <w:tc>
          <w:tcPr>
            <w:shd w:val="clear" w:color="auto" w:fill="auto"/>
            <w:tcW w:w="1421"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供应商评价</w:t>
            </w:r>
            <w:r/>
          </w:p>
          <w:p>
            <w:pPr>
              <w:jc w:val="center"/>
              <w:rPr>
                <w:rFonts w:hint="eastAsia" w:ascii="宋体" w:hAnsi="宋体" w:eastAsia="宋体" w:cs="宋体"/>
                <w:sz w:val="24"/>
                <w:szCs w:val="24"/>
              </w:rPr>
            </w:pPr>
            <w:r>
              <w:rPr>
                <w:rFonts w:hint="eastAsia" w:ascii="宋体" w:hAnsi="宋体" w:eastAsia="宋体" w:cs="宋体"/>
                <w:sz w:val="24"/>
                <w:szCs w:val="24"/>
              </w:rPr>
              <w:t xml:space="preserve">（</w:t>
            </w:r>
            <w:r>
              <w:rPr>
                <w:rFonts w:hint="eastAsia" w:ascii="宋体" w:hAnsi="宋体" w:eastAsia="宋体" w:cs="宋体"/>
                <w:sz w:val="24"/>
                <w:szCs w:val="24"/>
                <w:lang w:val="en-US" w:eastAsia="zh-CN"/>
              </w:rPr>
              <w:t xml:space="preserve">4</w:t>
            </w:r>
            <w:r>
              <w:rPr>
                <w:rFonts w:hint="eastAsia" w:ascii="宋体" w:hAnsi="宋体" w:eastAsia="宋体" w:cs="宋体"/>
                <w:sz w:val="24"/>
                <w:szCs w:val="24"/>
              </w:rPr>
              <w:t xml:space="preserve">分）</w:t>
            </w:r>
            <w:r/>
          </w:p>
        </w:tc>
        <w:tc>
          <w:tcPr>
            <w:shd w:val="clear" w:color="auto" w:fill="auto"/>
            <w:tcW w:w="7818" w:type="dxa"/>
            <w:vAlign w:val="center"/>
            <w:textDirection w:val="lrTb"/>
            <w:noWrap w:val="false"/>
          </w:tcPr>
          <w:p>
            <w:pPr>
              <w:jc w:val="left"/>
              <w:rPr>
                <w:rFonts w:hint="eastAsia" w:ascii="宋体" w:hAnsi="宋体" w:eastAsia="宋体" w:cs="宋体"/>
                <w:sz w:val="24"/>
                <w:szCs w:val="24"/>
              </w:rPr>
            </w:pPr>
            <w:r>
              <w:rPr>
                <w:rFonts w:hint="eastAsia" w:ascii="宋体" w:hAnsi="宋体" w:eastAsia="宋体" w:cs="宋体"/>
                <w:sz w:val="24"/>
                <w:szCs w:val="24"/>
              </w:rPr>
              <w:t xml:space="preserve">投标人具有效期内的ISO9001质量管理体系认证证书（体系覆盖范围需包括计算机信息系统集成、网络工程系统集成）、ISO14001环境管理体系认证证书（体系覆盖范围需包括计算机信息系统集成、网络工程系统集成）、ISO45001职业健康安全管理体系认证证书（体系覆盖范围需包括计算机信息系统集成、网络工程系统集成）、ISO27001信息安全管理体系认证证书（体系覆盖范围需包括计算机信息系统集成），每提供一份证书得1分，不提供不得分。提供证书扫描件及国家市场监督管理总局全国认证认可信息公共服务平台(网址: </w:t>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HYPERLINK "http://cx.cnca.cn/CertECloud/result/skipResultList)查询证书状态为有效的截图证明。" </w:instrText>
            </w:r>
            <w:r>
              <w:rPr>
                <w:rFonts w:hint="eastAsia" w:ascii="宋体" w:hAnsi="宋体" w:eastAsia="宋体" w:cs="宋体"/>
                <w:sz w:val="24"/>
                <w:szCs w:val="24"/>
              </w:rPr>
              <w:fldChar w:fldCharType="separate"/>
            </w:r>
            <w:r>
              <w:rPr>
                <w:rFonts w:hint="eastAsia" w:ascii="宋体" w:hAnsi="宋体" w:eastAsia="宋体" w:cs="宋体"/>
                <w:sz w:val="24"/>
                <w:szCs w:val="24"/>
              </w:rPr>
              <w:t xml:space="preserve">http://cx.cnca.cn/CertECloud/result/skipResultList)查询证书状态为有效的截图证明。</w:t>
            </w:r>
            <w:r>
              <w:rPr>
                <w:rFonts w:hint="eastAsia" w:ascii="宋体" w:hAnsi="宋体" w:eastAsia="宋体" w:cs="宋体"/>
                <w:sz w:val="24"/>
                <w:szCs w:val="24"/>
              </w:rPr>
              <w:fldChar w:fldCharType="end"/>
            </w:r>
            <w:r/>
          </w:p>
          <w:p>
            <w:pPr>
              <w:jc w:val="left"/>
              <w:rPr>
                <w:rFonts w:hint="eastAsia" w:ascii="宋体" w:hAnsi="宋体" w:eastAsia="宋体" w:cs="宋体"/>
                <w:b/>
                <w:bCs/>
                <w:sz w:val="24"/>
                <w:szCs w:val="24"/>
                <w:lang w:val="en-US" w:eastAsia="zh-CN"/>
              </w:rPr>
            </w:pPr>
            <w:r>
              <w:rPr>
                <w:rFonts w:hint="eastAsia" w:ascii="宋体" w:hAnsi="宋体" w:eastAsia="宋体" w:cs="宋体"/>
                <w:sz w:val="24"/>
                <w:szCs w:val="24"/>
              </w:rPr>
              <w:t xml:space="preserve">本项最高得</w:t>
            </w:r>
            <w:r>
              <w:rPr>
                <w:rFonts w:hint="eastAsia" w:ascii="宋体" w:hAnsi="宋体" w:eastAsia="宋体" w:cs="宋体"/>
                <w:sz w:val="24"/>
                <w:szCs w:val="24"/>
                <w:lang w:val="en-US" w:eastAsia="zh-CN"/>
              </w:rPr>
              <w:t xml:space="preserve">4</w:t>
            </w:r>
            <w:r>
              <w:rPr>
                <w:rFonts w:hint="eastAsia" w:ascii="宋体" w:hAnsi="宋体" w:eastAsia="宋体" w:cs="宋体"/>
                <w:sz w:val="24"/>
                <w:szCs w:val="24"/>
              </w:rPr>
              <w:t xml:space="preserve">分，最低得0分。</w:t>
            </w:r>
            <w:r/>
          </w:p>
        </w:tc>
      </w:tr>
      <w:tr>
        <w:trPr>
          <w:jc w:val="center"/>
          <w:trHeight w:val="573"/>
        </w:trPr>
        <w:tc>
          <w:tcPr>
            <w:shd w:val="clear" w:color="auto" w:fill="auto"/>
            <w:tcW w:w="1421" w:type="dxa"/>
            <w:vAlign w:val="center"/>
            <w:textDirection w:val="lrTb"/>
            <w:noWrap w:val="false"/>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人员配备</w:t>
            </w:r>
            <w:r/>
          </w:p>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w:t>
            </w:r>
            <w:r>
              <w:rPr>
                <w:rFonts w:hint="eastAsia" w:ascii="宋体" w:hAnsi="宋体" w:eastAsia="宋体" w:cs="宋体"/>
                <w:sz w:val="24"/>
                <w:szCs w:val="24"/>
                <w:lang w:val="en-US" w:eastAsia="zh-CN"/>
              </w:rPr>
              <w:t xml:space="preserve">10</w:t>
            </w:r>
            <w:r>
              <w:rPr>
                <w:rFonts w:hint="eastAsia" w:ascii="宋体" w:hAnsi="宋体" w:eastAsia="宋体" w:cs="宋体"/>
                <w:sz w:val="24"/>
                <w:szCs w:val="24"/>
              </w:rPr>
              <w:t xml:space="preserve">分)</w:t>
            </w:r>
            <w:r/>
          </w:p>
        </w:tc>
        <w:tc>
          <w:tcPr>
            <w:shd w:val="clear" w:color="auto" w:fill="auto"/>
            <w:tcW w:w="7818" w:type="dxa"/>
            <w:vAlign w:val="center"/>
            <w:textDirection w:val="lrTb"/>
            <w:noWrap w:val="false"/>
          </w:tcPr>
          <w:p>
            <w:pPr>
              <w:pStyle w:val="740"/>
              <w:ind w:left="0" w:firstLine="0"/>
              <w:spacing w:line="240" w:lineRule="auto"/>
              <w:rPr>
                <w:rFonts w:hint="eastAsia" w:ascii="宋体" w:hAnsi="宋体" w:cs="宋体"/>
                <w:sz w:val="24"/>
                <w:szCs w:val="24"/>
              </w:rPr>
            </w:pPr>
            <w:r>
              <w:rPr>
                <w:rFonts w:hint="eastAsia" w:ascii="宋体" w:hAnsi="宋体" w:cs="宋体"/>
                <w:sz w:val="24"/>
                <w:szCs w:val="24"/>
              </w:rPr>
              <w:t xml:space="preserve">1、投标人拟派技术负责人1名，具备信息系统项目管理师、网络工程师、CISAW信息安全保障人员（专业级风险管理）、DAMA数据治理工程师证书的得</w:t>
            </w:r>
            <w:r>
              <w:rPr>
                <w:rFonts w:hint="eastAsia" w:ascii="宋体" w:hAnsi="宋体" w:cs="宋体"/>
                <w:sz w:val="24"/>
                <w:szCs w:val="24"/>
                <w:lang w:val="en-US" w:eastAsia="zh-CN"/>
              </w:rPr>
              <w:t xml:space="preserve">4</w:t>
            </w:r>
            <w:r>
              <w:rPr>
                <w:rFonts w:hint="eastAsia" w:ascii="宋体" w:hAnsi="宋体" w:cs="宋体"/>
                <w:sz w:val="24"/>
                <w:szCs w:val="24"/>
              </w:rPr>
              <w:t xml:space="preserve">分，其他情况不得分。</w:t>
            </w:r>
            <w:r/>
          </w:p>
          <w:p>
            <w:pPr>
              <w:pStyle w:val="740"/>
              <w:ind w:left="0" w:firstLine="0"/>
              <w:spacing w:line="240" w:lineRule="auto"/>
              <w:rPr>
                <w:rFonts w:hint="eastAsia" w:ascii="宋体" w:hAnsi="宋体" w:cs="宋体"/>
                <w:sz w:val="24"/>
                <w:szCs w:val="24"/>
              </w:rPr>
            </w:pPr>
            <w:r>
              <w:rPr>
                <w:rFonts w:hint="eastAsia" w:ascii="宋体" w:hAnsi="宋体" w:cs="宋体"/>
                <w:sz w:val="24"/>
                <w:szCs w:val="24"/>
              </w:rPr>
              <w:t xml:space="preserve">2、投标人拟派项目经理1名具有中级及以上职称工程师、高级系统架构设计师、高级系统规划与管理师、注册信息安全专业人员（CISP）证书的得2分。其他情况不得分。</w:t>
            </w:r>
            <w:r/>
          </w:p>
          <w:p>
            <w:pPr>
              <w:pStyle w:val="740"/>
              <w:ind w:left="0" w:firstLine="0"/>
              <w:spacing w:line="240" w:lineRule="auto"/>
              <w:rPr>
                <w:rFonts w:hint="eastAsia" w:ascii="宋体" w:hAnsi="宋体" w:cs="宋体"/>
                <w:sz w:val="24"/>
                <w:szCs w:val="24"/>
              </w:rPr>
            </w:pPr>
            <w:r>
              <w:rPr>
                <w:rFonts w:hint="eastAsia" w:ascii="宋体" w:hAnsi="宋体" w:cs="宋体"/>
                <w:sz w:val="24"/>
                <w:szCs w:val="24"/>
              </w:rPr>
              <w:t xml:space="preserve">3、项目实施团队成员具有软件设计师证书、数据库系统工程师证书、IT服务工程师证书</w:t>
            </w:r>
            <w:r>
              <w:rPr>
                <w:rFonts w:hint="eastAsia" w:ascii="宋体" w:hAnsi="宋体" w:cs="宋体"/>
                <w:sz w:val="24"/>
                <w:szCs w:val="24"/>
                <w:lang w:eastAsia="zh-CN"/>
              </w:rPr>
              <w:t xml:space="preserve">、</w:t>
            </w:r>
            <w:r>
              <w:rPr>
                <w:rFonts w:hint="eastAsia" w:ascii="宋体" w:hAnsi="宋体" w:cs="宋体"/>
                <w:sz w:val="24"/>
                <w:szCs w:val="24"/>
              </w:rPr>
              <w:t xml:space="preserve">网络工程师证书,每提供1种证书得1分，最高得4分。</w:t>
            </w:r>
            <w:r/>
          </w:p>
          <w:p>
            <w:pPr>
              <w:rPr>
                <w:rFonts w:hint="eastAsia" w:ascii="宋体" w:hAnsi="宋体" w:eastAsia="宋体" w:cs="宋体"/>
                <w:b/>
                <w:bCs/>
                <w:sz w:val="24"/>
                <w:szCs w:val="24"/>
                <w:lang w:val="en-US" w:eastAsia="zh-CN"/>
              </w:rPr>
            </w:pPr>
            <w:r>
              <w:rPr>
                <w:rFonts w:hint="eastAsia" w:ascii="宋体" w:hAnsi="宋体" w:eastAsia="宋体" w:cs="宋体"/>
                <w:b/>
                <w:bCs/>
                <w:sz w:val="24"/>
                <w:szCs w:val="24"/>
                <w:highlight w:val="none"/>
                <w:lang w:val="zh-CN"/>
              </w:rPr>
              <w:t xml:space="preserve">注：</w:t>
            </w:r>
            <w:r>
              <w:rPr>
                <w:rFonts w:hint="eastAsia" w:ascii="宋体" w:hAnsi="宋体" w:eastAsia="宋体" w:cs="宋体"/>
                <w:b/>
                <w:bCs/>
                <w:sz w:val="24"/>
                <w:szCs w:val="24"/>
                <w:highlight w:val="none"/>
              </w:rPr>
              <w:t xml:space="preserve">投标文件中须提供相关证书</w:t>
            </w:r>
            <w:r>
              <w:rPr>
                <w:rFonts w:hint="eastAsia" w:ascii="宋体" w:hAnsi="宋体" w:eastAsia="宋体" w:cs="宋体"/>
                <w:b/>
                <w:bCs/>
                <w:sz w:val="24"/>
                <w:szCs w:val="24"/>
                <w:lang w:val="en-US" w:eastAsia="zh-CN"/>
              </w:rPr>
              <w:t xml:space="preserve">原件扫描件</w:t>
            </w:r>
            <w:r>
              <w:rPr>
                <w:rFonts w:hint="eastAsia" w:ascii="宋体" w:hAnsi="宋体" w:eastAsia="宋体" w:cs="宋体"/>
                <w:b/>
                <w:bCs/>
                <w:sz w:val="24"/>
                <w:szCs w:val="24"/>
                <w:highlight w:val="none"/>
              </w:rPr>
              <w:t xml:space="preserve">及开标前六个月内任意一月由人社部门出具的由供应商缴纳的社保证明</w:t>
            </w:r>
            <w:r>
              <w:rPr>
                <w:rFonts w:hint="eastAsia" w:ascii="宋体" w:hAnsi="宋体" w:eastAsia="宋体" w:cs="宋体"/>
                <w:b/>
                <w:bCs/>
                <w:sz w:val="24"/>
                <w:szCs w:val="24"/>
                <w:lang w:val="en-US" w:eastAsia="zh-CN"/>
              </w:rPr>
              <w:t xml:space="preserve">原件扫描件并加盖电子签章，未提供不得分</w:t>
            </w:r>
            <w:r>
              <w:rPr>
                <w:rFonts w:hint="eastAsia" w:ascii="宋体" w:hAnsi="宋体" w:eastAsia="宋体" w:cs="宋体"/>
                <w:b/>
                <w:bCs/>
                <w:sz w:val="24"/>
                <w:szCs w:val="24"/>
                <w:highlight w:val="none"/>
              </w:rPr>
              <w:t xml:space="preserve">。</w:t>
            </w:r>
            <w:r/>
          </w:p>
        </w:tc>
      </w:tr>
      <w:tr>
        <w:trPr>
          <w:jc w:val="center"/>
          <w:trHeight w:val="520"/>
        </w:trPr>
        <w:tc>
          <w:tcPr>
            <w:shd w:val="clear" w:color="auto" w:fill="auto"/>
            <w:tcW w:w="1421"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项目实施方案</w:t>
            </w:r>
            <w:r/>
          </w:p>
          <w:p>
            <w:pPr>
              <w:jc w:val="center"/>
              <w:rPr>
                <w:rFonts w:hint="eastAsia" w:ascii="宋体" w:hAnsi="宋体" w:eastAsia="宋体" w:cs="宋体"/>
                <w:sz w:val="24"/>
                <w:szCs w:val="24"/>
              </w:rPr>
            </w:pPr>
            <w:r>
              <w:rPr>
                <w:rFonts w:hint="eastAsia" w:ascii="宋体" w:hAnsi="宋体" w:eastAsia="宋体" w:cs="宋体"/>
                <w:sz w:val="24"/>
                <w:szCs w:val="24"/>
              </w:rPr>
              <w:t xml:space="preserve">（</w:t>
            </w:r>
            <w:r>
              <w:rPr>
                <w:rFonts w:hint="eastAsia" w:ascii="宋体" w:hAnsi="宋体" w:eastAsia="宋体" w:cs="宋体"/>
                <w:sz w:val="24"/>
                <w:szCs w:val="24"/>
                <w:lang w:val="en-US" w:eastAsia="zh-CN"/>
              </w:rPr>
              <w:t xml:space="preserve">12</w:t>
            </w:r>
            <w:r>
              <w:rPr>
                <w:rFonts w:hint="eastAsia" w:ascii="宋体" w:hAnsi="宋体" w:eastAsia="宋体" w:cs="宋体"/>
                <w:sz w:val="24"/>
                <w:szCs w:val="24"/>
              </w:rPr>
              <w:t xml:space="preserve">分）</w:t>
            </w:r>
            <w:r/>
          </w:p>
        </w:tc>
        <w:tc>
          <w:tcPr>
            <w:shd w:val="clear" w:color="auto" w:fill="auto"/>
            <w:tcW w:w="7818" w:type="dxa"/>
            <w:vAlign w:val="center"/>
            <w:textDirection w:val="lrTb"/>
            <w:noWrap w:val="false"/>
          </w:tcPr>
          <w:p>
            <w:pPr>
              <w:rPr>
                <w:rFonts w:hint="eastAsia" w:ascii="宋体" w:hAnsi="宋体" w:eastAsia="宋体" w:cs="宋体"/>
                <w:sz w:val="24"/>
                <w:szCs w:val="24"/>
              </w:rPr>
            </w:pPr>
            <w:r>
              <w:rPr>
                <w:rFonts w:hint="eastAsia" w:ascii="宋体" w:hAnsi="宋体" w:eastAsia="宋体" w:cs="宋体"/>
                <w:sz w:val="24"/>
                <w:szCs w:val="24"/>
                <w:lang w:val="en-US" w:eastAsia="zh-CN"/>
              </w:rPr>
              <w:t xml:space="preserve">根据提供的项目实施方案，对内容的全面性、针对性、可行性进行评价。</w:t>
            </w:r>
            <w:r/>
          </w:p>
          <w:p>
            <w:pP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全面性（4分）：全面具体详实得4分；较全面得3分；基本具备全面的得2分；不太全面得1分。</w:t>
            </w:r>
            <w:r/>
          </w:p>
          <w:p>
            <w:pP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针对性（4分）：针对性强得4分；针对性较强得3分；基本具备针对的得2分；针对性不强得1分。</w:t>
            </w:r>
            <w:r/>
          </w:p>
          <w:p>
            <w:pP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可行性（4分）：符合实际切实可行得4分；较切实可行得3分；基本可行具备的得2分；可行性欠缺得1分；</w:t>
            </w:r>
            <w:r/>
          </w:p>
          <w:p>
            <w:pPr>
              <w:rPr>
                <w:rFonts w:hint="eastAsia" w:ascii="宋体" w:hAnsi="宋体" w:eastAsia="宋体" w:cs="宋体"/>
                <w:sz w:val="24"/>
                <w:szCs w:val="24"/>
              </w:rPr>
            </w:pPr>
            <w:r>
              <w:rPr>
                <w:rFonts w:hint="eastAsia" w:ascii="宋体" w:hAnsi="宋体" w:eastAsia="宋体" w:cs="宋体"/>
                <w:sz w:val="24"/>
                <w:szCs w:val="24"/>
                <w:lang w:val="en-US" w:eastAsia="zh-CN"/>
              </w:rPr>
              <w:t xml:space="preserve">本项最高得12分，最低得0分，未提供的得0分。</w:t>
            </w:r>
            <w:r/>
          </w:p>
        </w:tc>
      </w:tr>
      <w:tr>
        <w:trPr>
          <w:jc w:val="center"/>
          <w:trHeight w:val="90"/>
        </w:trPr>
        <w:tc>
          <w:tcPr>
            <w:shd w:val="clear" w:color="auto" w:fill="auto"/>
            <w:tcW w:w="1421" w:type="dxa"/>
            <w:vAlign w:val="center"/>
            <w:textDirection w:val="lrTb"/>
            <w:noWrap w:val="false"/>
          </w:tcPr>
          <w:p>
            <w:pPr>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p>
            <w:pPr>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p>
            <w:pPr>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质量保证方案</w:t>
            </w:r>
            <w:r/>
          </w:p>
          <w:p>
            <w:pPr>
              <w:jc w:val="center"/>
              <w:rPr>
                <w:rFonts w:hint="eastAsia" w:ascii="宋体" w:hAnsi="宋体" w:eastAsia="宋体" w:cs="宋体"/>
                <w:sz w:val="24"/>
                <w:szCs w:val="24"/>
              </w:rPr>
            </w:pPr>
            <w:r>
              <w:rPr>
                <w:rFonts w:hint="eastAsia" w:ascii="宋体" w:hAnsi="宋体" w:eastAsia="宋体" w:cs="宋体"/>
                <w:sz w:val="24"/>
                <w:szCs w:val="24"/>
              </w:rPr>
              <w:t xml:space="preserve">（</w:t>
            </w:r>
            <w:r>
              <w:rPr>
                <w:rFonts w:hint="eastAsia" w:ascii="宋体" w:hAnsi="宋体" w:eastAsia="宋体" w:cs="宋体"/>
                <w:sz w:val="24"/>
                <w:szCs w:val="24"/>
                <w:lang w:val="en-US" w:eastAsia="zh-CN"/>
              </w:rPr>
              <w:t xml:space="preserve">10</w:t>
            </w:r>
            <w:r>
              <w:rPr>
                <w:rFonts w:hint="eastAsia" w:ascii="宋体" w:hAnsi="宋体" w:eastAsia="宋体" w:cs="宋体"/>
                <w:sz w:val="24"/>
                <w:szCs w:val="24"/>
              </w:rPr>
              <w:t xml:space="preserve">分）</w:t>
            </w:r>
            <w:r/>
          </w:p>
        </w:tc>
        <w:tc>
          <w:tcPr>
            <w:shd w:val="clear" w:color="auto" w:fill="auto"/>
            <w:tcW w:w="7818" w:type="dxa"/>
            <w:vAlign w:val="center"/>
            <w:textDirection w:val="lrTb"/>
            <w:noWrap w:val="false"/>
          </w:tcPr>
          <w:p>
            <w:pPr>
              <w:rPr>
                <w:rFonts w:hint="eastAsia" w:ascii="宋体" w:hAnsi="宋体" w:eastAsia="宋体" w:cs="宋体"/>
                <w:sz w:val="24"/>
                <w:szCs w:val="24"/>
              </w:rPr>
            </w:pPr>
            <w:r>
              <w:rPr>
                <w:rFonts w:hint="eastAsia" w:ascii="宋体" w:hAnsi="宋体" w:eastAsia="宋体" w:cs="宋体"/>
                <w:sz w:val="24"/>
                <w:szCs w:val="24"/>
                <w:lang w:val="en-US" w:eastAsia="zh-CN"/>
              </w:rPr>
              <w:t xml:space="preserve">根据提供的</w:t>
            </w:r>
            <w:r>
              <w:rPr>
                <w:rFonts w:hint="eastAsia" w:ascii="宋体" w:hAnsi="宋体" w:eastAsia="宋体" w:cs="宋体"/>
                <w:color w:val="000000"/>
                <w:sz w:val="24"/>
                <w:szCs w:val="24"/>
                <w:lang w:eastAsia="zh-CN"/>
              </w:rPr>
              <w:t xml:space="preserve">质量服务</w:t>
            </w:r>
            <w:r>
              <w:rPr>
                <w:rFonts w:hint="eastAsia" w:ascii="宋体" w:hAnsi="宋体" w:eastAsia="宋体" w:cs="宋体"/>
                <w:color w:val="000000"/>
                <w:sz w:val="24"/>
                <w:szCs w:val="24"/>
                <w:lang w:val="en-US" w:eastAsia="zh-CN"/>
              </w:rPr>
              <w:t xml:space="preserve">保证</w:t>
            </w:r>
            <w:r>
              <w:rPr>
                <w:rFonts w:hint="eastAsia" w:ascii="宋体" w:hAnsi="宋体" w:eastAsia="宋体" w:cs="宋体"/>
                <w:sz w:val="24"/>
                <w:szCs w:val="24"/>
                <w:lang w:val="en-US" w:eastAsia="zh-CN"/>
              </w:rPr>
              <w:t xml:space="preserve">方案等，对内容的全面性、针对性、可行性进行评价。</w:t>
            </w:r>
            <w:r/>
          </w:p>
          <w:p>
            <w:pP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全面性（4分）：全面具体详实得4分；较全面得3分；基本具备的得2分；不太全面得1分。</w:t>
            </w:r>
            <w:r/>
          </w:p>
          <w:p>
            <w:pP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针对性（3分）：针对性强得3分；针对性较强得2分；针对性不强得1分。</w:t>
            </w:r>
            <w:r/>
          </w:p>
          <w:p>
            <w:pP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可行性（3分）：符合实际切实可行得3分；较切实可行得2分；可行性欠缺得1分；</w:t>
            </w:r>
            <w:r/>
          </w:p>
          <w:p>
            <w:pP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本项最高得10分，最低得0分，未提供的得0分。</w:t>
            </w:r>
            <w:r/>
          </w:p>
        </w:tc>
      </w:tr>
      <w:tr>
        <w:trPr>
          <w:jc w:val="center"/>
          <w:trHeight w:val="952"/>
        </w:trPr>
        <w:tc>
          <w:tcPr>
            <w:shd w:val="clear" w:color="auto" w:fill="auto"/>
            <w:tcW w:w="1421" w:type="dxa"/>
            <w:vAlign w:val="center"/>
            <w:textDirection w:val="lrTb"/>
            <w:noWrap w:val="false"/>
          </w:tcPr>
          <w:p>
            <w:pPr>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供货</w:t>
            </w:r>
            <w:r>
              <w:rPr>
                <w:rFonts w:hint="eastAsia" w:ascii="宋体" w:hAnsi="宋体" w:cs="宋体"/>
                <w:sz w:val="24"/>
                <w:szCs w:val="24"/>
                <w:lang w:val="en-US" w:eastAsia="zh-CN"/>
              </w:rPr>
              <w:t xml:space="preserve">安装</w:t>
            </w:r>
            <w:r>
              <w:rPr>
                <w:rFonts w:hint="eastAsia" w:ascii="宋体" w:hAnsi="宋体" w:eastAsia="宋体" w:cs="宋体"/>
                <w:sz w:val="24"/>
                <w:szCs w:val="24"/>
                <w:lang w:val="en-US" w:eastAsia="zh-CN"/>
              </w:rPr>
              <w:t xml:space="preserve">方案</w:t>
            </w:r>
            <w:r/>
          </w:p>
          <w:p>
            <w:pPr>
              <w:jc w:val="both"/>
              <w:rPr>
                <w:rFonts w:hint="eastAsia" w:ascii="宋体" w:hAnsi="宋体" w:eastAsia="宋体" w:cs="宋体"/>
                <w:sz w:val="24"/>
                <w:szCs w:val="24"/>
              </w:rPr>
            </w:pPr>
            <w:r>
              <w:rPr>
                <w:rFonts w:hint="eastAsia" w:ascii="宋体" w:hAnsi="宋体" w:eastAsia="宋体" w:cs="宋体"/>
                <w:sz w:val="24"/>
                <w:szCs w:val="24"/>
              </w:rPr>
              <w:t xml:space="preserve">（</w:t>
            </w:r>
            <w:r>
              <w:rPr>
                <w:rFonts w:hint="eastAsia" w:ascii="宋体" w:hAnsi="宋体" w:eastAsia="宋体" w:cs="宋体"/>
                <w:sz w:val="24"/>
                <w:szCs w:val="24"/>
                <w:lang w:val="en-US" w:eastAsia="zh-CN"/>
              </w:rPr>
              <w:t xml:space="preserve">10</w:t>
            </w:r>
            <w:r>
              <w:rPr>
                <w:rFonts w:hint="eastAsia" w:ascii="宋体" w:hAnsi="宋体" w:eastAsia="宋体" w:cs="宋体"/>
                <w:sz w:val="24"/>
                <w:szCs w:val="24"/>
              </w:rPr>
              <w:t xml:space="preserve">分）</w:t>
            </w:r>
            <w:r/>
          </w:p>
          <w:p>
            <w:pPr>
              <w:jc w:val="center"/>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W w:w="7818" w:type="dxa"/>
            <w:vAlign w:val="center"/>
            <w:textDirection w:val="lrTb"/>
            <w:noWrap w:val="false"/>
          </w:tcPr>
          <w:p>
            <w:pP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根据提供的供货</w:t>
            </w:r>
            <w:r>
              <w:rPr>
                <w:rFonts w:hint="eastAsia" w:ascii="宋体" w:hAnsi="宋体" w:cs="宋体"/>
                <w:sz w:val="24"/>
                <w:szCs w:val="24"/>
                <w:lang w:val="en-US" w:eastAsia="zh-CN"/>
              </w:rPr>
              <w:t xml:space="preserve">安装</w:t>
            </w:r>
            <w:r>
              <w:rPr>
                <w:rFonts w:hint="eastAsia" w:ascii="宋体" w:hAnsi="宋体" w:eastAsia="宋体" w:cs="宋体"/>
                <w:sz w:val="24"/>
                <w:szCs w:val="24"/>
                <w:lang w:val="en-US" w:eastAsia="zh-CN"/>
              </w:rPr>
              <w:t xml:space="preserve">方案，对内容的全面性、针对性、可行性进行评价。</w:t>
            </w:r>
            <w:r/>
          </w:p>
          <w:p>
            <w:pP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全面性（4分）：全面具体详实得4分；较全面得3分；基本具备的得2分；不太全面得1分。</w:t>
            </w:r>
            <w:r/>
          </w:p>
          <w:p>
            <w:pP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针对性（3分）：针对性强得3分；针对性较强得2分；针对性不强得1分。</w:t>
            </w:r>
            <w:r/>
          </w:p>
          <w:p>
            <w:pP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可行性（3分）：符合实际切实可行得3分；较切实可行得2分；可行性欠缺得1分；</w:t>
            </w:r>
            <w:r/>
          </w:p>
          <w:p>
            <w:pP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本项最高得10分，最低得0分，未提供的得0分。</w:t>
            </w:r>
            <w:r/>
          </w:p>
        </w:tc>
      </w:tr>
      <w:tr>
        <w:trPr>
          <w:jc w:val="center"/>
          <w:trHeight w:val="858"/>
        </w:trPr>
        <w:tc>
          <w:tcPr>
            <w:shd w:val="clear" w:color="auto" w:fill="auto"/>
            <w:tcW w:w="1421" w:type="dxa"/>
            <w:vAlign w:val="center"/>
            <w:textDirection w:val="lrTb"/>
            <w:noWrap w:val="false"/>
          </w:tcPr>
          <w:p>
            <w:pPr>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培训方案</w:t>
            </w:r>
            <w:r/>
          </w:p>
          <w:p>
            <w:pPr>
              <w:jc w:val="center"/>
              <w:rPr>
                <w:rFonts w:hint="eastAsia" w:ascii="宋体" w:hAnsi="宋体" w:eastAsia="宋体" w:cs="宋体"/>
                <w:sz w:val="24"/>
                <w:szCs w:val="24"/>
              </w:rPr>
            </w:pPr>
            <w:r>
              <w:rPr>
                <w:rFonts w:hint="eastAsia" w:ascii="宋体" w:hAnsi="宋体" w:eastAsia="宋体" w:cs="宋体"/>
                <w:sz w:val="24"/>
                <w:szCs w:val="24"/>
                <w:lang w:val="en-US" w:eastAsia="zh-CN"/>
              </w:rPr>
              <w:t xml:space="preserve">（10分）</w:t>
            </w:r>
            <w:r/>
          </w:p>
        </w:tc>
        <w:tc>
          <w:tcPr>
            <w:shd w:val="clear" w:color="auto" w:fill="auto"/>
            <w:tcW w:w="7818" w:type="dxa"/>
            <w:vAlign w:val="center"/>
            <w:textDirection w:val="lrTb"/>
            <w:noWrap w:val="false"/>
          </w:tcPr>
          <w:p>
            <w:pPr>
              <w:rPr>
                <w:rFonts w:hint="eastAsia" w:ascii="宋体" w:hAnsi="宋体" w:eastAsia="宋体" w:cs="宋体"/>
                <w:sz w:val="24"/>
                <w:szCs w:val="24"/>
                <w:lang w:val="en-US" w:eastAsia="zh-CN"/>
              </w:rPr>
            </w:pPr>
            <w:r>
              <w:rPr>
                <w:rFonts w:hint="eastAsia" w:ascii="宋体" w:hAnsi="宋体" w:eastAsia="宋体" w:cs="宋体"/>
                <w:sz w:val="24"/>
                <w:szCs w:val="24"/>
                <w:lang w:eastAsia="zh-CN"/>
              </w:rPr>
              <w:t xml:space="preserve">根据提供</w:t>
            </w:r>
            <w:r>
              <w:rPr>
                <w:rFonts w:hint="eastAsia" w:ascii="宋体" w:hAnsi="宋体" w:eastAsia="宋体" w:cs="宋体"/>
                <w:sz w:val="24"/>
                <w:szCs w:val="24"/>
                <w:lang w:val="en-US" w:eastAsia="zh-CN"/>
              </w:rPr>
              <w:t xml:space="preserve">的培训方案，对内容的全面性、针对性、可行性进行评价。</w:t>
            </w:r>
            <w:r/>
          </w:p>
          <w:p>
            <w:pP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全面性（4分）：全面具体详实得4分；较全面得3分；基本具备的得2分；不太全面得1分。</w:t>
            </w:r>
            <w:r/>
          </w:p>
          <w:p>
            <w:pP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针对性（3分）：针对性强得3分；针对性较强得2分；针对性不强得1分。</w:t>
            </w:r>
            <w:r/>
          </w:p>
          <w:p>
            <w:pP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可行性（3分）：符合实际切实可行得3分；较切实可行得2分；可行性欠缺得1分；</w:t>
            </w:r>
            <w:r/>
          </w:p>
          <w:p>
            <w:pP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本项最高得10分，最低得0分，未提供的得0分。</w:t>
            </w:r>
            <w:r/>
          </w:p>
        </w:tc>
      </w:tr>
      <w:tr>
        <w:trPr>
          <w:jc w:val="center"/>
          <w:trHeight w:val="956"/>
        </w:trPr>
        <w:tc>
          <w:tcPr>
            <w:shd w:val="clear" w:color="auto" w:fill="auto"/>
            <w:tcW w:w="1421"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售后服务方案</w:t>
            </w:r>
            <w:r/>
          </w:p>
          <w:p>
            <w:pPr>
              <w:jc w:val="center"/>
              <w:rPr>
                <w:rFonts w:hint="eastAsia" w:ascii="宋体" w:hAnsi="宋体" w:eastAsia="宋体" w:cs="宋体"/>
                <w:sz w:val="24"/>
                <w:szCs w:val="24"/>
              </w:rPr>
            </w:pPr>
            <w:r>
              <w:rPr>
                <w:rFonts w:hint="eastAsia" w:ascii="宋体" w:hAnsi="宋体" w:eastAsia="宋体" w:cs="宋体"/>
                <w:sz w:val="24"/>
                <w:szCs w:val="24"/>
              </w:rPr>
              <w:t xml:space="preserve">（</w:t>
            </w:r>
            <w:r>
              <w:rPr>
                <w:rFonts w:hint="eastAsia" w:ascii="宋体" w:hAnsi="宋体" w:eastAsia="宋体" w:cs="宋体"/>
                <w:sz w:val="24"/>
                <w:szCs w:val="24"/>
                <w:lang w:val="en-US" w:eastAsia="zh-CN"/>
              </w:rPr>
              <w:t xml:space="preserve">10</w:t>
            </w:r>
            <w:r>
              <w:rPr>
                <w:rFonts w:hint="eastAsia" w:ascii="宋体" w:hAnsi="宋体" w:eastAsia="宋体" w:cs="宋体"/>
                <w:sz w:val="24"/>
                <w:szCs w:val="24"/>
              </w:rPr>
              <w:t xml:space="preserve">分）</w:t>
            </w:r>
            <w:r/>
          </w:p>
          <w:p>
            <w:pPr>
              <w:jc w:val="center"/>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W w:w="7818" w:type="dxa"/>
            <w:vAlign w:val="center"/>
            <w:textDirection w:val="lrTb"/>
            <w:noWrap w:val="false"/>
          </w:tcPr>
          <w:p>
            <w:pP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根据提供的售后服务方案，包括但不限于售后服务响应时间、售后服务保障措施、售后服务体系及管理制度等，对内容的全面性、针对性、可行性进行评价。</w:t>
            </w:r>
            <w:r/>
          </w:p>
          <w:p>
            <w:pP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全面性（4分）：全面具体详实得4分；较全面得3分；基本具备的得2分；不太全面得1分。</w:t>
            </w:r>
            <w:r/>
          </w:p>
          <w:p>
            <w:pP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针对性（3分）：针对性强得3分；针对性较强得2分；针对性不强得1分。</w:t>
            </w:r>
            <w:r/>
          </w:p>
          <w:p>
            <w:pP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可行性（3分）：符合实际切实可行得3分；较切实可行得2分；可行性欠缺得1分；</w:t>
            </w:r>
            <w:r/>
          </w:p>
          <w:p>
            <w:pP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本项最高得10分，最低得0分，未提供的得0分。</w:t>
            </w:r>
            <w:r/>
          </w:p>
        </w:tc>
      </w:tr>
    </w:tbl>
    <w:p>
      <w:pPr>
        <w:spacing w:line="360" w:lineRule="auto"/>
        <w:rPr>
          <w:rFonts w:hint="eastAsia" w:ascii="宋体" w:hAnsi="宋体" w:eastAsia="宋体" w:cs="宋体"/>
          <w:color w:val="000000"/>
          <w:sz w:val="28"/>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1"/>
          <w:highlight w:val="none"/>
        </w:rPr>
        <w:t xml:space="preserve">本章说明：</w:t>
      </w:r>
      <w:r>
        <w:rPr>
          <w:rFonts w:hint="eastAsia" w:ascii="宋体" w:hAnsi="宋体" w:eastAsia="宋体" w:cs="宋体"/>
          <w:color w:val="000000"/>
          <w:sz w:val="24"/>
          <w:szCs w:val="21"/>
          <w:highlight w:val="none"/>
          <w:lang w:val="en-US" w:eastAsia="zh-CN"/>
        </w:rPr>
        <w:t xml:space="preserve">1、</w:t>
      </w:r>
      <w:r>
        <w:rPr>
          <w:rFonts w:hint="eastAsia" w:ascii="宋体" w:hAnsi="宋体" w:eastAsia="宋体" w:cs="宋体"/>
          <w:color w:val="000000"/>
          <w:sz w:val="24"/>
          <w:szCs w:val="21"/>
          <w:highlight w:val="none"/>
        </w:rPr>
        <w:t xml:space="preserve">本项目采用综合评分法</w:t>
      </w:r>
      <w:r>
        <w:rPr>
          <w:rFonts w:hint="eastAsia" w:ascii="宋体" w:hAnsi="宋体" w:eastAsia="宋体" w:cs="宋体"/>
          <w:color w:val="000000"/>
          <w:sz w:val="24"/>
          <w:szCs w:val="21"/>
          <w:highlight w:val="none"/>
          <w:lang w:eastAsia="zh-CN"/>
        </w:rPr>
        <w:t xml:space="preserve">，</w:t>
      </w:r>
      <w:r>
        <w:rPr>
          <w:rFonts w:hint="eastAsia" w:ascii="宋体" w:hAnsi="宋体" w:eastAsia="宋体" w:cs="宋体"/>
          <w:color w:val="000000"/>
          <w:sz w:val="24"/>
          <w:szCs w:val="21"/>
          <w:highlight w:val="none"/>
          <w:lang w:val="en-US" w:eastAsia="zh-CN"/>
        </w:rPr>
        <w:t xml:space="preserve">计算结果保留两位小数</w:t>
      </w:r>
      <w:r>
        <w:rPr>
          <w:rFonts w:hint="eastAsia" w:ascii="宋体" w:hAnsi="宋体" w:eastAsia="宋体" w:cs="宋体"/>
          <w:color w:val="000000"/>
          <w:sz w:val="24"/>
          <w:szCs w:val="21"/>
          <w:highlight w:val="none"/>
        </w:rPr>
        <w:t xml:space="preserve">。</w:t>
      </w:r>
      <w:r/>
    </w:p>
    <w:p>
      <w:pPr>
        <w:spacing w:line="360" w:lineRule="auto"/>
        <w:rPr>
          <w:rFonts w:hint="eastAsia" w:ascii="宋体" w:hAnsi="宋体" w:eastAsia="宋体" w:cs="宋体"/>
          <w:color w:val="000000"/>
          <w:sz w:val="28"/>
          <w:szCs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1"/>
          <w:highlight w:val="none"/>
          <w:lang w:val="en-US" w:eastAsia="zh-CN"/>
        </w:rPr>
        <w:t xml:space="preserve">2、</w:t>
      </w:r>
      <w:r>
        <w:rPr>
          <w:rFonts w:hint="eastAsia" w:ascii="宋体" w:hAnsi="宋体" w:eastAsia="宋体" w:cs="宋体"/>
          <w:color w:val="000000"/>
          <w:sz w:val="24"/>
          <w:szCs w:val="21"/>
          <w:highlight w:val="none"/>
        </w:rPr>
        <w:t xml:space="preserve">提供核心产品品牌相同且通过资格审查、符合性审查的不同投标人参加同一合同项下投标的，按一家投标人计算，评审后得分最高的同品牌投标人获得中标人推荐资格；评审得分相同的，采取最低价方式确定一个投标人获得中标人推荐资格，其他同品牌投标人不作为中标候选人（本项目中的同品牌特指核心产品，非核心产品不作要求）。</w:t>
      </w:r>
      <w:r/>
    </w:p>
    <w:p>
      <w:pPr>
        <w:jc w:val="center"/>
        <w:rPr>
          <w:rFonts w:hint="eastAsia" w:ascii="宋体" w:hAnsi="宋体" w:eastAsia="宋体" w:cs="宋体"/>
          <w:b/>
          <w:bCs/>
          <w:color w:val="000000"/>
          <w:sz w:val="30"/>
          <w:szCs w:val="30"/>
          <w:highlight w:val="none"/>
        </w:rPr>
        <w:sectPr>
          <w:footnotePr/>
          <w:endnotePr/>
          <w:type w:val="nextPage"/>
          <w:pgSz w:w="11906" w:h="16838" w:orient="portrait"/>
          <w:pgMar w:top="1321" w:right="1321" w:bottom="1321" w:left="1321" w:header="851" w:footer="992" w:gutter="0"/>
          <w:cols w:num="1" w:sep="0" w:space="1701" w:equalWidth="1"/>
          <w:docGrid w:linePitch="360"/>
        </w:sectPr>
      </w:pPr>
      <w:r>
        <w:rPr>
          <w:rFonts w:hint="eastAsia" w:ascii="宋体" w:hAnsi="宋体" w:eastAsia="宋体" w:cs="宋体"/>
          <w:b/>
          <w:bCs/>
          <w:color w:val="000000"/>
          <w:sz w:val="30"/>
          <w:szCs w:val="30"/>
          <w:highlight w:val="none"/>
        </w:rPr>
      </w:r>
      <w:r/>
    </w:p>
    <w:p>
      <w:pPr>
        <w:jc w:val="center"/>
        <w:spacing w:line="360" w:lineRule="auto"/>
        <w:rPr>
          <w:rFonts w:hint="eastAsia" w:ascii="宋体" w:hAnsi="宋体" w:eastAsia="宋体" w:cs="宋体"/>
          <w:b/>
          <w:bCs/>
          <w:color w:val="000000"/>
          <w:sz w:val="30"/>
          <w:szCs w:val="30"/>
          <w:highlight w:val="none"/>
        </w:rPr>
      </w:pPr>
      <w:r>
        <w:rPr>
          <w:rFonts w:hint="eastAsia" w:ascii="宋体" w:hAnsi="宋体" w:eastAsia="宋体" w:cs="宋体"/>
          <w:b/>
          <w:bCs/>
          <w:color w:val="000000"/>
          <w:sz w:val="30"/>
          <w:szCs w:val="30"/>
          <w:highlight w:val="none"/>
        </w:rPr>
        <w:t xml:space="preserve">第五章 拟签订的合同文本</w:t>
      </w:r>
      <w:r/>
    </w:p>
    <w:p>
      <w:pPr>
        <w:rPr>
          <w:rFonts w:hint="eastAsia" w:ascii="宋体" w:hAnsi="宋体" w:eastAsia="宋体" w:cs="宋体"/>
          <w:b/>
          <w:color w:val="000000"/>
          <w:sz w:val="52"/>
          <w:szCs w:val="36"/>
          <w:highlight w:val="none"/>
        </w:rPr>
      </w:pPr>
      <w:r>
        <w:rPr>
          <w:rFonts w:hint="eastAsia" w:ascii="宋体" w:hAnsi="宋体" w:eastAsia="宋体" w:cs="宋体"/>
          <w:b/>
          <w:color w:val="000000"/>
          <w:sz w:val="52"/>
          <w:szCs w:val="36"/>
          <w:highlight w:val="none"/>
        </w:rPr>
      </w:r>
      <w:r/>
    </w:p>
    <w:p>
      <w:pPr>
        <w:jc w:val="center"/>
        <w:rPr>
          <w:rFonts w:hint="eastAsia" w:ascii="宋体" w:hAnsi="宋体" w:eastAsia="宋体" w:cs="宋体"/>
          <w:b/>
          <w:color w:val="000000"/>
          <w:sz w:val="72"/>
          <w:szCs w:val="72"/>
          <w:highlight w:val="none"/>
        </w:rPr>
      </w:pPr>
      <w:r>
        <w:rPr>
          <w:rFonts w:hint="eastAsia" w:ascii="宋体" w:hAnsi="宋体" w:eastAsia="宋体" w:cs="宋体"/>
          <w:b/>
          <w:color w:val="000000"/>
          <w:sz w:val="72"/>
          <w:szCs w:val="72"/>
          <w:highlight w:val="none"/>
        </w:rPr>
      </w:r>
      <w:r/>
    </w:p>
    <w:p>
      <w:pPr>
        <w:jc w:val="center"/>
        <w:rPr>
          <w:rFonts w:hint="eastAsia" w:ascii="宋体" w:hAnsi="宋体" w:eastAsia="宋体" w:cs="宋体"/>
          <w:b/>
          <w:color w:val="000000"/>
          <w:sz w:val="72"/>
          <w:szCs w:val="72"/>
          <w:highlight w:val="none"/>
        </w:rPr>
      </w:pPr>
      <w:r>
        <w:rPr>
          <w:rFonts w:hint="eastAsia" w:ascii="宋体" w:hAnsi="宋体" w:eastAsia="宋体" w:cs="宋体"/>
          <w:b/>
          <w:color w:val="000000"/>
          <w:sz w:val="72"/>
          <w:szCs w:val="72"/>
          <w:highlight w:val="none"/>
        </w:rPr>
        <w:t xml:space="preserve">政 府 采 购 合 同</w:t>
      </w:r>
      <w:r/>
    </w:p>
    <w:p>
      <w:pPr>
        <w:jc w:val="left"/>
        <w:rPr>
          <w:rFonts w:hint="eastAsia" w:ascii="宋体" w:hAnsi="宋体" w:eastAsia="宋体" w:cs="宋体"/>
          <w:b/>
          <w:color w:val="000000"/>
          <w:sz w:val="36"/>
          <w:szCs w:val="36"/>
          <w:highlight w:val="none"/>
        </w:rPr>
      </w:pPr>
      <w:r>
        <w:rPr>
          <w:rFonts w:hint="eastAsia" w:ascii="宋体" w:hAnsi="宋体" w:eastAsia="宋体" w:cs="宋体"/>
          <w:b/>
          <w:color w:val="000000"/>
          <w:sz w:val="36"/>
          <w:szCs w:val="36"/>
          <w:highlight w:val="none"/>
        </w:rPr>
      </w:r>
      <w:r/>
    </w:p>
    <w:p>
      <w:pPr>
        <w:jc w:val="left"/>
        <w:rPr>
          <w:rFonts w:hint="eastAsia" w:ascii="宋体" w:hAnsi="宋体" w:eastAsia="宋体" w:cs="宋体"/>
          <w:b/>
          <w:color w:val="000000"/>
          <w:sz w:val="36"/>
          <w:szCs w:val="36"/>
          <w:highlight w:val="none"/>
        </w:rPr>
      </w:pPr>
      <w:r>
        <w:rPr>
          <w:rFonts w:hint="eastAsia" w:ascii="宋体" w:hAnsi="宋体" w:eastAsia="宋体" w:cs="宋体"/>
          <w:b/>
          <w:color w:val="000000"/>
          <w:sz w:val="36"/>
          <w:szCs w:val="36"/>
          <w:highlight w:val="none"/>
        </w:rPr>
      </w:r>
      <w:r/>
    </w:p>
    <w:p>
      <w:pPr>
        <w:jc w:val="left"/>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r>
      <w:r/>
    </w:p>
    <w:p>
      <w:pPr>
        <w:jc w:val="left"/>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r>
      <w:r/>
    </w:p>
    <w:p>
      <w:pPr>
        <w:jc w:val="left"/>
        <w:rPr>
          <w:rFonts w:hint="eastAsia" w:ascii="宋体" w:hAnsi="宋体" w:eastAsia="宋体" w:cs="宋体"/>
          <w:b/>
          <w:color w:val="000000"/>
          <w:sz w:val="32"/>
          <w:szCs w:val="32"/>
          <w:highlight w:val="none"/>
          <w:lang w:eastAsia="zh-CN"/>
        </w:rPr>
      </w:pPr>
      <w:r>
        <w:rPr>
          <w:rFonts w:hint="eastAsia" w:ascii="宋体" w:hAnsi="宋体" w:eastAsia="宋体" w:cs="宋体"/>
          <w:b/>
          <w:color w:val="000000"/>
          <w:sz w:val="32"/>
          <w:szCs w:val="32"/>
          <w:highlight w:val="none"/>
        </w:rPr>
        <w:t xml:space="preserve">项目编号：</w:t>
      </w:r>
      <w:r>
        <w:rPr>
          <w:rFonts w:hint="eastAsia" w:ascii="宋体" w:hAnsi="宋体" w:cs="宋体"/>
          <w:b/>
          <w:strike w:val="0"/>
          <w:color w:val="000000"/>
          <w:sz w:val="32"/>
          <w:szCs w:val="32"/>
          <w:highlight w:val="none"/>
          <w:lang w:eastAsia="zh-CN"/>
        </w:rPr>
        <w:t xml:space="preserve">JSZC-320322-SHGC-G2026-0003</w:t>
      </w:r>
      <w:r/>
    </w:p>
    <w:p>
      <w:pPr>
        <w:jc w:val="left"/>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r>
      <w:r/>
    </w:p>
    <w:p>
      <w:pPr>
        <w:jc w:val="left"/>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r>
      <w:r/>
    </w:p>
    <w:p>
      <w:pPr>
        <w:jc w:val="left"/>
        <w:rPr>
          <w:rFonts w:hint="eastAsia" w:ascii="宋体" w:hAnsi="宋体" w:eastAsia="宋体" w:cs="宋体"/>
          <w:b/>
          <w:color w:val="000000"/>
          <w:sz w:val="32"/>
          <w:szCs w:val="32"/>
          <w:highlight w:val="none"/>
          <w:lang w:eastAsia="zh-CN"/>
        </w:rPr>
      </w:pPr>
      <w:r>
        <w:rPr>
          <w:rFonts w:hint="eastAsia" w:ascii="宋体" w:hAnsi="宋体" w:eastAsia="宋体" w:cs="宋体"/>
          <w:b/>
          <w:color w:val="000000"/>
          <w:sz w:val="32"/>
          <w:szCs w:val="32"/>
          <w:highlight w:val="none"/>
        </w:rPr>
        <w:t xml:space="preserve">项目名称：</w:t>
      </w:r>
      <w:r>
        <w:rPr>
          <w:rFonts w:hint="eastAsia" w:ascii="宋体" w:hAnsi="宋体" w:cs="宋体"/>
          <w:b/>
          <w:color w:val="000000"/>
          <w:sz w:val="32"/>
          <w:szCs w:val="32"/>
          <w:highlight w:val="none"/>
          <w:lang w:eastAsia="zh-CN"/>
        </w:rPr>
        <w:t xml:space="preserve">江苏省沛县中学校园文化智能化采购</w:t>
      </w:r>
      <w:r>
        <w:rPr>
          <w:rFonts w:hint="eastAsia" w:ascii="宋体" w:hAnsi="宋体" w:eastAsia="宋体" w:cs="宋体"/>
          <w:b/>
          <w:color w:val="000000"/>
          <w:sz w:val="32"/>
          <w:szCs w:val="32"/>
          <w:highlight w:val="none"/>
          <w:lang w:eastAsia="zh-CN"/>
        </w:rPr>
        <w:t xml:space="preserve">项目</w:t>
      </w:r>
      <w:r/>
    </w:p>
    <w:p>
      <w:pPr>
        <w:jc w:val="left"/>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r>
      <w:r/>
    </w:p>
    <w:p>
      <w:pPr>
        <w:jc w:val="left"/>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r>
      <w:r/>
    </w:p>
    <w:p>
      <w:pPr>
        <w:jc w:val="left"/>
        <w:rPr>
          <w:rFonts w:hint="eastAsia" w:ascii="宋体" w:hAnsi="宋体" w:eastAsia="宋体" w:cs="宋体"/>
          <w:b/>
          <w:color w:val="000000"/>
          <w:sz w:val="32"/>
          <w:szCs w:val="32"/>
          <w:highlight w:val="none"/>
          <w:lang w:eastAsia="zh-CN"/>
        </w:rPr>
      </w:pPr>
      <w:r>
        <w:rPr>
          <w:rFonts w:hint="eastAsia" w:ascii="宋体" w:hAnsi="宋体" w:eastAsia="宋体" w:cs="宋体"/>
          <w:b/>
          <w:color w:val="000000"/>
          <w:sz w:val="32"/>
          <w:szCs w:val="32"/>
          <w:highlight w:val="none"/>
        </w:rPr>
        <w:t xml:space="preserve">采购单位（甲方）：</w:t>
      </w:r>
      <w:r>
        <w:rPr>
          <w:rFonts w:hint="eastAsia" w:ascii="宋体" w:hAnsi="宋体" w:eastAsia="宋体" w:cs="宋体"/>
          <w:b/>
          <w:color w:val="000000"/>
          <w:sz w:val="32"/>
          <w:szCs w:val="32"/>
          <w:highlight w:val="none"/>
          <w:lang w:eastAsia="zh-CN"/>
        </w:rPr>
        <w:t xml:space="preserve">江苏省沛县中学</w:t>
      </w:r>
      <w:r/>
    </w:p>
    <w:p>
      <w:pPr>
        <w:ind w:firstLine="630"/>
        <w:jc w:val="left"/>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r>
      <w:r/>
    </w:p>
    <w:p>
      <w:pPr>
        <w:jc w:val="left"/>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r>
      <w:r/>
    </w:p>
    <w:p>
      <w:pPr>
        <w:jc w:val="left"/>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t xml:space="preserve">中标供应商（乙方）：</w:t>
      </w:r>
      <w:r/>
    </w:p>
    <w:p>
      <w:pPr>
        <w:ind w:firstLine="630"/>
        <w:jc w:val="left"/>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r>
      <w:r/>
    </w:p>
    <w:p>
      <w:pPr>
        <w:jc w:val="left"/>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r>
      <w:r/>
    </w:p>
    <w:p>
      <w:pPr>
        <w:jc w:val="left"/>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t xml:space="preserve">签订日期：    年  月  日</w:t>
      </w:r>
      <w:r/>
    </w:p>
    <w:p>
      <w:pPr>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r>
      <w:r/>
    </w:p>
    <w:p>
      <w:pPr>
        <w:pStyle w:val="761"/>
        <w:ind w:left="0"/>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761"/>
        <w:ind w:left="0" w:right="0"/>
        <w:spacing w:after="0"/>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r>
      <w:r/>
    </w:p>
    <w:p>
      <w:pPr>
        <w:pStyle w:val="761"/>
        <w:ind w:left="0" w:right="0"/>
        <w:spacing w:after="0"/>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r>
      <w:r/>
    </w:p>
    <w:p>
      <w:pPr>
        <w:pStyle w:val="761"/>
        <w:ind w:left="0" w:right="0"/>
        <w:spacing w:after="0"/>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r>
      <w:r/>
    </w:p>
    <w:p>
      <w:pPr>
        <w:pStyle w:val="761"/>
        <w:ind w:left="0" w:right="0"/>
        <w:spacing w:after="0"/>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t xml:space="preserve">友情提醒：采购人与中标、成交供应商应当在中标通知书发出之日起三十日内，按照采购文件确定的事项签订政府采购合同。</w:t>
      </w:r>
      <w:r/>
    </w:p>
    <w:p>
      <w:pPr>
        <w:pStyle w:val="761"/>
        <w:ind w:left="0" w:right="0"/>
        <w:spacing w:after="0"/>
        <w:rPr>
          <w:rFonts w:hint="eastAsia" w:ascii="宋体" w:hAnsi="宋体" w:eastAsia="宋体" w:cs="宋体"/>
          <w:b/>
          <w:color w:val="000000"/>
          <w:sz w:val="24"/>
          <w:highlight w:val="none"/>
        </w:rPr>
        <w:sectPr>
          <w:footnotePr/>
          <w:endnotePr/>
          <w:type w:val="nextPage"/>
          <w:pgSz w:w="11906" w:h="16838" w:orient="portrait"/>
          <w:pgMar w:top="1440" w:right="1803" w:bottom="1440" w:left="1803" w:header="851" w:footer="992" w:gutter="0"/>
          <w:cols w:num="1" w:sep="0" w:space="1701" w:equalWidth="1"/>
          <w:docGrid w:linePitch="360"/>
        </w:sectPr>
      </w:pPr>
      <w:r>
        <w:rPr>
          <w:rFonts w:hint="eastAsia" w:ascii="宋体" w:hAnsi="宋体" w:eastAsia="宋体" w:cs="宋体"/>
          <w:b/>
          <w:color w:val="000000"/>
          <w:sz w:val="24"/>
          <w:highlight w:val="none"/>
        </w:rPr>
        <w:t xml:space="preserve">采购人应当自政府采购合同签订之日起2个工作日内，将政府采购合同在省级以上人民政府财政部门指定的媒体上公告，但政府采购合同中涉及国家秘密、商业秘密的内容除外。</w:t>
      </w:r>
      <w:r/>
    </w:p>
    <w:p>
      <w:pPr>
        <w:pStyle w:val="765"/>
        <w:ind w:left="0" w:right="0"/>
        <w:jc w:val="center"/>
        <w:keepLines w:val="0"/>
        <w:keepNext w:val="0"/>
        <w:spacing w:before="0" w:beforeAutospacing="0" w:after="0" w:afterAutospacing="0"/>
        <w:widowControl w:val="off"/>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30"/>
          <w:szCs w:val="30"/>
          <w:highlight w:val="none"/>
        </w:rPr>
        <w:t xml:space="preserve">合同通用条款</w:t>
      </w:r>
      <w:r/>
    </w:p>
    <w:p>
      <w:pPr>
        <w:pStyle w:val="765"/>
        <w:jc w:val="center"/>
        <w:keepLines w:val="0"/>
        <w:keepNext w:val="0"/>
        <w:spacing w:before="0" w:beforeAutospacing="0" w:after="0" w:afterAutospacing="0"/>
        <w:widowControl w:val="off"/>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highlight w:val="none"/>
        </w:rPr>
        <w:t xml:space="preserve"> </w:t>
      </w:r>
      <w:r/>
    </w:p>
    <w:p>
      <w:pPr>
        <w:pStyle w:val="765"/>
        <w:jc w:val="center"/>
        <w:keepLines w:val="0"/>
        <w:keepNext w:val="0"/>
        <w:spacing w:before="0" w:beforeAutospacing="0" w:after="0" w:afterAutospacing="0"/>
        <w:widowControl w:val="off"/>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目录</w:t>
      </w:r>
      <w:r/>
    </w:p>
    <w:p>
      <w:pPr>
        <w:pStyle w:val="765"/>
        <w:jc w:val="center"/>
        <w:keepLines w:val="0"/>
        <w:keepNext w:val="0"/>
        <w:spacing w:before="0" w:beforeAutospacing="0" w:after="0" w:afterAutospacing="0"/>
        <w:widowControl w:val="off"/>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highlight w:val="none"/>
        </w:rPr>
        <w:t xml:space="preserve"> </w:t>
      </w:r>
      <w:r/>
    </w:p>
    <w:p>
      <w:pPr>
        <w:pStyle w:val="765"/>
        <w:jc w:val="both"/>
        <w:keepLines w:val="0"/>
        <w:keepNext w:val="0"/>
        <w:spacing w:before="0" w:beforeAutospacing="0" w:after="0" w:afterAutospacing="0"/>
        <w:widowControl w:val="off"/>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第一条   定义</w:t>
      </w:r>
      <w:r/>
    </w:p>
    <w:p>
      <w:pPr>
        <w:pStyle w:val="765"/>
        <w:jc w:val="both"/>
        <w:keepLines w:val="0"/>
        <w:keepNext w:val="0"/>
        <w:spacing w:before="0" w:beforeAutospacing="0" w:after="0" w:afterAutospacing="0"/>
        <w:widowControl w:val="off"/>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第二条   合同范围</w:t>
      </w:r>
      <w:r/>
    </w:p>
    <w:p>
      <w:pPr>
        <w:pStyle w:val="765"/>
        <w:jc w:val="both"/>
        <w:keepLines w:val="0"/>
        <w:keepNext w:val="0"/>
        <w:spacing w:before="0" w:beforeAutospacing="0" w:after="0" w:afterAutospacing="0"/>
        <w:widowControl w:val="off"/>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第三条   价格</w:t>
      </w:r>
      <w:r/>
    </w:p>
    <w:p>
      <w:pPr>
        <w:pStyle w:val="765"/>
        <w:jc w:val="both"/>
        <w:keepLines w:val="0"/>
        <w:keepNext w:val="0"/>
        <w:spacing w:before="0" w:beforeAutospacing="0" w:after="0" w:afterAutospacing="0"/>
        <w:widowControl w:val="off"/>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第四条   支付</w:t>
      </w:r>
      <w:r/>
    </w:p>
    <w:p>
      <w:pPr>
        <w:pStyle w:val="765"/>
        <w:jc w:val="both"/>
        <w:keepLines w:val="0"/>
        <w:keepNext w:val="0"/>
        <w:spacing w:before="0" w:beforeAutospacing="0" w:after="0" w:afterAutospacing="0"/>
        <w:widowControl w:val="off"/>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第五条   交货</w:t>
      </w:r>
      <w:r/>
    </w:p>
    <w:p>
      <w:pPr>
        <w:pStyle w:val="765"/>
        <w:jc w:val="both"/>
        <w:keepLines w:val="0"/>
        <w:keepNext w:val="0"/>
        <w:spacing w:before="0" w:beforeAutospacing="0" w:after="0" w:afterAutospacing="0"/>
        <w:widowControl w:val="off"/>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第六条   包装和标记</w:t>
      </w:r>
      <w:r/>
    </w:p>
    <w:p>
      <w:pPr>
        <w:pStyle w:val="765"/>
        <w:jc w:val="both"/>
        <w:keepLines w:val="0"/>
        <w:keepNext w:val="0"/>
        <w:spacing w:before="0" w:beforeAutospacing="0" w:after="0" w:afterAutospacing="0"/>
        <w:widowControl w:val="off"/>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第七条   技术资料</w:t>
      </w:r>
      <w:r/>
    </w:p>
    <w:p>
      <w:pPr>
        <w:pStyle w:val="765"/>
        <w:jc w:val="both"/>
        <w:keepLines w:val="0"/>
        <w:keepNext w:val="0"/>
        <w:spacing w:before="0" w:beforeAutospacing="0" w:after="0" w:afterAutospacing="0"/>
        <w:widowControl w:val="off"/>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第八条  安装</w:t>
      </w:r>
      <w:r/>
    </w:p>
    <w:p>
      <w:pPr>
        <w:pStyle w:val="765"/>
        <w:jc w:val="both"/>
        <w:keepLines w:val="0"/>
        <w:keepNext w:val="0"/>
        <w:spacing w:before="0" w:beforeAutospacing="0" w:after="0" w:afterAutospacing="0"/>
        <w:widowControl w:val="off"/>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第九条  验收</w:t>
      </w:r>
      <w:r/>
    </w:p>
    <w:p>
      <w:pPr>
        <w:pStyle w:val="765"/>
        <w:jc w:val="both"/>
        <w:keepLines w:val="0"/>
        <w:keepNext w:val="0"/>
        <w:spacing w:before="0" w:beforeAutospacing="0" w:after="0" w:afterAutospacing="0"/>
        <w:widowControl w:val="off"/>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第十条  售后服务和技术培训</w:t>
      </w:r>
      <w:r/>
    </w:p>
    <w:p>
      <w:pPr>
        <w:pStyle w:val="765"/>
        <w:jc w:val="both"/>
        <w:keepLines w:val="0"/>
        <w:keepNext w:val="0"/>
        <w:spacing w:before="0" w:beforeAutospacing="0" w:after="0" w:afterAutospacing="0"/>
        <w:widowControl w:val="off"/>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第十一条  索赔</w:t>
      </w:r>
      <w:r/>
    </w:p>
    <w:p>
      <w:pPr>
        <w:pStyle w:val="765"/>
        <w:jc w:val="both"/>
        <w:keepLines w:val="0"/>
        <w:keepNext w:val="0"/>
        <w:spacing w:before="0" w:beforeAutospacing="0" w:after="0" w:afterAutospacing="0"/>
        <w:widowControl w:val="off"/>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第十二条  不可抗力</w:t>
      </w:r>
      <w:r/>
    </w:p>
    <w:p>
      <w:pPr>
        <w:pStyle w:val="765"/>
        <w:jc w:val="both"/>
        <w:keepLines w:val="0"/>
        <w:keepNext w:val="0"/>
        <w:spacing w:before="0" w:beforeAutospacing="0" w:after="0" w:afterAutospacing="0"/>
        <w:widowControl w:val="off"/>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第十三条  合同的终止</w:t>
      </w:r>
      <w:r/>
    </w:p>
    <w:p>
      <w:pPr>
        <w:pStyle w:val="765"/>
        <w:jc w:val="both"/>
        <w:keepLines w:val="0"/>
        <w:keepNext w:val="0"/>
        <w:spacing w:before="0" w:beforeAutospacing="0" w:after="0" w:afterAutospacing="0"/>
        <w:widowControl w:val="off"/>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第十四条  争议的解决</w:t>
      </w:r>
      <w:r/>
    </w:p>
    <w:p>
      <w:pPr>
        <w:pStyle w:val="765"/>
        <w:jc w:val="both"/>
        <w:keepLines w:val="0"/>
        <w:keepNext w:val="0"/>
        <w:spacing w:before="0" w:beforeAutospacing="0" w:after="0" w:afterAutospacing="0"/>
        <w:widowControl w:val="off"/>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第十五条  适用法律</w:t>
      </w:r>
      <w:r/>
    </w:p>
    <w:p>
      <w:pPr>
        <w:pStyle w:val="765"/>
        <w:jc w:val="both"/>
        <w:keepLines w:val="0"/>
        <w:keepNext w:val="0"/>
        <w:spacing w:before="0" w:beforeAutospacing="0" w:after="0" w:afterAutospacing="0"/>
        <w:widowControl w:val="off"/>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第十六条  权利保证</w:t>
      </w:r>
      <w:r/>
    </w:p>
    <w:p>
      <w:pPr>
        <w:pStyle w:val="765"/>
        <w:jc w:val="both"/>
        <w:keepLines w:val="0"/>
        <w:keepNext w:val="0"/>
        <w:spacing w:before="0" w:beforeAutospacing="0" w:after="0" w:afterAutospacing="0"/>
        <w:widowControl w:val="off"/>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第十七条  保密</w:t>
      </w:r>
      <w:r/>
    </w:p>
    <w:p>
      <w:pPr>
        <w:pStyle w:val="765"/>
        <w:jc w:val="both"/>
        <w:keepLines w:val="0"/>
        <w:keepNext w:val="0"/>
        <w:spacing w:before="0" w:beforeAutospacing="0" w:after="0" w:afterAutospacing="0"/>
        <w:widowControl w:val="off"/>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第十八条  合同生效及其他</w:t>
      </w:r>
      <w:r/>
    </w:p>
    <w:p>
      <w:pPr>
        <w:pStyle w:val="765"/>
        <w:jc w:val="center"/>
        <w:keepLines w:val="0"/>
        <w:keepNext w:val="0"/>
        <w:spacing w:before="0" w:beforeAutospacing="0" w:after="200" w:afterAutospacing="0" w:line="273" w:lineRule="auto"/>
        <w:widowControl/>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between w:val="none" w:color="000000" w:sz="0" w:space="0"/>
        </w:pBdr>
        <w:sectPr>
          <w:headerReference w:type="default" r:id="rId11"/>
          <w:footerReference w:type="default" r:id="rId13"/>
          <w:footnotePr/>
          <w:endnotePr/>
          <w:type w:val="nextPage"/>
          <w:pgSz w:w="11906" w:h="16838" w:orient="portrait"/>
          <w:pgMar w:top="1440" w:right="1803" w:bottom="1440" w:left="1803" w:header="851" w:footer="992" w:gutter="0"/>
          <w:cols w:num="1" w:sep="0" w:space="1701" w:equalWidth="1"/>
          <w:docGrid w:linePitch="360"/>
        </w:sectPr>
        <w:suppressLineNumbers w:val="0"/>
      </w:pPr>
      <w:r>
        <w:rPr>
          <w:rFonts w:hint="eastAsia" w:ascii="宋体" w:hAnsi="宋体" w:eastAsia="宋体" w:cs="宋体"/>
          <w:color w:val="000000"/>
          <w:highlight w:val="none"/>
        </w:rPr>
      </w:r>
      <w:r/>
    </w:p>
    <w:p>
      <w:pPr>
        <w:pStyle w:val="765"/>
        <w:jc w:val="center"/>
        <w:keepLines w:val="0"/>
        <w:keepNext w:val="0"/>
        <w:spacing w:before="0" w:beforeAutospacing="0" w:after="0" w:afterAutospacing="0"/>
        <w:widowControl w:val="off"/>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30"/>
          <w:szCs w:val="30"/>
          <w:highlight w:val="none"/>
        </w:rPr>
        <w:t xml:space="preserve">合同通用条款</w:t>
      </w:r>
      <w:r/>
    </w:p>
    <w:p>
      <w:pPr>
        <w:pStyle w:val="765"/>
        <w:jc w:val="center"/>
        <w:keepLines w:val="0"/>
        <w:keepNext w:val="0"/>
        <w:spacing w:before="0" w:beforeAutospacing="0" w:after="0" w:afterAutospacing="0"/>
        <w:widowControl w:val="off"/>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highlight w:val="none"/>
        </w:rPr>
        <w:t xml:space="preserve"> </w:t>
      </w:r>
      <w:r/>
    </w:p>
    <w:p>
      <w:pPr>
        <w:pStyle w:val="765"/>
        <w:ind w:left="0" w:firstLine="480"/>
        <w:jc w:val="both"/>
        <w:keepLines w:val="0"/>
        <w:keepNext w:val="0"/>
        <w:pageBreakBefore w:val="0"/>
        <w:spacing w:before="0" w:beforeAutospacing="0" w:after="0" w:afterAutospacing="0" w:line="240" w:lineRule="auto"/>
        <w:widowControl w:val="off"/>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第一条  定义</w:t>
      </w:r>
      <w:r/>
    </w:p>
    <w:p>
      <w:pPr>
        <w:pStyle w:val="765"/>
        <w:ind w:left="0" w:firstLine="480"/>
        <w:jc w:val="both"/>
        <w:keepLines w:val="0"/>
        <w:keepNext w:val="0"/>
        <w:pageBreakBefore w:val="0"/>
        <w:spacing w:before="0" w:beforeAutospacing="0" w:after="0" w:afterAutospacing="0" w:line="240" w:lineRule="auto"/>
        <w:widowControl w:val="off"/>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除本合同上下文中另有规定外，下列各词语定义如下： </w:t>
      </w:r>
      <w:r/>
    </w:p>
    <w:p>
      <w:pPr>
        <w:pStyle w:val="765"/>
        <w:ind w:left="0" w:firstLine="480"/>
        <w:jc w:val="both"/>
        <w:keepLines w:val="0"/>
        <w:keepNext w:val="0"/>
        <w:pageBreakBefore w:val="0"/>
        <w:spacing w:before="0" w:beforeAutospacing="0" w:after="0" w:afterAutospacing="0" w:line="240" w:lineRule="auto"/>
        <w:widowControl w:val="off"/>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1.1“买方”见《合同专用条款》。</w:t>
      </w:r>
      <w:r/>
    </w:p>
    <w:p>
      <w:pPr>
        <w:pStyle w:val="765"/>
        <w:ind w:left="0" w:firstLine="480"/>
        <w:jc w:val="both"/>
        <w:keepLines w:val="0"/>
        <w:keepNext w:val="0"/>
        <w:pageBreakBefore w:val="0"/>
        <w:spacing w:before="0" w:beforeAutospacing="0" w:after="0" w:afterAutospacing="0" w:line="240" w:lineRule="auto"/>
        <w:widowControl w:val="off"/>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1.2“卖方”见《合同专用条款》。</w:t>
      </w:r>
      <w:r/>
    </w:p>
    <w:p>
      <w:pPr>
        <w:pStyle w:val="765"/>
        <w:ind w:left="0" w:firstLine="480"/>
        <w:jc w:val="both"/>
        <w:keepLines w:val="0"/>
        <w:keepNext w:val="0"/>
        <w:pageBreakBefore w:val="0"/>
        <w:spacing w:before="0" w:beforeAutospacing="0" w:after="0" w:afterAutospacing="0" w:line="240" w:lineRule="auto"/>
        <w:widowControl w:val="off"/>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1.3“工作现场”见《合同专用条款》。</w:t>
      </w:r>
      <w:r/>
    </w:p>
    <w:p>
      <w:pPr>
        <w:pStyle w:val="765"/>
        <w:ind w:left="0" w:firstLine="480"/>
        <w:jc w:val="both"/>
        <w:keepLines w:val="0"/>
        <w:keepNext w:val="0"/>
        <w:pageBreakBefore w:val="0"/>
        <w:spacing w:before="0" w:beforeAutospacing="0" w:after="0" w:afterAutospacing="0" w:line="240" w:lineRule="auto"/>
        <w:widowControl w:val="off"/>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1.4“合同标的”见合同附件4。</w:t>
      </w:r>
      <w:r/>
    </w:p>
    <w:p>
      <w:pPr>
        <w:pStyle w:val="765"/>
        <w:ind w:left="0" w:firstLine="480"/>
        <w:jc w:val="both"/>
        <w:keepLines w:val="0"/>
        <w:keepNext w:val="0"/>
        <w:pageBreakBefore w:val="0"/>
        <w:spacing w:before="0" w:beforeAutospacing="0" w:after="0" w:afterAutospacing="0" w:line="240" w:lineRule="auto"/>
        <w:widowControl w:val="off"/>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1.5“技术资料”是指与合同标的的安装、试运行、验收、操作以及维修有关的技术指标、规格、图纸和文件。</w:t>
      </w:r>
      <w:r/>
    </w:p>
    <w:p>
      <w:pPr>
        <w:pStyle w:val="765"/>
        <w:ind w:left="0" w:firstLine="480"/>
        <w:jc w:val="both"/>
        <w:keepLines w:val="0"/>
        <w:keepNext w:val="0"/>
        <w:pageBreakBefore w:val="0"/>
        <w:spacing w:before="0" w:beforeAutospacing="0" w:after="0" w:afterAutospacing="0" w:line="240" w:lineRule="auto"/>
        <w:widowControl w:val="off"/>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1.6“技术培训”是指在合同标的的安装、试运行、验收、操作、维修以及其他方面卖方给予买方的培训。</w:t>
      </w:r>
      <w:r/>
    </w:p>
    <w:p>
      <w:pPr>
        <w:pStyle w:val="765"/>
        <w:ind w:left="0" w:firstLine="480"/>
        <w:jc w:val="both"/>
        <w:keepLines w:val="0"/>
        <w:keepNext w:val="0"/>
        <w:pageBreakBefore w:val="0"/>
        <w:spacing w:before="0" w:beforeAutospacing="0" w:after="0" w:afterAutospacing="0" w:line="240" w:lineRule="auto"/>
        <w:widowControl w:val="off"/>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1.7“安装”是指有关合同标的、备件和材料的安装工作。</w:t>
      </w:r>
      <w:r/>
    </w:p>
    <w:p>
      <w:pPr>
        <w:pStyle w:val="765"/>
        <w:ind w:left="0" w:firstLine="480"/>
        <w:jc w:val="both"/>
        <w:keepLines w:val="0"/>
        <w:keepNext w:val="0"/>
        <w:pageBreakBefore w:val="0"/>
        <w:spacing w:before="0" w:beforeAutospacing="0" w:after="0" w:afterAutospacing="0" w:line="240" w:lineRule="auto"/>
        <w:widowControl w:val="off"/>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1.8“试运行”是指为验明合同标的的技术性能，在安装完毕后对合同标的进行的测试。</w:t>
      </w:r>
      <w:r/>
    </w:p>
    <w:p>
      <w:pPr>
        <w:pStyle w:val="765"/>
        <w:ind w:left="0" w:firstLine="480"/>
        <w:jc w:val="both"/>
        <w:keepLines w:val="0"/>
        <w:keepNext w:val="0"/>
        <w:pageBreakBefore w:val="0"/>
        <w:spacing w:before="0" w:beforeAutospacing="0" w:after="0" w:afterAutospacing="0" w:line="240" w:lineRule="auto"/>
        <w:widowControl w:val="off"/>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1.9“验收”是指根据合同附件2的规定进行的，用以确定合同标的是否达到合同附件2 所规定的技术性能的检验，以及合同标的在达到合同附件2 规定的技术性能之后，买方对合同标的的接受。</w:t>
      </w:r>
      <w:r/>
    </w:p>
    <w:p>
      <w:pPr>
        <w:pStyle w:val="765"/>
        <w:ind w:left="0" w:firstLine="480"/>
        <w:jc w:val="both"/>
        <w:keepLines w:val="0"/>
        <w:keepNext w:val="0"/>
        <w:pageBreakBefore w:val="0"/>
        <w:spacing w:before="0" w:beforeAutospacing="0" w:after="0" w:afterAutospacing="0" w:line="240" w:lineRule="auto"/>
        <w:widowControl w:val="off"/>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1.10“合同货币”见《合同专用条款》。</w:t>
      </w:r>
      <w:r/>
    </w:p>
    <w:p>
      <w:pPr>
        <w:pStyle w:val="765"/>
        <w:ind w:left="0" w:firstLine="480"/>
        <w:jc w:val="both"/>
        <w:keepLines w:val="0"/>
        <w:keepNext w:val="0"/>
        <w:pageBreakBefore w:val="0"/>
        <w:spacing w:before="0" w:beforeAutospacing="0" w:after="0" w:afterAutospacing="0" w:line="240" w:lineRule="auto"/>
        <w:widowControl w:val="off"/>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1.11“合同价格”见合同附件4。</w:t>
      </w:r>
      <w:r/>
    </w:p>
    <w:p>
      <w:pPr>
        <w:pStyle w:val="765"/>
        <w:ind w:left="0" w:firstLine="480"/>
        <w:jc w:val="both"/>
        <w:keepLines w:val="0"/>
        <w:keepNext w:val="0"/>
        <w:pageBreakBefore w:val="0"/>
        <w:spacing w:before="0" w:beforeAutospacing="0" w:after="0" w:afterAutospacing="0" w:line="240" w:lineRule="auto"/>
        <w:widowControl w:val="off"/>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1.12“合同生效日”见《合同协议书》（合同附件1）第5 条。</w:t>
      </w:r>
      <w:r/>
    </w:p>
    <w:p>
      <w:pPr>
        <w:pStyle w:val="765"/>
        <w:ind w:left="0" w:firstLine="480"/>
        <w:jc w:val="both"/>
        <w:keepLines w:val="0"/>
        <w:keepNext w:val="0"/>
        <w:pageBreakBefore w:val="0"/>
        <w:spacing w:before="0" w:beforeAutospacing="0" w:after="0" w:afterAutospacing="0" w:line="240" w:lineRule="auto"/>
        <w:widowControl w:val="off"/>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1.13“日”是指日历天数。</w:t>
      </w:r>
      <w:r/>
    </w:p>
    <w:p>
      <w:pPr>
        <w:pStyle w:val="765"/>
        <w:ind w:left="0" w:firstLine="480"/>
        <w:jc w:val="both"/>
        <w:keepLines w:val="0"/>
        <w:keepNext w:val="0"/>
        <w:pageBreakBefore w:val="0"/>
        <w:spacing w:before="0" w:beforeAutospacing="0" w:after="0" w:afterAutospacing="0" w:line="240" w:lineRule="auto"/>
        <w:widowControl w:val="off"/>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1.14“月”是指日历月数。</w:t>
      </w:r>
      <w:r/>
    </w:p>
    <w:p>
      <w:pPr>
        <w:pStyle w:val="765"/>
        <w:ind w:left="0" w:firstLine="480"/>
        <w:jc w:val="both"/>
        <w:keepLines w:val="0"/>
        <w:keepNext w:val="0"/>
        <w:pageBreakBefore w:val="0"/>
        <w:spacing w:before="0" w:beforeAutospacing="0" w:after="0" w:afterAutospacing="0" w:line="240" w:lineRule="auto"/>
        <w:widowControl w:val="off"/>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1.15“采购需求” 见合同附件6。</w:t>
      </w:r>
      <w:r/>
    </w:p>
    <w:p>
      <w:pPr>
        <w:pStyle w:val="765"/>
        <w:ind w:left="0" w:firstLine="480"/>
        <w:jc w:val="both"/>
        <w:keepLines w:val="0"/>
        <w:keepNext w:val="0"/>
        <w:pageBreakBefore w:val="0"/>
        <w:spacing w:before="0" w:beforeAutospacing="0" w:after="0" w:afterAutospacing="0" w:line="240" w:lineRule="auto"/>
        <w:widowControl w:val="off"/>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highlight w:val="none"/>
        </w:rPr>
        <w:t xml:space="preserve"> </w:t>
      </w:r>
      <w:r/>
    </w:p>
    <w:p>
      <w:pPr>
        <w:pStyle w:val="765"/>
        <w:ind w:left="0" w:firstLine="480"/>
        <w:jc w:val="both"/>
        <w:keepLines w:val="0"/>
        <w:keepNext w:val="0"/>
        <w:pageBreakBefore w:val="0"/>
        <w:spacing w:before="0" w:beforeAutospacing="0" w:after="0" w:afterAutospacing="0" w:line="240" w:lineRule="auto"/>
        <w:widowControl w:val="off"/>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第二条 合同范围</w:t>
      </w:r>
      <w:r/>
    </w:p>
    <w:p>
      <w:pPr>
        <w:pStyle w:val="765"/>
        <w:ind w:left="0" w:firstLine="480"/>
        <w:jc w:val="both"/>
        <w:keepLines w:val="0"/>
        <w:keepNext w:val="0"/>
        <w:pageBreakBefore w:val="0"/>
        <w:spacing w:before="0" w:beforeAutospacing="0" w:after="0" w:afterAutospacing="0" w:line="240" w:lineRule="auto"/>
        <w:widowControl w:val="off"/>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2.1买方同意从卖方购买、卖方同意向买方出售和提供的合同标的以及相关售后服务、技术培训和技术资料。</w:t>
      </w:r>
      <w:r/>
    </w:p>
    <w:p>
      <w:pPr>
        <w:pStyle w:val="765"/>
        <w:ind w:left="0" w:firstLine="480"/>
        <w:jc w:val="both"/>
        <w:keepLines w:val="0"/>
        <w:keepNext w:val="0"/>
        <w:pageBreakBefore w:val="0"/>
        <w:spacing w:before="0" w:beforeAutospacing="0" w:after="0" w:afterAutospacing="0" w:line="240" w:lineRule="auto"/>
        <w:widowControl w:val="off"/>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2.2数量：见招标文件第六章《采购需求》中“三、数量要求”。</w:t>
      </w:r>
      <w:r/>
    </w:p>
    <w:p>
      <w:pPr>
        <w:pStyle w:val="765"/>
        <w:ind w:left="0" w:firstLine="480"/>
        <w:jc w:val="both"/>
        <w:keepLines w:val="0"/>
        <w:keepNext w:val="0"/>
        <w:pageBreakBefore w:val="0"/>
        <w:spacing w:before="0" w:beforeAutospacing="0" w:after="0" w:afterAutospacing="0" w:line="240" w:lineRule="auto"/>
        <w:widowControl w:val="off"/>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highlight w:val="none"/>
        </w:rPr>
        <w:t xml:space="preserve"> </w:t>
      </w:r>
      <w:r/>
    </w:p>
    <w:p>
      <w:pPr>
        <w:pStyle w:val="765"/>
        <w:ind w:left="0" w:firstLine="480"/>
        <w:jc w:val="both"/>
        <w:keepLines w:val="0"/>
        <w:keepNext w:val="0"/>
        <w:pageBreakBefore w:val="0"/>
        <w:spacing w:before="0" w:beforeAutospacing="0" w:after="0" w:afterAutospacing="0" w:line="240" w:lineRule="auto"/>
        <w:widowControl w:val="off"/>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第三条 价格</w:t>
      </w:r>
      <w:r/>
    </w:p>
    <w:p>
      <w:pPr>
        <w:pStyle w:val="765"/>
        <w:ind w:left="0" w:firstLine="480"/>
        <w:jc w:val="both"/>
        <w:keepLines w:val="0"/>
        <w:keepNext w:val="0"/>
        <w:pageBreakBefore w:val="0"/>
        <w:spacing w:before="0" w:beforeAutospacing="0" w:after="0" w:afterAutospacing="0" w:line="240" w:lineRule="auto"/>
        <w:widowControl w:val="off"/>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3.1 合同总价见《合同专用条款》。</w:t>
      </w:r>
      <w:r/>
    </w:p>
    <w:p>
      <w:pPr>
        <w:pStyle w:val="765"/>
        <w:ind w:left="0" w:firstLine="480"/>
        <w:jc w:val="both"/>
        <w:keepLines w:val="0"/>
        <w:keepNext w:val="0"/>
        <w:pageBreakBefore w:val="0"/>
        <w:spacing w:before="0" w:beforeAutospacing="0" w:after="0" w:afterAutospacing="0" w:line="240" w:lineRule="auto"/>
        <w:widowControl w:val="off"/>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3.2 合同总价是固定价格。</w:t>
      </w:r>
      <w:r/>
    </w:p>
    <w:p>
      <w:pPr>
        <w:pStyle w:val="765"/>
        <w:ind w:left="0" w:firstLine="480"/>
        <w:jc w:val="both"/>
        <w:keepLines w:val="0"/>
        <w:keepNext w:val="0"/>
        <w:pageBreakBefore w:val="0"/>
        <w:spacing w:before="0" w:beforeAutospacing="0" w:after="0" w:afterAutospacing="0" w:line="240" w:lineRule="auto"/>
        <w:widowControl w:val="off"/>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highlight w:val="none"/>
        </w:rPr>
        <w:t xml:space="preserve"> </w:t>
      </w:r>
      <w:r/>
    </w:p>
    <w:p>
      <w:pPr>
        <w:pStyle w:val="765"/>
        <w:ind w:left="0" w:firstLine="480"/>
        <w:jc w:val="both"/>
        <w:keepLines w:val="0"/>
        <w:keepNext w:val="0"/>
        <w:pageBreakBefore w:val="0"/>
        <w:spacing w:before="0" w:beforeAutospacing="0" w:after="0" w:afterAutospacing="0" w:line="240" w:lineRule="auto"/>
        <w:widowControl w:val="off"/>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第四条 支付（采购资金的支付方式、时间、条件）</w:t>
      </w:r>
      <w:r/>
    </w:p>
    <w:p>
      <w:pPr>
        <w:pStyle w:val="765"/>
        <w:ind w:left="0" w:firstLine="480"/>
        <w:jc w:val="both"/>
        <w:keepLines w:val="0"/>
        <w:keepNext w:val="0"/>
        <w:pageBreakBefore w:val="0"/>
        <w:spacing w:before="0" w:beforeAutospacing="0" w:after="0" w:afterAutospacing="0" w:line="240" w:lineRule="auto"/>
        <w:widowControl w:val="off"/>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4.1买方应按照《合同专用条款》的规定进行支付。如果卖方未能按照《合同专用条款》的要求提交支付文件，由此产生的所有责任和发生的所有费用，均由卖方承担。</w:t>
      </w:r>
      <w:r/>
    </w:p>
    <w:p>
      <w:pPr>
        <w:pStyle w:val="765"/>
        <w:ind w:left="0" w:firstLine="480"/>
        <w:jc w:val="both"/>
        <w:keepLines w:val="0"/>
        <w:keepNext w:val="0"/>
        <w:pageBreakBefore w:val="0"/>
        <w:spacing w:before="0" w:beforeAutospacing="0" w:after="0" w:afterAutospacing="0" w:line="240" w:lineRule="auto"/>
        <w:widowControl w:val="off"/>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4.2卖方有义务根据合同的规定向买方支付违约金和/或赔偿金时，买方有权从任何一笔应付款中予以扣除。</w:t>
      </w:r>
      <w:r/>
    </w:p>
    <w:p>
      <w:pPr>
        <w:pStyle w:val="765"/>
        <w:ind w:left="0" w:firstLine="480"/>
        <w:jc w:val="both"/>
        <w:keepLines w:val="0"/>
        <w:keepNext w:val="0"/>
        <w:pageBreakBefore w:val="0"/>
        <w:spacing w:before="0" w:beforeAutospacing="0" w:after="0" w:afterAutospacing="0" w:line="240" w:lineRule="auto"/>
        <w:widowControl w:val="off"/>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highlight w:val="none"/>
        </w:rPr>
        <w:t xml:space="preserve"> </w:t>
      </w:r>
      <w:r/>
    </w:p>
    <w:p>
      <w:pPr>
        <w:pStyle w:val="765"/>
        <w:ind w:left="0" w:firstLine="480"/>
        <w:jc w:val="both"/>
        <w:keepLines w:val="0"/>
        <w:keepNext w:val="0"/>
        <w:pageBreakBefore w:val="0"/>
        <w:spacing w:before="0" w:beforeAutospacing="0" w:after="0" w:afterAutospacing="0" w:line="240" w:lineRule="auto"/>
        <w:widowControl w:val="off"/>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第五条 交货（货物、服务提供的时间、地点、方式）</w:t>
      </w:r>
      <w:r/>
    </w:p>
    <w:p>
      <w:pPr>
        <w:pStyle w:val="765"/>
        <w:ind w:left="0" w:firstLine="480"/>
        <w:jc w:val="both"/>
        <w:keepLines w:val="0"/>
        <w:keepNext w:val="0"/>
        <w:pageBreakBefore w:val="0"/>
        <w:spacing w:before="0" w:beforeAutospacing="0" w:after="0" w:afterAutospacing="0" w:line="240" w:lineRule="auto"/>
        <w:widowControl w:val="off"/>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5.1交货期限、批次和交货条件见《合同专用条款》。</w:t>
      </w:r>
      <w:r/>
    </w:p>
    <w:p>
      <w:pPr>
        <w:pStyle w:val="765"/>
        <w:ind w:left="0" w:firstLine="480"/>
        <w:jc w:val="both"/>
        <w:keepLines w:val="0"/>
        <w:keepNext w:val="0"/>
        <w:pageBreakBefore w:val="0"/>
        <w:spacing w:before="0" w:beforeAutospacing="0" w:after="0" w:afterAutospacing="0" w:line="240" w:lineRule="auto"/>
        <w:widowControl w:val="off"/>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5.2交货地点见《合同专用条款》。</w:t>
      </w:r>
      <w:r/>
    </w:p>
    <w:p>
      <w:pPr>
        <w:pStyle w:val="765"/>
        <w:ind w:left="0" w:firstLine="480"/>
        <w:jc w:val="both"/>
        <w:keepLines w:val="0"/>
        <w:keepNext w:val="0"/>
        <w:pageBreakBefore w:val="0"/>
        <w:spacing w:before="0" w:beforeAutospacing="0" w:after="0" w:afterAutospacing="0" w:line="240" w:lineRule="auto"/>
        <w:widowControl w:val="off"/>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5.3在《合同专用条款》规定的期限内，卖方应将合同号、合同标的的名称、数量、金额、包装件数以及交货的时间以书面方式通知买方。</w:t>
      </w:r>
      <w:r/>
    </w:p>
    <w:p>
      <w:pPr>
        <w:pStyle w:val="765"/>
        <w:ind w:left="0" w:firstLine="480"/>
        <w:jc w:val="both"/>
        <w:keepLines w:val="0"/>
        <w:keepNext w:val="0"/>
        <w:pageBreakBefore w:val="0"/>
        <w:spacing w:before="0" w:beforeAutospacing="0" w:after="0" w:afterAutospacing="0" w:line="240" w:lineRule="auto"/>
        <w:widowControl w:val="off"/>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5.4卖方应按下列规定交付合同标的：</w:t>
      </w:r>
      <w:r/>
    </w:p>
    <w:p>
      <w:pPr>
        <w:pStyle w:val="765"/>
        <w:ind w:left="0" w:firstLine="480"/>
        <w:jc w:val="both"/>
        <w:keepLines w:val="0"/>
        <w:keepNext w:val="0"/>
        <w:pageBreakBefore w:val="0"/>
        <w:spacing w:before="0" w:beforeAutospacing="0" w:after="0" w:afterAutospacing="0" w:line="240" w:lineRule="auto"/>
        <w:widowControl w:val="off"/>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5.4.1卖方负责将合同标的送至《合同专用条款》规定的交货地点。</w:t>
      </w:r>
      <w:r/>
    </w:p>
    <w:p>
      <w:pPr>
        <w:pStyle w:val="765"/>
        <w:ind w:left="0" w:firstLine="480"/>
        <w:jc w:val="both"/>
        <w:keepLines w:val="0"/>
        <w:keepNext w:val="0"/>
        <w:pageBreakBefore w:val="0"/>
        <w:spacing w:before="0" w:beforeAutospacing="0" w:after="0" w:afterAutospacing="0" w:line="240" w:lineRule="auto"/>
        <w:widowControl w:val="off"/>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5.4.2买方出具的收据日期是合同标的的实际交货日期。</w:t>
      </w:r>
      <w:r/>
    </w:p>
    <w:p>
      <w:pPr>
        <w:pStyle w:val="765"/>
        <w:ind w:left="0" w:firstLine="480"/>
        <w:jc w:val="both"/>
        <w:keepLines w:val="0"/>
        <w:keepNext w:val="0"/>
        <w:pageBreakBefore w:val="0"/>
        <w:spacing w:before="0" w:beforeAutospacing="0" w:after="0" w:afterAutospacing="0" w:line="240" w:lineRule="auto"/>
        <w:widowControl w:val="off"/>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5.5如果卖方未能按照合同规定的交货期限交货，卖方应按《合同专用条款》的规定支付违约金或提供其他救济。</w:t>
      </w:r>
      <w:r/>
    </w:p>
    <w:p>
      <w:pPr>
        <w:pStyle w:val="765"/>
        <w:ind w:left="0" w:firstLine="480"/>
        <w:jc w:val="both"/>
        <w:keepLines w:val="0"/>
        <w:keepNext w:val="0"/>
        <w:pageBreakBefore w:val="0"/>
        <w:spacing w:before="0" w:beforeAutospacing="0" w:after="0" w:afterAutospacing="0" w:line="240" w:lineRule="auto"/>
        <w:widowControl w:val="off"/>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highlight w:val="none"/>
        </w:rPr>
        <w:t xml:space="preserve"> </w:t>
      </w:r>
      <w:r/>
    </w:p>
    <w:p>
      <w:pPr>
        <w:pStyle w:val="765"/>
        <w:ind w:left="0" w:firstLine="480"/>
        <w:jc w:val="both"/>
        <w:keepLines w:val="0"/>
        <w:keepNext w:val="0"/>
        <w:pageBreakBefore w:val="0"/>
        <w:spacing w:before="0" w:beforeAutospacing="0" w:after="0" w:afterAutospacing="0" w:line="240" w:lineRule="auto"/>
        <w:widowControl w:val="off"/>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第六条 包装与标记</w:t>
      </w:r>
      <w:r/>
    </w:p>
    <w:p>
      <w:pPr>
        <w:pStyle w:val="765"/>
        <w:ind w:left="0" w:firstLine="480"/>
        <w:jc w:val="both"/>
        <w:keepLines w:val="0"/>
        <w:keepNext w:val="0"/>
        <w:pageBreakBefore w:val="0"/>
        <w:spacing w:before="0" w:beforeAutospacing="0" w:after="0" w:afterAutospacing="0" w:line="240" w:lineRule="auto"/>
        <w:widowControl w:val="off"/>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6.1除非合同中另有规定，合同标的应保持产品制造企业原包装完好。</w:t>
      </w:r>
      <w:r/>
    </w:p>
    <w:p>
      <w:pPr>
        <w:pStyle w:val="765"/>
        <w:ind w:left="0" w:firstLine="480"/>
        <w:jc w:val="both"/>
        <w:keepLines w:val="0"/>
        <w:keepNext w:val="0"/>
        <w:pageBreakBefore w:val="0"/>
        <w:spacing w:before="0" w:beforeAutospacing="0" w:after="0" w:afterAutospacing="0" w:line="240" w:lineRule="auto"/>
        <w:widowControl w:val="off"/>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6.2在合同标的的每件包装中都应附有下列单据： </w:t>
      </w:r>
      <w:r/>
    </w:p>
    <w:p>
      <w:pPr>
        <w:pStyle w:val="765"/>
        <w:ind w:left="0" w:firstLine="480"/>
        <w:jc w:val="both"/>
        <w:keepLines w:val="0"/>
        <w:keepNext w:val="0"/>
        <w:pageBreakBefore w:val="0"/>
        <w:spacing w:before="0" w:beforeAutospacing="0" w:after="0" w:afterAutospacing="0" w:line="240" w:lineRule="auto"/>
        <w:widowControl w:val="off"/>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A. 装箱明细单； </w:t>
      </w:r>
      <w:r/>
    </w:p>
    <w:p>
      <w:pPr>
        <w:pStyle w:val="765"/>
        <w:ind w:left="0" w:firstLine="480"/>
        <w:jc w:val="both"/>
        <w:keepLines w:val="0"/>
        <w:keepNext w:val="0"/>
        <w:pageBreakBefore w:val="0"/>
        <w:spacing w:before="0" w:beforeAutospacing="0" w:after="0" w:afterAutospacing="0" w:line="240" w:lineRule="auto"/>
        <w:widowControl w:val="off"/>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B. 质量合格证； </w:t>
      </w:r>
      <w:r/>
    </w:p>
    <w:p>
      <w:pPr>
        <w:pStyle w:val="765"/>
        <w:ind w:left="0" w:firstLine="480"/>
        <w:jc w:val="both"/>
        <w:keepLines w:val="0"/>
        <w:keepNext w:val="0"/>
        <w:pageBreakBefore w:val="0"/>
        <w:spacing w:before="0" w:beforeAutospacing="0" w:after="0" w:afterAutospacing="0" w:line="240" w:lineRule="auto"/>
        <w:widowControl w:val="off"/>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C. 技术资料。</w:t>
      </w:r>
      <w:r/>
    </w:p>
    <w:p>
      <w:pPr>
        <w:pStyle w:val="765"/>
        <w:ind w:left="0" w:firstLine="480"/>
        <w:jc w:val="both"/>
        <w:keepLines w:val="0"/>
        <w:keepNext w:val="0"/>
        <w:pageBreakBefore w:val="0"/>
        <w:spacing w:before="0" w:beforeAutospacing="0" w:after="0" w:afterAutospacing="0" w:line="240" w:lineRule="auto"/>
        <w:widowControl w:val="off"/>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6.3凡由于对合同标的包装不当或采取防护措施不充分致使合同标的损坏或丢失时，卖方均应负责修理、更换或赔偿。如果因卖方在包装和标记方面发生的错误或混淆不清造成合同标的的误运，卖方应承担由此发生的额外费用。</w:t>
      </w:r>
      <w:r/>
    </w:p>
    <w:p>
      <w:pPr>
        <w:pStyle w:val="765"/>
        <w:ind w:left="0" w:firstLine="480"/>
        <w:jc w:val="both"/>
        <w:keepLines w:val="0"/>
        <w:keepNext w:val="0"/>
        <w:pageBreakBefore w:val="0"/>
        <w:spacing w:before="0" w:beforeAutospacing="0" w:after="0" w:afterAutospacing="0" w:line="240" w:lineRule="auto"/>
        <w:widowControl w:val="off"/>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highlight w:val="none"/>
        </w:rPr>
      </w:r>
      <w:r/>
    </w:p>
    <w:p>
      <w:pPr>
        <w:pStyle w:val="765"/>
        <w:ind w:left="0" w:firstLine="480"/>
        <w:jc w:val="both"/>
        <w:keepLines w:val="0"/>
        <w:keepNext w:val="0"/>
        <w:pageBreakBefore w:val="0"/>
        <w:spacing w:before="0" w:beforeAutospacing="0" w:after="0" w:afterAutospacing="0" w:line="240" w:lineRule="auto"/>
        <w:widowControl w:val="off"/>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第七条 技术资料</w:t>
      </w:r>
      <w:r/>
    </w:p>
    <w:p>
      <w:pPr>
        <w:pStyle w:val="765"/>
        <w:ind w:left="0" w:firstLine="480"/>
        <w:jc w:val="both"/>
        <w:keepLines w:val="0"/>
        <w:keepNext w:val="0"/>
        <w:pageBreakBefore w:val="0"/>
        <w:spacing w:before="0" w:beforeAutospacing="0" w:after="0" w:afterAutospacing="0" w:line="240" w:lineRule="auto"/>
        <w:widowControl w:val="off"/>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7.1 技术资料交付的期限和方式见《合同专用条款》。</w:t>
      </w:r>
      <w:r/>
    </w:p>
    <w:p>
      <w:pPr>
        <w:pStyle w:val="765"/>
        <w:ind w:left="0" w:firstLine="480"/>
        <w:jc w:val="both"/>
        <w:keepLines w:val="0"/>
        <w:keepNext w:val="0"/>
        <w:pageBreakBefore w:val="0"/>
        <w:spacing w:before="0" w:beforeAutospacing="0" w:after="0" w:afterAutospacing="0" w:line="240" w:lineRule="auto"/>
        <w:widowControl w:val="off"/>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highlight w:val="none"/>
        </w:rPr>
      </w:r>
      <w:r/>
    </w:p>
    <w:p>
      <w:pPr>
        <w:pStyle w:val="765"/>
        <w:ind w:left="0" w:firstLine="480"/>
        <w:jc w:val="both"/>
        <w:keepLines w:val="0"/>
        <w:keepNext w:val="0"/>
        <w:pageBreakBefore w:val="0"/>
        <w:spacing w:before="0" w:beforeAutospacing="0" w:after="0" w:afterAutospacing="0" w:line="240" w:lineRule="auto"/>
        <w:widowControl w:val="off"/>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第八条 安装</w:t>
      </w:r>
      <w:r/>
    </w:p>
    <w:p>
      <w:pPr>
        <w:pStyle w:val="765"/>
        <w:ind w:left="0" w:firstLine="480"/>
        <w:jc w:val="both"/>
        <w:keepLines w:val="0"/>
        <w:keepNext w:val="0"/>
        <w:pageBreakBefore w:val="0"/>
        <w:spacing w:before="0" w:beforeAutospacing="0" w:after="0" w:afterAutospacing="0" w:line="240" w:lineRule="auto"/>
        <w:widowControl w:val="off"/>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8.1 合同标的的安装期限见《合同专用条款》。</w:t>
      </w:r>
      <w:r/>
    </w:p>
    <w:p>
      <w:pPr>
        <w:pStyle w:val="765"/>
        <w:ind w:left="0" w:firstLine="480"/>
        <w:jc w:val="both"/>
        <w:keepLines w:val="0"/>
        <w:keepNext w:val="0"/>
        <w:pageBreakBefore w:val="0"/>
        <w:spacing w:before="0" w:beforeAutospacing="0" w:after="0" w:afterAutospacing="0" w:line="240" w:lineRule="auto"/>
        <w:widowControl w:val="off"/>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8.2 项目实施方案见合同附件7。</w:t>
      </w:r>
      <w:r/>
    </w:p>
    <w:p>
      <w:pPr>
        <w:pStyle w:val="765"/>
        <w:ind w:left="0" w:firstLine="480"/>
        <w:jc w:val="both"/>
        <w:keepLines w:val="0"/>
        <w:keepNext w:val="0"/>
        <w:pageBreakBefore w:val="0"/>
        <w:spacing w:before="0" w:beforeAutospacing="0" w:after="0" w:afterAutospacing="0" w:line="240" w:lineRule="auto"/>
        <w:widowControl w:val="off"/>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highlight w:val="none"/>
        </w:rPr>
        <w:t xml:space="preserve"> </w:t>
      </w:r>
      <w:r/>
    </w:p>
    <w:p>
      <w:pPr>
        <w:pStyle w:val="765"/>
        <w:ind w:left="0" w:firstLine="480"/>
        <w:jc w:val="both"/>
        <w:keepLines w:val="0"/>
        <w:keepNext w:val="0"/>
        <w:pageBreakBefore w:val="0"/>
        <w:spacing w:before="0" w:beforeAutospacing="0" w:after="0" w:afterAutospacing="0" w:line="240" w:lineRule="auto"/>
        <w:widowControl w:val="off"/>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第九条 验收</w:t>
      </w:r>
      <w:r/>
    </w:p>
    <w:p>
      <w:pPr>
        <w:pStyle w:val="765"/>
        <w:ind w:left="0" w:firstLine="480"/>
        <w:jc w:val="both"/>
        <w:keepLines w:val="0"/>
        <w:keepNext w:val="0"/>
        <w:pageBreakBefore w:val="0"/>
        <w:spacing w:before="0" w:beforeAutospacing="0" w:after="0" w:afterAutospacing="0" w:line="240" w:lineRule="auto"/>
        <w:widowControl w:val="off"/>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9.1合同标的的试运行、验收见《合同专用条款》。</w:t>
      </w:r>
      <w:r/>
    </w:p>
    <w:p>
      <w:pPr>
        <w:pStyle w:val="765"/>
        <w:ind w:left="0" w:firstLine="480"/>
        <w:jc w:val="both"/>
        <w:keepLines w:val="0"/>
        <w:keepNext w:val="0"/>
        <w:pageBreakBefore w:val="0"/>
        <w:spacing w:before="0" w:beforeAutospacing="0" w:after="0" w:afterAutospacing="0" w:line="240" w:lineRule="auto"/>
        <w:widowControl w:val="off"/>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9.2如果合同附件2 所规定的所有技术性能在验收中都已经达到，双方应在验收合格后5 日内签署验收书。</w:t>
      </w:r>
      <w:r/>
    </w:p>
    <w:p>
      <w:pPr>
        <w:pStyle w:val="765"/>
        <w:ind w:left="0" w:firstLine="540"/>
        <w:jc w:val="both"/>
        <w:keepLines w:val="0"/>
        <w:keepNext w:val="0"/>
        <w:pageBreakBefore w:val="0"/>
        <w:spacing w:before="0" w:beforeAutospacing="0" w:after="0" w:afterAutospacing="0" w:line="240" w:lineRule="auto"/>
        <w:widowControl w:val="off"/>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9.3验收标准（验收要求、验收标准和程序）：见合同附件5。</w:t>
      </w:r>
      <w:r/>
    </w:p>
    <w:p>
      <w:pPr>
        <w:pStyle w:val="765"/>
        <w:ind w:left="0" w:firstLine="480"/>
        <w:jc w:val="both"/>
        <w:keepLines w:val="0"/>
        <w:keepNext w:val="0"/>
        <w:pageBreakBefore w:val="0"/>
        <w:spacing w:before="0" w:beforeAutospacing="0" w:after="0" w:afterAutospacing="0" w:line="240" w:lineRule="auto"/>
        <w:widowControl w:val="off"/>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highlight w:val="none"/>
        </w:rPr>
      </w:r>
      <w:r/>
    </w:p>
    <w:p>
      <w:pPr>
        <w:pStyle w:val="765"/>
        <w:ind w:left="0" w:firstLine="480"/>
        <w:jc w:val="both"/>
        <w:keepLines w:val="0"/>
        <w:keepNext w:val="0"/>
        <w:pageBreakBefore w:val="0"/>
        <w:spacing w:before="0" w:beforeAutospacing="0" w:after="0" w:afterAutospacing="0" w:line="240" w:lineRule="auto"/>
        <w:widowControl w:val="off"/>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第十条 售后服务和技术培训</w:t>
      </w:r>
      <w:r/>
    </w:p>
    <w:p>
      <w:pPr>
        <w:pStyle w:val="765"/>
        <w:ind w:left="0" w:firstLine="480"/>
        <w:jc w:val="both"/>
        <w:keepLines w:val="0"/>
        <w:keepNext w:val="0"/>
        <w:pageBreakBefore w:val="0"/>
        <w:spacing w:before="0" w:beforeAutospacing="0" w:after="0" w:afterAutospacing="0" w:line="240" w:lineRule="auto"/>
        <w:widowControl w:val="off"/>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10.1售后服务和技术培训见合同附件3。</w:t>
      </w:r>
      <w:r/>
    </w:p>
    <w:p>
      <w:pPr>
        <w:pStyle w:val="765"/>
        <w:ind w:left="0" w:firstLine="480"/>
        <w:jc w:val="both"/>
        <w:keepLines w:val="0"/>
        <w:keepNext w:val="0"/>
        <w:pageBreakBefore w:val="0"/>
        <w:spacing w:before="0" w:beforeAutospacing="0" w:after="0" w:afterAutospacing="0" w:line="240" w:lineRule="auto"/>
        <w:widowControl w:val="off"/>
        <w:rPr>
          <w:rFonts w:hint="eastAsia" w:ascii="宋体" w:hAnsi="宋体" w:eastAsia="宋体" w:cs="宋体"/>
          <w:color w:val="000000"/>
          <w:highlight w:val="none"/>
          <w:lang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highlight w:val="none"/>
          <w:lang w:eastAsia="zh-CN"/>
        </w:rPr>
      </w:r>
      <w:r/>
    </w:p>
    <w:p>
      <w:pPr>
        <w:pStyle w:val="765"/>
        <w:ind w:left="0" w:firstLine="480"/>
        <w:jc w:val="both"/>
        <w:keepLines w:val="0"/>
        <w:keepNext w:val="0"/>
        <w:pageBreakBefore w:val="0"/>
        <w:spacing w:before="0" w:beforeAutospacing="0" w:after="0" w:afterAutospacing="0" w:line="240" w:lineRule="auto"/>
        <w:widowControl w:val="off"/>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第十一条 索赔</w:t>
      </w:r>
      <w:r/>
    </w:p>
    <w:p>
      <w:pPr>
        <w:pStyle w:val="765"/>
        <w:ind w:left="0" w:firstLine="480"/>
        <w:jc w:val="both"/>
        <w:keepLines w:val="0"/>
        <w:keepNext w:val="0"/>
        <w:pageBreakBefore w:val="0"/>
        <w:spacing w:before="0" w:beforeAutospacing="0" w:after="0" w:afterAutospacing="0" w:line="240" w:lineRule="auto"/>
        <w:widowControl w:val="off"/>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11.1如果合同标的在安装、试运行和验收中卖方未能履行其在本合同项下承担的义务，买方有权向卖方提出索赔并寻求《合同专用条款》中规定的救济方式，救济方式包括：</w:t>
      </w:r>
      <w:r/>
    </w:p>
    <w:p>
      <w:pPr>
        <w:pStyle w:val="765"/>
        <w:ind w:left="0" w:firstLine="480"/>
        <w:jc w:val="both"/>
        <w:keepLines w:val="0"/>
        <w:keepNext w:val="0"/>
        <w:pageBreakBefore w:val="0"/>
        <w:spacing w:before="0" w:beforeAutospacing="0" w:after="0" w:afterAutospacing="0" w:line="240" w:lineRule="auto"/>
        <w:widowControl w:val="off"/>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A. 卖方替换不符合合同规定的合同标的。</w:t>
      </w:r>
      <w:r/>
    </w:p>
    <w:p>
      <w:pPr>
        <w:pStyle w:val="765"/>
        <w:ind w:left="0" w:firstLine="480"/>
        <w:jc w:val="both"/>
        <w:keepLines w:val="0"/>
        <w:keepNext w:val="0"/>
        <w:pageBreakBefore w:val="0"/>
        <w:spacing w:before="0" w:beforeAutospacing="0" w:after="0" w:afterAutospacing="0" w:line="240" w:lineRule="auto"/>
        <w:widowControl w:val="off"/>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B. 按质量低劣的程度、买方受损害的程度及损失的数额对合同标的进行降价。</w:t>
      </w:r>
      <w:r/>
    </w:p>
    <w:p>
      <w:pPr>
        <w:pStyle w:val="765"/>
        <w:ind w:left="0" w:firstLine="480"/>
        <w:jc w:val="both"/>
        <w:keepLines w:val="0"/>
        <w:keepNext w:val="0"/>
        <w:pageBreakBefore w:val="0"/>
        <w:spacing w:before="0" w:beforeAutospacing="0" w:after="0" w:afterAutospacing="0" w:line="240" w:lineRule="auto"/>
        <w:widowControl w:val="off"/>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C. 拒收合同标的。</w:t>
      </w:r>
      <w:r/>
    </w:p>
    <w:p>
      <w:pPr>
        <w:pStyle w:val="765"/>
        <w:ind w:left="0" w:firstLine="480"/>
        <w:jc w:val="both"/>
        <w:keepLines w:val="0"/>
        <w:keepNext w:val="0"/>
        <w:pageBreakBefore w:val="0"/>
        <w:spacing w:before="0" w:beforeAutospacing="0" w:after="0" w:afterAutospacing="0" w:line="240" w:lineRule="auto"/>
        <w:widowControl w:val="off"/>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D. 赔偿由卖方违约引起的其他损失。</w:t>
      </w:r>
      <w:r/>
    </w:p>
    <w:p>
      <w:pPr>
        <w:pStyle w:val="765"/>
        <w:ind w:left="0" w:firstLine="480"/>
        <w:jc w:val="both"/>
        <w:keepLines w:val="0"/>
        <w:keepNext w:val="0"/>
        <w:pageBreakBefore w:val="0"/>
        <w:spacing w:before="0" w:beforeAutospacing="0" w:after="0" w:afterAutospacing="0" w:line="240" w:lineRule="auto"/>
        <w:widowControl w:val="off"/>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11.2如果卖方在收到买方索赔要求后未在《合同专用条款》规定的期限内作出书面回复，该索赔要求将被视为已被卖方接受。如卖方未能在买方发出索赔要求后《合同专用条款》规定的期限内或买方同意的延长期限内，按照买方选择的救济方式解决索赔事宜，买方有权从合同总价中扣除索赔金额。</w:t>
      </w:r>
      <w:r/>
    </w:p>
    <w:p>
      <w:pPr>
        <w:pStyle w:val="765"/>
        <w:ind w:left="0" w:firstLine="480"/>
        <w:jc w:val="both"/>
        <w:keepLines w:val="0"/>
        <w:keepNext w:val="0"/>
        <w:pageBreakBefore w:val="0"/>
        <w:spacing w:before="0" w:beforeAutospacing="0" w:after="0" w:afterAutospacing="0" w:line="240" w:lineRule="auto"/>
        <w:widowControl w:val="off"/>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highlight w:val="none"/>
        </w:rPr>
      </w:r>
      <w:r/>
    </w:p>
    <w:p>
      <w:pPr>
        <w:pStyle w:val="765"/>
        <w:ind w:left="0" w:firstLine="480"/>
        <w:jc w:val="both"/>
        <w:keepLines w:val="0"/>
        <w:keepNext w:val="0"/>
        <w:pageBreakBefore w:val="0"/>
        <w:spacing w:before="0" w:beforeAutospacing="0" w:after="0" w:afterAutospacing="0" w:line="240" w:lineRule="auto"/>
        <w:widowControl w:val="off"/>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第十二条 不可抗力</w:t>
      </w:r>
      <w:r/>
    </w:p>
    <w:p>
      <w:pPr>
        <w:pStyle w:val="765"/>
        <w:ind w:left="0" w:firstLine="480"/>
        <w:jc w:val="both"/>
        <w:keepLines w:val="0"/>
        <w:keepNext w:val="0"/>
        <w:pageBreakBefore w:val="0"/>
        <w:spacing w:before="0" w:beforeAutospacing="0" w:after="0" w:afterAutospacing="0" w:line="240" w:lineRule="auto"/>
        <w:widowControl w:val="off"/>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12.1如果合同任何一方受诸如战争、严重的火灾、台风、地震、洪水以及任何其他不能预见、不能避免且不能克服的不可抗力事件的影响而无法履行合同项下的任何义务，受影响的一方应将此类事件的发生以书面方式通知另一方并应在不可抗力事件发生后14 日内将有关部门或机构出具的证明文件提交给另一方。</w:t>
      </w:r>
      <w:r/>
    </w:p>
    <w:p>
      <w:pPr>
        <w:pStyle w:val="765"/>
        <w:ind w:left="0" w:firstLine="480"/>
        <w:jc w:val="both"/>
        <w:keepLines w:val="0"/>
        <w:keepNext w:val="0"/>
        <w:pageBreakBefore w:val="0"/>
        <w:spacing w:before="0" w:beforeAutospacing="0" w:after="0" w:afterAutospacing="0" w:line="240" w:lineRule="auto"/>
        <w:widowControl w:val="off"/>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12.2受不可抗力事件影响的合同一方对于不可抗力事件导致的任何合同义务的迟延履行或不能履行不承担责任。但该方应尽快以书面方式将不可抗力事件结束或其影响消除的情况通知另一方。</w:t>
      </w:r>
      <w:r/>
    </w:p>
    <w:p>
      <w:pPr>
        <w:pStyle w:val="765"/>
        <w:ind w:left="0" w:firstLine="480"/>
        <w:jc w:val="both"/>
        <w:keepLines w:val="0"/>
        <w:keepNext w:val="0"/>
        <w:pageBreakBefore w:val="0"/>
        <w:spacing w:before="0" w:beforeAutospacing="0" w:after="0" w:afterAutospacing="0" w:line="240" w:lineRule="auto"/>
        <w:widowControl w:val="off"/>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12.3合同双方应在不可抗力事件结束或其影响消除后立即继续履行其合同义务，如果不可抗力事件的影响持续超过《合同专用条款》规定的期限，合同任何一方均有权发出书面通知终止合同。</w:t>
      </w:r>
      <w:r/>
    </w:p>
    <w:p>
      <w:pPr>
        <w:pStyle w:val="765"/>
        <w:ind w:left="0" w:firstLine="480"/>
        <w:jc w:val="both"/>
        <w:keepLines w:val="0"/>
        <w:keepNext w:val="0"/>
        <w:pageBreakBefore w:val="0"/>
        <w:spacing w:before="0" w:beforeAutospacing="0" w:after="0" w:afterAutospacing="0" w:line="240" w:lineRule="auto"/>
        <w:widowControl w:val="off"/>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highlight w:val="none"/>
        </w:rPr>
        <w:t xml:space="preserve"> </w:t>
      </w:r>
      <w:r/>
    </w:p>
    <w:p>
      <w:pPr>
        <w:pStyle w:val="765"/>
        <w:ind w:left="0" w:firstLine="480"/>
        <w:jc w:val="both"/>
        <w:keepLines w:val="0"/>
        <w:keepNext w:val="0"/>
        <w:pageBreakBefore w:val="0"/>
        <w:spacing w:before="0" w:beforeAutospacing="0" w:after="0" w:afterAutospacing="0" w:line="240" w:lineRule="auto"/>
        <w:widowControl w:val="off"/>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第十三条 合同的终止</w:t>
      </w:r>
      <w:r/>
    </w:p>
    <w:p>
      <w:pPr>
        <w:pStyle w:val="765"/>
        <w:ind w:left="0" w:firstLine="480"/>
        <w:jc w:val="both"/>
        <w:keepLines w:val="0"/>
        <w:keepNext w:val="0"/>
        <w:pageBreakBefore w:val="0"/>
        <w:spacing w:before="0" w:beforeAutospacing="0" w:after="0" w:afterAutospacing="0" w:line="240" w:lineRule="auto"/>
        <w:widowControl w:val="off"/>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13.1如果卖方有下述违约行为之一或《合同专用条款》中规定的其他违约行为，在不妨碍买方采取其它救济手段的情况下，买方可以向卖方发出书面违约通知，全部或部分地终止合同。</w:t>
      </w:r>
      <w:r/>
    </w:p>
    <w:p>
      <w:pPr>
        <w:pStyle w:val="765"/>
        <w:ind w:left="0" w:firstLine="480"/>
        <w:jc w:val="both"/>
        <w:keepLines w:val="0"/>
        <w:keepNext w:val="0"/>
        <w:pageBreakBefore w:val="0"/>
        <w:spacing w:before="0" w:beforeAutospacing="0" w:after="0" w:afterAutospacing="0" w:line="240" w:lineRule="auto"/>
        <w:widowControl w:val="off"/>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A. 卖方在合同规定的交货期限后未能按《合同专用条款》中规定的最终期限交付合同标的和/或技术资料； </w:t>
      </w:r>
      <w:r/>
    </w:p>
    <w:p>
      <w:pPr>
        <w:pStyle w:val="765"/>
        <w:ind w:left="0" w:firstLine="480"/>
        <w:jc w:val="both"/>
        <w:keepLines w:val="0"/>
        <w:keepNext w:val="0"/>
        <w:pageBreakBefore w:val="0"/>
        <w:spacing w:before="0" w:beforeAutospacing="0" w:after="0" w:afterAutospacing="0" w:line="240" w:lineRule="auto"/>
        <w:widowControl w:val="off"/>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B. 合同标的未能达到合同附件2 规定的技术性能； </w:t>
      </w:r>
      <w:r/>
    </w:p>
    <w:p>
      <w:pPr>
        <w:pStyle w:val="765"/>
        <w:ind w:left="0" w:firstLine="480"/>
        <w:jc w:val="both"/>
        <w:keepLines w:val="0"/>
        <w:keepNext w:val="0"/>
        <w:pageBreakBefore w:val="0"/>
        <w:spacing w:before="0" w:beforeAutospacing="0" w:after="0" w:afterAutospacing="0" w:line="240" w:lineRule="auto"/>
        <w:widowControl w:val="off"/>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C. 卖方未能履行合同项下任何其它义务，并且在收到买方违约通知后未能按《合同专用条款》中规定的期限对其违约行为作出补救。</w:t>
      </w:r>
      <w:r/>
    </w:p>
    <w:p>
      <w:pPr>
        <w:pStyle w:val="765"/>
        <w:ind w:left="0" w:firstLine="480"/>
        <w:jc w:val="both"/>
        <w:keepLines w:val="0"/>
        <w:keepNext w:val="0"/>
        <w:pageBreakBefore w:val="0"/>
        <w:spacing w:before="0" w:beforeAutospacing="0" w:after="0" w:afterAutospacing="0" w:line="240" w:lineRule="auto"/>
        <w:widowControl w:val="off"/>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13.2如果一方破产或发生资不抵债的情况,合同另一方有权在任何时候发出书面通知终止合同。此种情况下合同的终止不妨碍或影响行使任何可能的其它救济手段。</w:t>
      </w:r>
      <w:r/>
    </w:p>
    <w:p>
      <w:pPr>
        <w:pStyle w:val="765"/>
        <w:ind w:left="0" w:firstLine="480"/>
        <w:jc w:val="both"/>
        <w:keepLines w:val="0"/>
        <w:keepNext w:val="0"/>
        <w:pageBreakBefore w:val="0"/>
        <w:spacing w:before="0" w:beforeAutospacing="0" w:after="0" w:afterAutospacing="0" w:line="240" w:lineRule="auto"/>
        <w:widowControl w:val="off"/>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13.3如果买方认定卖方在投标或执行合同中有腐败或欺诈行为,买方有权在任何时候发出书面通知终止合同。</w:t>
      </w:r>
      <w:r/>
    </w:p>
    <w:p>
      <w:pPr>
        <w:pStyle w:val="765"/>
        <w:ind w:left="1" w:firstLine="537"/>
        <w:jc w:val="both"/>
        <w:keepLines w:val="0"/>
        <w:keepNext w:val="0"/>
        <w:pageBreakBefore w:val="0"/>
        <w:spacing w:before="0" w:beforeAutospacing="0" w:after="0" w:afterAutospacing="0" w:line="240" w:lineRule="auto"/>
        <w:widowControl w:val="off"/>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A.“腐败行为”系指在招标、采购和合同执行等过程中，为谋求利益、影响相关人员而提供、给予、接受或索取任何有价物的行为。</w:t>
      </w:r>
      <w:r/>
    </w:p>
    <w:p>
      <w:pPr>
        <w:pStyle w:val="765"/>
        <w:ind w:left="0" w:firstLine="480"/>
        <w:jc w:val="both"/>
        <w:keepLines w:val="0"/>
        <w:keepNext w:val="0"/>
        <w:pageBreakBefore w:val="0"/>
        <w:spacing w:before="0" w:beforeAutospacing="0" w:after="0" w:afterAutospacing="0" w:line="240" w:lineRule="auto"/>
        <w:widowControl w:val="off"/>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B.“欺诈行为”系指为了影响招标、采购和合同执行等过程而隐瞒事实，从而给买方造成损害的行为，其中包括投标人之间的串通行为。</w:t>
      </w:r>
      <w:r/>
    </w:p>
    <w:p>
      <w:pPr>
        <w:pStyle w:val="765"/>
        <w:ind w:left="0" w:firstLine="480"/>
        <w:jc w:val="both"/>
        <w:keepLines w:val="0"/>
        <w:keepNext w:val="0"/>
        <w:pageBreakBefore w:val="0"/>
        <w:spacing w:before="0" w:beforeAutospacing="0" w:after="0" w:afterAutospacing="0" w:line="240" w:lineRule="auto"/>
        <w:widowControl w:val="off"/>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13.4 在买方全部或部分终止合同的情况下，卖方应按《合同专用条款》的规定对买方给予补偿。</w:t>
      </w:r>
      <w:r/>
    </w:p>
    <w:p>
      <w:pPr>
        <w:pStyle w:val="765"/>
        <w:ind w:left="0" w:firstLine="480"/>
        <w:jc w:val="both"/>
        <w:keepLines w:val="0"/>
        <w:keepNext w:val="0"/>
        <w:pageBreakBefore w:val="0"/>
        <w:spacing w:before="0" w:beforeAutospacing="0" w:after="0" w:afterAutospacing="0" w:line="240" w:lineRule="auto"/>
        <w:widowControl w:val="off"/>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highlight w:val="none"/>
        </w:rPr>
        <w:t xml:space="preserve"> </w:t>
      </w:r>
      <w:r/>
    </w:p>
    <w:p>
      <w:pPr>
        <w:pStyle w:val="765"/>
        <w:ind w:left="0" w:firstLine="480"/>
        <w:jc w:val="both"/>
        <w:keepLines w:val="0"/>
        <w:keepNext w:val="0"/>
        <w:pageBreakBefore w:val="0"/>
        <w:spacing w:before="0" w:beforeAutospacing="0" w:after="0" w:afterAutospacing="0" w:line="240" w:lineRule="auto"/>
        <w:widowControl w:val="off"/>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第十四条 争议的解决</w:t>
      </w:r>
      <w:r/>
    </w:p>
    <w:p>
      <w:pPr>
        <w:pStyle w:val="765"/>
        <w:ind w:left="0" w:firstLine="480"/>
        <w:jc w:val="both"/>
        <w:keepLines w:val="0"/>
        <w:keepNext w:val="0"/>
        <w:pageBreakBefore w:val="0"/>
        <w:spacing w:before="0" w:beforeAutospacing="0" w:after="0" w:afterAutospacing="0" w:line="240" w:lineRule="auto"/>
        <w:widowControl w:val="off"/>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14.1 因执行本合同所发生的或者与本合同有关的一切争议由合同双方通过友好协商解决，如果不能协商一致，按《合同专用条款》规定的方式解决。</w:t>
      </w:r>
      <w:r/>
    </w:p>
    <w:p>
      <w:pPr>
        <w:pStyle w:val="765"/>
        <w:ind w:left="0" w:firstLine="480"/>
        <w:jc w:val="both"/>
        <w:keepLines w:val="0"/>
        <w:keepNext w:val="0"/>
        <w:pageBreakBefore w:val="0"/>
        <w:spacing w:before="0" w:beforeAutospacing="0" w:after="0" w:afterAutospacing="0" w:line="240" w:lineRule="auto"/>
        <w:widowControl w:val="off"/>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highlight w:val="none"/>
        </w:rPr>
        <w:t xml:space="preserve"> </w:t>
      </w:r>
      <w:r/>
    </w:p>
    <w:p>
      <w:pPr>
        <w:pStyle w:val="765"/>
        <w:ind w:left="0" w:firstLine="480"/>
        <w:jc w:val="both"/>
        <w:keepLines w:val="0"/>
        <w:keepNext w:val="0"/>
        <w:pageBreakBefore w:val="0"/>
        <w:spacing w:before="0" w:beforeAutospacing="0" w:after="0" w:afterAutospacing="0" w:line="240" w:lineRule="auto"/>
        <w:widowControl w:val="off"/>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第十五条 适用法律</w:t>
      </w:r>
      <w:r/>
    </w:p>
    <w:p>
      <w:pPr>
        <w:pStyle w:val="765"/>
        <w:ind w:left="0" w:firstLine="480"/>
        <w:jc w:val="both"/>
        <w:keepLines w:val="0"/>
        <w:keepNext w:val="0"/>
        <w:pageBreakBefore w:val="0"/>
        <w:spacing w:before="0" w:beforeAutospacing="0" w:after="0" w:afterAutospacing="0" w:line="240" w:lineRule="auto"/>
        <w:widowControl w:val="off"/>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15.1 本合同的执行和争议的解决适用中华人民共和国的法律并按中华人民共和国的法律进行解释。</w:t>
      </w:r>
      <w:r/>
    </w:p>
    <w:p>
      <w:pPr>
        <w:pStyle w:val="765"/>
        <w:ind w:left="0" w:firstLine="480"/>
        <w:jc w:val="both"/>
        <w:keepLines w:val="0"/>
        <w:keepNext w:val="0"/>
        <w:pageBreakBefore w:val="0"/>
        <w:spacing w:before="0" w:beforeAutospacing="0" w:after="0" w:afterAutospacing="0" w:line="240" w:lineRule="auto"/>
        <w:widowControl w:val="off"/>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highlight w:val="none"/>
        </w:rPr>
        <w:t xml:space="preserve"> </w:t>
      </w:r>
      <w:r/>
    </w:p>
    <w:p>
      <w:pPr>
        <w:pStyle w:val="765"/>
        <w:ind w:left="0" w:firstLine="480"/>
        <w:jc w:val="both"/>
        <w:keepLines w:val="0"/>
        <w:keepNext w:val="0"/>
        <w:pageBreakBefore w:val="0"/>
        <w:spacing w:before="0" w:beforeAutospacing="0" w:after="0" w:afterAutospacing="0" w:line="240" w:lineRule="auto"/>
        <w:widowControl w:val="off"/>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第十六条  权利保证</w:t>
      </w:r>
      <w:r/>
    </w:p>
    <w:p>
      <w:pPr>
        <w:pStyle w:val="765"/>
        <w:ind w:left="0" w:firstLine="480"/>
        <w:jc w:val="both"/>
        <w:keepLines w:val="0"/>
        <w:keepNext w:val="0"/>
        <w:pageBreakBefore w:val="0"/>
        <w:spacing w:before="0" w:beforeAutospacing="0" w:after="0" w:afterAutospacing="0" w:line="240" w:lineRule="auto"/>
        <w:widowControl w:val="off"/>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16.1卖方应保证买方在使用合同标的时不受第三方提出侵犯其专利权、版权、商标权或其他权利的起诉。一旦出现侵权，卖方承担全部责任。</w:t>
      </w:r>
      <w:r/>
    </w:p>
    <w:p>
      <w:pPr>
        <w:pStyle w:val="765"/>
        <w:ind w:left="0" w:firstLine="480"/>
        <w:jc w:val="both"/>
        <w:keepLines w:val="0"/>
        <w:keepNext w:val="0"/>
        <w:pageBreakBefore w:val="0"/>
        <w:spacing w:before="0" w:beforeAutospacing="0" w:after="0" w:afterAutospacing="0" w:line="240" w:lineRule="auto"/>
        <w:widowControl w:val="off"/>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highlight w:val="none"/>
        </w:rPr>
        <w:t xml:space="preserve"> </w:t>
      </w:r>
      <w:r/>
    </w:p>
    <w:p>
      <w:pPr>
        <w:pStyle w:val="765"/>
        <w:ind w:left="0" w:firstLine="480"/>
        <w:jc w:val="both"/>
        <w:keepLines w:val="0"/>
        <w:keepNext w:val="0"/>
        <w:pageBreakBefore w:val="0"/>
        <w:spacing w:before="0" w:beforeAutospacing="0" w:after="0" w:afterAutospacing="0" w:line="240" w:lineRule="auto"/>
        <w:widowControl w:val="off"/>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第十七条  保密 </w:t>
      </w:r>
      <w:r/>
    </w:p>
    <w:p>
      <w:pPr>
        <w:pStyle w:val="765"/>
        <w:ind w:left="0" w:firstLine="480"/>
        <w:jc w:val="both"/>
        <w:keepLines w:val="0"/>
        <w:keepNext w:val="0"/>
        <w:pageBreakBefore w:val="0"/>
        <w:spacing w:before="0" w:beforeAutospacing="0" w:after="0" w:afterAutospacing="0" w:line="240" w:lineRule="auto"/>
        <w:widowControl w:val="off"/>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17.1卖方在本合同履行的过程中，或为履行本合同的需要，从买方所获得的、有关买方和/或属于买方的任何信息包括买方工作方式方法与资料、技术资料、用户名单、发展战略及其他被认为是买方的信息，都是买方的秘密，卖方不得泄露给任何第三方。</w:t>
      </w:r>
      <w:r/>
    </w:p>
    <w:p>
      <w:pPr>
        <w:pStyle w:val="765"/>
        <w:ind w:left="0" w:firstLine="480"/>
        <w:jc w:val="both"/>
        <w:keepLines w:val="0"/>
        <w:keepNext w:val="0"/>
        <w:pageBreakBefore w:val="0"/>
        <w:spacing w:before="0" w:beforeAutospacing="0" w:after="0" w:afterAutospacing="0" w:line="240" w:lineRule="auto"/>
        <w:widowControl w:val="off"/>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17.2上述秘密，卖方只能用于本合同，而且只能由卖方相应的人员使用；没有必要接触的卖方人员，不得接触。</w:t>
      </w:r>
      <w:r/>
    </w:p>
    <w:p>
      <w:pPr>
        <w:pStyle w:val="765"/>
        <w:ind w:left="0" w:firstLine="480"/>
        <w:jc w:val="both"/>
        <w:keepLines w:val="0"/>
        <w:keepNext w:val="0"/>
        <w:pageBreakBefore w:val="0"/>
        <w:spacing w:before="0" w:beforeAutospacing="0" w:after="0" w:afterAutospacing="0" w:line="240" w:lineRule="auto"/>
        <w:widowControl w:val="off"/>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17.3卖方应当采取适当有效的方式保护所获取的上述秘密。</w:t>
      </w:r>
      <w:r/>
    </w:p>
    <w:p>
      <w:pPr>
        <w:pStyle w:val="765"/>
        <w:ind w:left="0" w:firstLine="480"/>
        <w:jc w:val="both"/>
        <w:keepLines w:val="0"/>
        <w:keepNext w:val="0"/>
        <w:pageBreakBefore w:val="0"/>
        <w:spacing w:before="0" w:beforeAutospacing="0" w:after="0" w:afterAutospacing="0" w:line="240" w:lineRule="auto"/>
        <w:widowControl w:val="off"/>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17.4卖方违反本合同所规定的在保密方面的义务，应按合同总价的50%承担违约金或按照实际损失支付赔偿金；买方有权选择以上两种方式之一要求卖方承担违约责任。本违约金和赔偿金的支付义务独立于其它违约义务。</w:t>
      </w:r>
      <w:r/>
    </w:p>
    <w:p>
      <w:pPr>
        <w:pStyle w:val="765"/>
        <w:ind w:left="0" w:firstLine="480"/>
        <w:jc w:val="both"/>
        <w:keepLines w:val="0"/>
        <w:keepNext w:val="0"/>
        <w:pageBreakBefore w:val="0"/>
        <w:spacing w:before="0" w:beforeAutospacing="0" w:after="0" w:afterAutospacing="0" w:line="240" w:lineRule="auto"/>
        <w:widowControl w:val="off"/>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highlight w:val="none"/>
        </w:rPr>
        <w:t xml:space="preserve"> </w:t>
      </w:r>
      <w:r/>
    </w:p>
    <w:p>
      <w:pPr>
        <w:pStyle w:val="765"/>
        <w:ind w:left="0" w:firstLine="480"/>
        <w:jc w:val="both"/>
        <w:keepLines w:val="0"/>
        <w:keepNext w:val="0"/>
        <w:pageBreakBefore w:val="0"/>
        <w:spacing w:before="0" w:beforeAutospacing="0" w:after="0" w:afterAutospacing="0" w:line="240" w:lineRule="auto"/>
        <w:widowControl w:val="off"/>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第十八条 合同生效及其他</w:t>
      </w:r>
      <w:r/>
    </w:p>
    <w:p>
      <w:pPr>
        <w:pStyle w:val="765"/>
        <w:ind w:left="0" w:firstLine="480"/>
        <w:jc w:val="both"/>
        <w:keepLines w:val="0"/>
        <w:keepNext w:val="0"/>
        <w:pageBreakBefore w:val="0"/>
        <w:spacing w:before="0" w:beforeAutospacing="0" w:after="0" w:afterAutospacing="0" w:line="240" w:lineRule="auto"/>
        <w:widowControl w:val="off"/>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18.1 本合同在合同协议书（合同附件1）规定的条件全部满足后生效。</w:t>
      </w:r>
      <w:r/>
    </w:p>
    <w:p>
      <w:pPr>
        <w:pStyle w:val="765"/>
        <w:ind w:left="0" w:firstLine="480"/>
        <w:jc w:val="both"/>
        <w:keepLines w:val="0"/>
        <w:keepNext w:val="0"/>
        <w:pageBreakBefore w:val="0"/>
        <w:spacing w:before="0" w:beforeAutospacing="0" w:after="0" w:afterAutospacing="0" w:line="240" w:lineRule="auto"/>
        <w:widowControl w:val="off"/>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18.2合同项下全部权利义务履行完毕后，本合同自动失效。合同履行期满后，合同项下任何尚未了结的债权和债务不受合同履行期的影响，债务人仍应向债权人履行其义务。</w:t>
      </w:r>
      <w:r/>
    </w:p>
    <w:p>
      <w:pPr>
        <w:pStyle w:val="765"/>
        <w:ind w:left="0" w:firstLine="480"/>
        <w:jc w:val="both"/>
        <w:keepLines w:val="0"/>
        <w:keepNext w:val="0"/>
        <w:pageBreakBefore w:val="0"/>
        <w:spacing w:before="0" w:beforeAutospacing="0" w:after="0" w:afterAutospacing="0" w:line="240" w:lineRule="auto"/>
        <w:widowControl w:val="off"/>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18.3 合同双方各自承担与本合同有关的应负税费。</w:t>
      </w:r>
      <w:r/>
    </w:p>
    <w:p>
      <w:pPr>
        <w:pStyle w:val="765"/>
        <w:ind w:left="0" w:firstLine="480"/>
        <w:jc w:val="both"/>
        <w:keepLines w:val="0"/>
        <w:keepNext w:val="0"/>
        <w:pageBreakBefore w:val="0"/>
        <w:spacing w:before="0" w:beforeAutospacing="0" w:after="0" w:afterAutospacing="0" w:line="240" w:lineRule="auto"/>
        <w:widowControl w:val="off"/>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18.4合同双方除非《合同专用条款》另有规定，所有合同文件及相关的修订和合同双方之间的书面联络，应使用中文书就并按中文解释。</w:t>
      </w:r>
      <w:r/>
    </w:p>
    <w:p>
      <w:pPr>
        <w:pStyle w:val="765"/>
        <w:ind w:left="0" w:firstLine="480"/>
        <w:jc w:val="both"/>
        <w:keepLines w:val="0"/>
        <w:keepNext w:val="0"/>
        <w:pageBreakBefore w:val="0"/>
        <w:spacing w:before="0" w:beforeAutospacing="0" w:after="0" w:afterAutospacing="0" w:line="240" w:lineRule="auto"/>
        <w:widowControl w:val="off"/>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18.5对本合同的任何补充、增添或修改以书面方式进行。</w:t>
      </w:r>
      <w:r/>
    </w:p>
    <w:p>
      <w:pPr>
        <w:pStyle w:val="765"/>
        <w:ind w:left="0" w:firstLine="480"/>
        <w:jc w:val="both"/>
        <w:keepLines w:val="0"/>
        <w:keepNext w:val="0"/>
        <w:pageBreakBefore w:val="0"/>
        <w:spacing w:before="0" w:beforeAutospacing="0" w:after="0" w:afterAutospacing="0" w:line="240" w:lineRule="auto"/>
        <w:widowControl w:val="off"/>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18.6没有另一方的事先书面同意，合同任何一方不得将合同项下的任何权利和义务转让给第三方。</w:t>
      </w:r>
      <w:r/>
    </w:p>
    <w:p>
      <w:pPr>
        <w:pStyle w:val="765"/>
        <w:ind w:left="0" w:firstLine="480"/>
        <w:jc w:val="both"/>
        <w:keepLines w:val="0"/>
        <w:keepNext w:val="0"/>
        <w:pageBreakBefore w:val="0"/>
        <w:spacing w:before="0" w:beforeAutospacing="0" w:after="0" w:afterAutospacing="0" w:line="240" w:lineRule="auto"/>
        <w:widowControl w:val="off"/>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18.7任何一方在执行任何合同条款和条件时准予对方的放松、宽容、延迟、放纵或时间，不得损害、影响或限制该方在合同之下的权利；任何一方对合同的任何违背、任何免责也不应导致对任何后面或延续的合同的免责或弃权。</w:t>
      </w:r>
      <w:r/>
    </w:p>
    <w:p>
      <w:pPr>
        <w:pStyle w:val="765"/>
        <w:ind w:left="0" w:firstLine="480"/>
        <w:jc w:val="both"/>
        <w:keepLines w:val="0"/>
        <w:keepNext w:val="0"/>
        <w:pageBreakBefore w:val="0"/>
        <w:spacing w:before="0" w:beforeAutospacing="0" w:after="0" w:afterAutospacing="0" w:line="240" w:lineRule="auto"/>
        <w:widowControl w:val="off"/>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18.8合同条款中的标题和边注仅供参考使用，不应视为合同的一部分，也不影响本文的解释。</w:t>
      </w:r>
      <w:r/>
    </w:p>
    <w:p>
      <w:pPr>
        <w:pStyle w:val="765"/>
        <w:ind w:left="0" w:firstLine="480"/>
        <w:jc w:val="both"/>
        <w:keepLines w:val="0"/>
        <w:keepNext w:val="0"/>
        <w:pageBreakBefore w:val="0"/>
        <w:spacing w:before="0" w:beforeAutospacing="0" w:after="0" w:afterAutospacing="0" w:line="240" w:lineRule="auto"/>
        <w:widowControl w:val="off"/>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18.9合同构成买方和卖方之间就合同主要内容方面的完整协议，并且取代合同签订前所有关于这方面的通讯、协商、协议(不论是书面的，还是口头的)。</w:t>
      </w:r>
      <w:r/>
    </w:p>
    <w:p>
      <w:pPr>
        <w:pStyle w:val="765"/>
        <w:ind w:left="0" w:firstLine="480"/>
        <w:jc w:val="both"/>
        <w:keepLines w:val="0"/>
        <w:keepNext w:val="0"/>
        <w:pageBreakBefore w:val="0"/>
        <w:spacing w:before="0" w:beforeAutospacing="0" w:after="0" w:afterAutospacing="0" w:line="240" w:lineRule="auto"/>
        <w:widowControl w:val="off"/>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18.10买方应当自政府采购合同签订之日起2个工作日内，将政府采购合同在省级以上人民政府财政部门指定的媒体上公告，但政府采购合同中涉及国家秘密、商业秘密的内容除外。</w:t>
      </w:r>
      <w:r/>
    </w:p>
    <w:p>
      <w:pPr>
        <w:pStyle w:val="765"/>
        <w:ind w:left="0" w:firstLine="480"/>
        <w:jc w:val="both"/>
        <w:keepLines w:val="0"/>
        <w:keepNext w:val="0"/>
        <w:pageBreakBefore w:val="0"/>
        <w:spacing w:before="0" w:beforeAutospacing="0" w:after="0" w:afterAutospacing="0" w:line="240" w:lineRule="auto"/>
        <w:widowControl w:val="off"/>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18.11合同双方之间的一切联络往来应以书面形式按《合同专用条款》中规定的通讯地址发往合同另一方。有关重要事项的传真应及时用挂号信或快件确认。</w:t>
      </w:r>
      <w:r/>
    </w:p>
    <w:p>
      <w:pPr>
        <w:pStyle w:val="765"/>
        <w:ind w:left="0" w:firstLine="600"/>
        <w:jc w:val="center"/>
        <w:keepLines w:val="0"/>
        <w:keepNext w:val="0"/>
        <w:spacing w:before="0" w:beforeAutospacing="0" w:after="0" w:afterAutospacing="0"/>
        <w:widowControl w:val="off"/>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highlight w:val="none"/>
        </w:rPr>
        <w:t xml:space="preserve"> </w:t>
      </w:r>
      <w:r/>
    </w:p>
    <w:p>
      <w:pPr>
        <w:pStyle w:val="765"/>
        <w:ind w:left="0" w:firstLine="600"/>
        <w:jc w:val="center"/>
        <w:keepLines w:val="0"/>
        <w:keepNext w:val="0"/>
        <w:spacing w:before="0" w:beforeAutospacing="0" w:after="0" w:afterAutospacing="0"/>
        <w:widowControl w:val="off"/>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highlight w:val="none"/>
        </w:rPr>
        <w:t xml:space="preserve"> </w:t>
      </w:r>
      <w:r/>
    </w:p>
    <w:p>
      <w:pPr>
        <w:pStyle w:val="765"/>
        <w:ind w:left="0" w:firstLine="600"/>
        <w:jc w:val="center"/>
        <w:keepLines w:val="0"/>
        <w:keepNext w:val="0"/>
        <w:spacing w:before="0" w:beforeAutospacing="0" w:after="0" w:afterAutospacing="0"/>
        <w:widowControl w:val="off"/>
        <w:rPr>
          <w:rFonts w:hint="eastAsia" w:ascii="宋体" w:hAnsi="宋体" w:eastAsia="宋体" w:cs="宋体"/>
          <w:color w:val="000000"/>
          <w:sz w:val="30"/>
          <w:szCs w:val="30"/>
          <w:highlight w:val="none"/>
        </w:rPr>
        <w:pBdr>
          <w:top w:val="none" w:color="000000" w:sz="0" w:space="0"/>
          <w:left w:val="none" w:color="000000" w:sz="0" w:space="0"/>
          <w:bottom w:val="none" w:color="000000" w:sz="0" w:space="0"/>
          <w:right w:val="none" w:color="000000" w:sz="0" w:space="0"/>
          <w:between w:val="none" w:color="000000" w:sz="0" w:space="0"/>
        </w:pBdr>
        <w:sectPr>
          <w:footnotePr/>
          <w:endnotePr/>
          <w:type w:val="nextPage"/>
          <w:pgSz w:w="11906" w:h="16838" w:orient="portrait"/>
          <w:pgMar w:top="1440" w:right="1803" w:bottom="1440" w:left="1803" w:header="851" w:footer="850" w:gutter="0"/>
          <w:cols w:num="1" w:sep="0" w:space="1701" w:equalWidth="1"/>
          <w:docGrid w:linePitch="360"/>
        </w:sectPr>
        <w:suppressLineNumbers w:val="0"/>
      </w:pPr>
      <w:r>
        <w:rPr>
          <w:rFonts w:hint="eastAsia" w:ascii="宋体" w:hAnsi="宋体" w:eastAsia="宋体" w:cs="宋体"/>
          <w:color w:val="000000"/>
          <w:sz w:val="30"/>
          <w:szCs w:val="30"/>
          <w:highlight w:val="none"/>
        </w:rPr>
      </w:r>
      <w:r/>
    </w:p>
    <w:p>
      <w:pPr>
        <w:pStyle w:val="765"/>
        <w:ind w:left="0" w:firstLine="600"/>
        <w:jc w:val="center"/>
        <w:keepLines w:val="0"/>
        <w:keepNext w:val="0"/>
        <w:spacing w:before="0" w:beforeAutospacing="0" w:after="0" w:afterAutospacing="0"/>
        <w:widowControl w:val="off"/>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30"/>
          <w:szCs w:val="30"/>
          <w:highlight w:val="none"/>
        </w:rPr>
        <w:t xml:space="preserve">合同专用条款</w:t>
      </w:r>
      <w:r/>
    </w:p>
    <w:p>
      <w:pPr>
        <w:pStyle w:val="765"/>
        <w:jc w:val="center"/>
        <w:keepLines w:val="0"/>
        <w:keepNext w:val="0"/>
        <w:spacing w:before="0" w:beforeAutospacing="0" w:after="0" w:afterAutospacing="0"/>
        <w:widowControl w:val="off"/>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highlight w:val="none"/>
        </w:rPr>
        <w:t xml:space="preserve"> </w:t>
      </w:r>
      <w:r/>
    </w:p>
    <w:p>
      <w:pPr>
        <w:pStyle w:val="765"/>
        <w:ind w:left="0" w:firstLine="480"/>
        <w:jc w:val="both"/>
        <w:keepLines w:val="0"/>
        <w:keepNext w:val="0"/>
        <w:pageBreakBefore w:val="0"/>
        <w:spacing w:before="0" w:beforeAutospacing="0" w:after="0" w:afterAutospacing="0" w:line="240" w:lineRule="auto"/>
        <w:widowControl w:val="off"/>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《合同专用条款》中的条款项号是与《合同通用条款》中的条款项号对应的，其增加的内容和条款，是对《合同通用条款》的补充、修改和完善，如果有矛盾的话，以《合同专用条款》为准。</w:t>
      </w:r>
      <w:r/>
    </w:p>
    <w:p>
      <w:pPr>
        <w:pStyle w:val="765"/>
        <w:jc w:val="center"/>
        <w:keepLines w:val="0"/>
        <w:keepNext w:val="0"/>
        <w:pageBreakBefore w:val="0"/>
        <w:spacing w:before="0" w:beforeAutospacing="0" w:after="0" w:afterAutospacing="0" w:line="240" w:lineRule="auto"/>
        <w:widowControl w:val="off"/>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highlight w:val="none"/>
        </w:rPr>
        <w:t xml:space="preserve"> </w:t>
      </w:r>
      <w:r/>
    </w:p>
    <w:p>
      <w:pPr>
        <w:pStyle w:val="765"/>
        <w:ind w:left="0" w:firstLine="540"/>
        <w:jc w:val="both"/>
        <w:keepLines w:val="0"/>
        <w:keepNext w:val="0"/>
        <w:pageBreakBefore w:val="0"/>
        <w:spacing w:before="0" w:beforeAutospacing="0" w:after="0" w:afterAutospacing="0" w:line="240" w:lineRule="auto"/>
        <w:widowControl w:val="off"/>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第一条 定义</w:t>
      </w:r>
      <w:r/>
    </w:p>
    <w:p>
      <w:pPr>
        <w:pStyle w:val="765"/>
        <w:ind w:left="0" w:firstLine="540"/>
        <w:jc w:val="both"/>
        <w:keepLines w:val="0"/>
        <w:keepNext w:val="0"/>
        <w:pageBreakBefore w:val="0"/>
        <w:spacing w:before="0" w:beforeAutospacing="0" w:after="0" w:afterAutospacing="0" w:line="240" w:lineRule="auto"/>
        <w:widowControl w:val="off"/>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1.1 “买方”为</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w:t>
      </w:r>
      <w:r/>
    </w:p>
    <w:p>
      <w:pPr>
        <w:pStyle w:val="765"/>
        <w:ind w:left="0" w:firstLine="540"/>
        <w:jc w:val="both"/>
        <w:keepLines w:val="0"/>
        <w:keepNext w:val="0"/>
        <w:pageBreakBefore w:val="0"/>
        <w:spacing w:before="0" w:beforeAutospacing="0" w:after="0" w:afterAutospacing="0" w:line="240" w:lineRule="auto"/>
        <w:widowControl w:val="off"/>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1.2 “卖方”为</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w:t>
      </w:r>
      <w:r/>
    </w:p>
    <w:p>
      <w:pPr>
        <w:pStyle w:val="765"/>
        <w:ind w:left="0" w:firstLine="540"/>
        <w:jc w:val="both"/>
        <w:keepLines w:val="0"/>
        <w:keepNext w:val="0"/>
        <w:pageBreakBefore w:val="0"/>
        <w:spacing w:before="0" w:beforeAutospacing="0" w:after="0" w:afterAutospacing="0" w:line="240" w:lineRule="auto"/>
        <w:widowControl w:val="off"/>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1.3 “工作现场”为</w:t>
      </w:r>
      <w:r>
        <w:rPr>
          <w:rFonts w:hint="eastAsia" w:ascii="宋体" w:hAnsi="宋体" w:eastAsia="宋体" w:cs="宋体"/>
          <w:color w:val="000000"/>
          <w:sz w:val="24"/>
          <w:szCs w:val="24"/>
          <w:highlight w:val="none"/>
          <w:u w:val="single"/>
        </w:rPr>
        <w:t xml:space="preserve">买方指定地点</w:t>
      </w:r>
      <w:r>
        <w:rPr>
          <w:rFonts w:hint="eastAsia" w:ascii="宋体" w:hAnsi="宋体" w:eastAsia="宋体" w:cs="宋体"/>
          <w:color w:val="000000"/>
          <w:sz w:val="24"/>
          <w:szCs w:val="24"/>
          <w:highlight w:val="none"/>
        </w:rPr>
        <w:t xml:space="preserve">。</w:t>
      </w:r>
      <w:r/>
    </w:p>
    <w:p>
      <w:pPr>
        <w:pStyle w:val="765"/>
        <w:ind w:left="0" w:firstLine="540"/>
        <w:jc w:val="both"/>
        <w:keepLines w:val="0"/>
        <w:keepNext w:val="0"/>
        <w:pageBreakBefore w:val="0"/>
        <w:spacing w:before="0" w:beforeAutospacing="0" w:after="0" w:afterAutospacing="0" w:line="240" w:lineRule="auto"/>
        <w:widowControl w:val="off"/>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1.10 “合同货币”即</w:t>
      </w:r>
      <w:r>
        <w:rPr>
          <w:rFonts w:hint="eastAsia" w:ascii="宋体" w:hAnsi="宋体" w:eastAsia="宋体" w:cs="宋体"/>
          <w:color w:val="000000"/>
          <w:sz w:val="24"/>
          <w:szCs w:val="24"/>
          <w:highlight w:val="none"/>
          <w:u w:val="single"/>
        </w:rPr>
        <w:t xml:space="preserve">人民币</w:t>
      </w:r>
      <w:r>
        <w:rPr>
          <w:rFonts w:hint="eastAsia" w:ascii="宋体" w:hAnsi="宋体" w:eastAsia="宋体" w:cs="宋体"/>
          <w:color w:val="000000"/>
          <w:sz w:val="24"/>
          <w:szCs w:val="24"/>
          <w:highlight w:val="none"/>
        </w:rPr>
        <w:t xml:space="preserve">。</w:t>
      </w:r>
      <w:r/>
    </w:p>
    <w:p>
      <w:pPr>
        <w:pStyle w:val="765"/>
        <w:ind w:left="0" w:firstLine="480"/>
        <w:jc w:val="both"/>
        <w:keepLines w:val="0"/>
        <w:keepNext w:val="0"/>
        <w:pageBreakBefore w:val="0"/>
        <w:spacing w:before="0" w:beforeAutospacing="0" w:after="0" w:afterAutospacing="0" w:line="240" w:lineRule="auto"/>
        <w:widowControl w:val="off"/>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highlight w:val="none"/>
        </w:rPr>
        <w:t xml:space="preserve"> </w:t>
      </w:r>
      <w:r/>
    </w:p>
    <w:p>
      <w:pPr>
        <w:pStyle w:val="765"/>
        <w:ind w:left="0" w:firstLine="480"/>
        <w:jc w:val="both"/>
        <w:keepLines w:val="0"/>
        <w:keepNext w:val="0"/>
        <w:pageBreakBefore w:val="0"/>
        <w:spacing w:before="0" w:beforeAutospacing="0" w:after="0" w:afterAutospacing="0" w:line="240" w:lineRule="auto"/>
        <w:widowControl w:val="off"/>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第二条 合同范围</w:t>
      </w:r>
      <w:r/>
    </w:p>
    <w:p>
      <w:pPr>
        <w:pStyle w:val="765"/>
        <w:ind w:left="0" w:firstLine="540"/>
        <w:jc w:val="both"/>
        <w:keepLines w:val="0"/>
        <w:keepNext w:val="0"/>
        <w:pageBreakBefore w:val="0"/>
        <w:spacing w:before="0" w:beforeAutospacing="0" w:after="0" w:afterAutospacing="0" w:line="240" w:lineRule="auto"/>
        <w:widowControl w:val="off"/>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2.3买方同意从卖方购买、卖方同意向买方出售的合同标的是</w:t>
      </w:r>
      <w:r>
        <w:rPr>
          <w:rFonts w:hint="eastAsia" w:ascii="宋体" w:hAnsi="宋体" w:eastAsia="宋体" w:cs="宋体"/>
          <w:b/>
          <w:bCs/>
          <w:color w:val="000000"/>
          <w:sz w:val="24"/>
          <w:szCs w:val="24"/>
          <w:highlight w:val="none"/>
          <w:u w:val="single"/>
          <w:lang w:val="en-US" w:eastAsia="zh-CN"/>
        </w:rPr>
        <w:t xml:space="preserve">          </w:t>
      </w:r>
      <w:r>
        <w:rPr>
          <w:rFonts w:hint="eastAsia" w:ascii="宋体" w:hAnsi="宋体" w:eastAsia="宋体" w:cs="宋体"/>
          <w:b/>
          <w:bCs/>
          <w:color w:val="000000"/>
          <w:sz w:val="24"/>
          <w:szCs w:val="24"/>
          <w:highlight w:val="none"/>
          <w:u w:val="single"/>
        </w:rPr>
        <w:t xml:space="preserve"> </w:t>
      </w:r>
      <w:r>
        <w:rPr>
          <w:rFonts w:hint="eastAsia" w:ascii="宋体" w:hAnsi="宋体" w:eastAsia="宋体" w:cs="宋体"/>
          <w:color w:val="000000"/>
          <w:sz w:val="24"/>
          <w:szCs w:val="24"/>
          <w:highlight w:val="none"/>
        </w:rPr>
        <w:t xml:space="preserve">。详见合同附件。</w:t>
      </w:r>
      <w:r/>
    </w:p>
    <w:p>
      <w:pPr>
        <w:pStyle w:val="765"/>
        <w:jc w:val="both"/>
        <w:keepLines w:val="0"/>
        <w:keepNext w:val="0"/>
        <w:pageBreakBefore w:val="0"/>
        <w:spacing w:before="0" w:beforeAutospacing="0" w:after="0" w:afterAutospacing="0" w:line="240" w:lineRule="auto"/>
        <w:widowControl w:val="off"/>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highlight w:val="none"/>
        </w:rPr>
        <w:t xml:space="preserve"> </w:t>
      </w:r>
      <w:r/>
    </w:p>
    <w:p>
      <w:pPr>
        <w:pStyle w:val="765"/>
        <w:ind w:left="0" w:firstLine="540"/>
        <w:jc w:val="both"/>
        <w:keepLines w:val="0"/>
        <w:keepNext w:val="0"/>
        <w:pageBreakBefore w:val="0"/>
        <w:spacing w:before="0" w:beforeAutospacing="0" w:after="0" w:afterAutospacing="0" w:line="240" w:lineRule="auto"/>
        <w:widowControl w:val="off"/>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第三条 价格</w:t>
      </w:r>
      <w:r/>
    </w:p>
    <w:p>
      <w:pPr>
        <w:pStyle w:val="765"/>
        <w:ind w:left="0" w:firstLine="540"/>
        <w:jc w:val="both"/>
        <w:keepLines w:val="0"/>
        <w:keepNext w:val="0"/>
        <w:pageBreakBefore w:val="0"/>
        <w:spacing w:before="0" w:beforeAutospacing="0" w:after="0" w:afterAutospacing="0" w:line="240" w:lineRule="auto"/>
        <w:widowControl w:val="off"/>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3.1合同总价为大写：</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人民币。</w:t>
      </w:r>
      <w:r/>
    </w:p>
    <w:p>
      <w:pPr>
        <w:pStyle w:val="765"/>
        <w:ind w:left="0" w:firstLine="540"/>
        <w:jc w:val="both"/>
        <w:keepLines w:val="0"/>
        <w:keepNext w:val="0"/>
        <w:pageBreakBefore w:val="0"/>
        <w:spacing w:before="0" w:beforeAutospacing="0" w:after="0" w:afterAutospacing="0" w:line="240" w:lineRule="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3.2本合同为固定总价合同，项目实施过程中除采购人提出的变更要求外不增加任何费用，本合同总价中包含国家法律法规对设备、材料的检验、检测费用。 </w:t>
      </w:r>
      <w:r/>
    </w:p>
    <w:p>
      <w:pPr>
        <w:pStyle w:val="765"/>
        <w:ind w:left="0" w:firstLine="540"/>
        <w:jc w:val="both"/>
        <w:keepLines w:val="0"/>
        <w:keepNext w:val="0"/>
        <w:pageBreakBefore w:val="0"/>
        <w:spacing w:before="0" w:beforeAutospacing="0" w:after="0" w:afterAutospacing="0" w:line="240" w:lineRule="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3.3 本合同价格为包括但不限于</w:t>
      </w:r>
      <w:r>
        <w:rPr>
          <w:rFonts w:hint="eastAsia" w:ascii="宋体" w:hAnsi="宋体" w:eastAsia="宋体" w:cs="宋体"/>
          <w:color w:val="000000"/>
          <w:sz w:val="24"/>
          <w:szCs w:val="24"/>
          <w:highlight w:val="none"/>
          <w:lang w:val="en-US" w:eastAsia="zh-CN"/>
        </w:rPr>
        <w:t xml:space="preserve">包括产品价、税金、运费、检验等全部费用（不包含安装费）</w:t>
      </w:r>
      <w:r>
        <w:rPr>
          <w:rFonts w:hint="eastAsia" w:ascii="宋体" w:hAnsi="宋体" w:eastAsia="宋体" w:cs="宋体"/>
          <w:color w:val="000000"/>
          <w:sz w:val="24"/>
          <w:szCs w:val="24"/>
          <w:highlight w:val="none"/>
        </w:rPr>
        <w:t xml:space="preserve">等其它一切有可能产生或增加的费用。</w:t>
      </w:r>
      <w:r/>
    </w:p>
    <w:p>
      <w:pPr>
        <w:pStyle w:val="765"/>
        <w:ind w:left="0" w:firstLine="540"/>
        <w:jc w:val="both"/>
        <w:keepLines w:val="0"/>
        <w:keepNext w:val="0"/>
        <w:pageBreakBefore w:val="0"/>
        <w:spacing w:before="0" w:beforeAutospacing="0" w:after="0" w:afterAutospacing="0" w:line="240" w:lineRule="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r>
      <w:r/>
    </w:p>
    <w:p>
      <w:pPr>
        <w:pStyle w:val="765"/>
        <w:ind w:left="0" w:firstLine="540"/>
        <w:jc w:val="both"/>
        <w:keepLines w:val="0"/>
        <w:keepNext w:val="0"/>
        <w:pageBreakBefore w:val="0"/>
        <w:spacing w:before="0" w:beforeAutospacing="0" w:after="0" w:afterAutospacing="0" w:line="240" w:lineRule="auto"/>
        <w:widowControl w:val="off"/>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bCs/>
          <w:color w:val="000000"/>
          <w:sz w:val="24"/>
          <w:szCs w:val="24"/>
          <w:highlight w:val="none"/>
        </w:rPr>
        <w:t xml:space="preserve">第四条 支付（采购资金的支付方式、时间、条件）</w:t>
      </w:r>
      <w:r/>
    </w:p>
    <w:p>
      <w:pPr>
        <w:pStyle w:val="765"/>
        <w:ind w:left="0" w:firstLine="540"/>
        <w:jc w:val="both"/>
        <w:keepLines w:val="0"/>
        <w:keepNext w:val="0"/>
        <w:pageBreakBefore w:val="0"/>
        <w:spacing w:before="0" w:beforeAutospacing="0" w:after="0" w:afterAutospacing="0" w:line="240" w:lineRule="auto"/>
        <w:widowControl w:val="off"/>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bCs/>
          <w:color w:val="000000"/>
          <w:sz w:val="24"/>
          <w:szCs w:val="24"/>
          <w:highlight w:val="none"/>
        </w:rPr>
        <w:t xml:space="preserve">本合同总金额为人民币大写金额</w:t>
      </w:r>
      <w:r>
        <w:rPr>
          <w:rFonts w:hint="eastAsia" w:ascii="宋体" w:hAnsi="宋体" w:eastAsia="宋体" w:cs="宋体"/>
          <w:b/>
          <w:bCs/>
          <w:color w:val="000000"/>
          <w:sz w:val="24"/>
          <w:szCs w:val="24"/>
          <w:highlight w:val="none"/>
          <w:u w:val="single"/>
          <w:lang w:val="en-US" w:eastAsia="zh-CN"/>
        </w:rPr>
        <w:t xml:space="preserve">        </w:t>
      </w:r>
      <w:r>
        <w:rPr>
          <w:rFonts w:hint="eastAsia" w:ascii="宋体" w:hAnsi="宋体" w:eastAsia="宋体" w:cs="宋体"/>
          <w:b/>
          <w:bCs/>
          <w:color w:val="000000"/>
          <w:sz w:val="24"/>
          <w:szCs w:val="24"/>
          <w:highlight w:val="none"/>
        </w:rPr>
        <w:t xml:space="preserve">元（小写金额：</w:t>
      </w:r>
      <w:r>
        <w:rPr>
          <w:rFonts w:hint="eastAsia" w:ascii="宋体" w:hAnsi="宋体" w:eastAsia="宋体" w:cs="宋体"/>
          <w:b/>
          <w:bCs/>
          <w:color w:val="000000"/>
          <w:sz w:val="24"/>
          <w:szCs w:val="24"/>
          <w:highlight w:val="none"/>
          <w:u w:val="single"/>
          <w:lang w:val="en-US" w:eastAsia="zh-CN"/>
        </w:rPr>
        <w:t xml:space="preserve">        </w:t>
      </w:r>
      <w:r>
        <w:rPr>
          <w:rFonts w:hint="eastAsia" w:ascii="宋体" w:hAnsi="宋体" w:eastAsia="宋体" w:cs="宋体"/>
          <w:b/>
          <w:bCs/>
          <w:color w:val="000000"/>
          <w:sz w:val="24"/>
          <w:szCs w:val="24"/>
          <w:highlight w:val="none"/>
        </w:rPr>
        <w:t xml:space="preserve">元）。</w:t>
      </w:r>
      <w:r/>
    </w:p>
    <w:p>
      <w:pPr>
        <w:pStyle w:val="765"/>
        <w:ind w:left="0" w:firstLine="542"/>
        <w:jc w:val="both"/>
        <w:keepLines w:val="0"/>
        <w:keepNext w:val="0"/>
        <w:pageBreakBefore w:val="0"/>
        <w:spacing w:before="0" w:beforeAutospacing="0" w:after="0" w:afterAutospacing="0" w:line="240" w:lineRule="auto"/>
        <w:widowControl w:val="off"/>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bCs/>
          <w:color w:val="000000"/>
          <w:sz w:val="24"/>
          <w:szCs w:val="24"/>
          <w:highlight w:val="none"/>
        </w:rPr>
        <w:t xml:space="preserve">经双方协商一致，选择以下第</w:t>
      </w:r>
      <w:r>
        <w:rPr>
          <w:rFonts w:hint="eastAsia" w:ascii="宋体" w:hAnsi="宋体" w:eastAsia="宋体" w:cs="宋体"/>
          <w:b/>
          <w:bCs/>
          <w:color w:val="000000"/>
          <w:sz w:val="24"/>
          <w:szCs w:val="24"/>
          <w:highlight w:val="none"/>
          <w:u w:val="single"/>
          <w:lang w:val="en-US" w:eastAsia="zh-CN"/>
        </w:rPr>
        <w:t xml:space="preserve">       </w:t>
      </w:r>
      <w:r>
        <w:rPr>
          <w:rFonts w:hint="eastAsia" w:ascii="宋体" w:hAnsi="宋体" w:eastAsia="宋体" w:cs="宋体"/>
          <w:b/>
          <w:bCs/>
          <w:color w:val="000000"/>
          <w:sz w:val="24"/>
          <w:szCs w:val="24"/>
          <w:highlight w:val="none"/>
          <w:u w:val="single"/>
        </w:rPr>
        <w:t xml:space="preserve"> </w:t>
      </w:r>
      <w:r>
        <w:rPr>
          <w:rFonts w:hint="eastAsia" w:ascii="宋体" w:hAnsi="宋体" w:eastAsia="宋体" w:cs="宋体"/>
          <w:b/>
          <w:bCs/>
          <w:color w:val="000000"/>
          <w:sz w:val="24"/>
          <w:szCs w:val="24"/>
          <w:highlight w:val="none"/>
        </w:rPr>
        <w:t xml:space="preserve">种付款方式：</w:t>
      </w:r>
      <w:r/>
    </w:p>
    <w:p>
      <w:pPr>
        <w:pStyle w:val="765"/>
        <w:ind w:left="0" w:firstLine="542"/>
        <w:jc w:val="both"/>
        <w:keepLines w:val="0"/>
        <w:keepNext w:val="0"/>
        <w:pageBreakBefore w:val="0"/>
        <w:spacing w:before="0" w:beforeAutospacing="0" w:after="0" w:afterAutospacing="0" w:line="240" w:lineRule="auto"/>
        <w:widowControl w:val="off"/>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bCs/>
          <w:color w:val="000000"/>
          <w:sz w:val="24"/>
          <w:szCs w:val="24"/>
          <w:highlight w:val="none"/>
        </w:rPr>
        <w:t xml:space="preserve">付款方式一：提交预付款保函的</w:t>
      </w:r>
      <w:r/>
    </w:p>
    <w:p>
      <w:pPr>
        <w:pStyle w:val="765"/>
        <w:ind w:left="0" w:firstLine="480"/>
        <w:keepLines w:val="0"/>
        <w:keepNext w:val="0"/>
        <w:pageBreakBefore w:val="0"/>
        <w:spacing w:before="0" w:beforeAutospacing="0" w:after="0" w:afterAutospacing="0" w:line="240" w:lineRule="auto"/>
        <w:widowControl w:val="off"/>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4.1合同价款的百分之四十(40%)，即￥（</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rPr>
        <w:t xml:space="preserve">），大写：人民币（</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）元整，在双方签订合同后15日内，</w:t>
      </w:r>
      <w:r>
        <w:rPr>
          <w:rFonts w:hint="eastAsia" w:ascii="宋体" w:hAnsi="宋体" w:eastAsia="宋体" w:cs="宋体"/>
          <w:color w:val="000000"/>
          <w:sz w:val="24"/>
          <w:szCs w:val="24"/>
          <w:highlight w:val="none"/>
          <w:lang w:val="en-US" w:eastAsia="zh-CN"/>
        </w:rPr>
        <w:t xml:space="preserve">买方</w:t>
      </w:r>
      <w:r>
        <w:rPr>
          <w:rFonts w:hint="eastAsia" w:ascii="宋体" w:hAnsi="宋体" w:eastAsia="宋体" w:cs="宋体"/>
          <w:color w:val="000000"/>
          <w:sz w:val="24"/>
          <w:szCs w:val="24"/>
          <w:highlight w:val="none"/>
        </w:rPr>
        <w:t xml:space="preserve">向卖方出具等额预付款保函后，由</w:t>
      </w:r>
      <w:r>
        <w:rPr>
          <w:rFonts w:hint="eastAsia" w:ascii="宋体" w:hAnsi="宋体" w:eastAsia="宋体" w:cs="宋体"/>
          <w:color w:val="000000"/>
          <w:sz w:val="24"/>
          <w:szCs w:val="24"/>
          <w:highlight w:val="none"/>
          <w:lang w:val="en-US" w:eastAsia="zh-CN"/>
        </w:rPr>
        <w:t xml:space="preserve">买方</w:t>
      </w:r>
      <w:r>
        <w:rPr>
          <w:rFonts w:hint="eastAsia" w:ascii="宋体" w:hAnsi="宋体" w:eastAsia="宋体" w:cs="宋体"/>
          <w:color w:val="000000"/>
          <w:sz w:val="24"/>
          <w:szCs w:val="24"/>
          <w:highlight w:val="none"/>
        </w:rPr>
        <w:t xml:space="preserve">办理政府采购资金结算手续支付给乙方。</w:t>
      </w:r>
      <w:r/>
    </w:p>
    <w:p>
      <w:pPr>
        <w:pStyle w:val="765"/>
        <w:ind w:left="0" w:firstLine="480"/>
        <w:keepLines w:val="0"/>
        <w:keepNext w:val="0"/>
        <w:pageBreakBefore w:val="0"/>
        <w:spacing w:before="0" w:beforeAutospacing="0" w:after="0" w:afterAutospacing="0" w:line="240" w:lineRule="auto"/>
        <w:widowControl w:val="off"/>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4.2 合同总价的百分之六十(60%)，即￥（</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），大写：人民币（</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rPr>
        <w:t xml:space="preserve">）元整，合同标的全部交付完毕并由</w:t>
      </w:r>
      <w:r>
        <w:rPr>
          <w:rFonts w:hint="eastAsia" w:ascii="宋体" w:hAnsi="宋体" w:eastAsia="宋体" w:cs="宋体"/>
          <w:color w:val="000000"/>
          <w:sz w:val="24"/>
          <w:szCs w:val="24"/>
          <w:highlight w:val="none"/>
          <w:lang w:val="en-US" w:eastAsia="zh-CN"/>
        </w:rPr>
        <w:t xml:space="preserve">买方</w:t>
      </w:r>
      <w:r>
        <w:rPr>
          <w:rFonts w:hint="eastAsia" w:ascii="宋体" w:hAnsi="宋体" w:eastAsia="宋体" w:cs="宋体"/>
          <w:color w:val="000000"/>
          <w:sz w:val="24"/>
          <w:szCs w:val="24"/>
          <w:highlight w:val="none"/>
        </w:rPr>
        <w:t xml:space="preserve">验收合格后15日内，由</w:t>
      </w:r>
      <w:r>
        <w:rPr>
          <w:rFonts w:hint="eastAsia" w:ascii="宋体" w:hAnsi="宋体" w:eastAsia="宋体" w:cs="宋体"/>
          <w:color w:val="000000"/>
          <w:sz w:val="24"/>
          <w:szCs w:val="24"/>
          <w:highlight w:val="none"/>
          <w:lang w:val="en-US" w:eastAsia="zh-CN"/>
        </w:rPr>
        <w:t xml:space="preserve">买方</w:t>
      </w:r>
      <w:r>
        <w:rPr>
          <w:rFonts w:hint="eastAsia" w:ascii="宋体" w:hAnsi="宋体" w:eastAsia="宋体" w:cs="宋体"/>
          <w:color w:val="000000"/>
          <w:sz w:val="24"/>
          <w:szCs w:val="24"/>
          <w:highlight w:val="none"/>
        </w:rPr>
        <w:t xml:space="preserve">办理政府采购资金结算手续,经审核通过后7日内支付给卖方。</w:t>
      </w:r>
      <w:r/>
    </w:p>
    <w:p>
      <w:pPr>
        <w:pStyle w:val="765"/>
        <w:ind w:left="0" w:firstLine="480"/>
        <w:keepLines w:val="0"/>
        <w:keepNext w:val="0"/>
        <w:pageBreakBefore w:val="0"/>
        <w:spacing w:before="0" w:beforeAutospacing="0" w:after="0" w:afterAutospacing="0" w:line="240" w:lineRule="auto"/>
        <w:widowControl w:val="off"/>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买方付款前卖方需提交的支付文件包括：</w:t>
      </w:r>
      <w:r/>
    </w:p>
    <w:p>
      <w:pPr>
        <w:pStyle w:val="765"/>
        <w:ind w:left="0" w:firstLine="480"/>
        <w:keepLines w:val="0"/>
        <w:keepNext w:val="0"/>
        <w:pageBreakBefore w:val="0"/>
        <w:spacing w:before="0" w:beforeAutospacing="0" w:after="0" w:afterAutospacing="0" w:line="240" w:lineRule="auto"/>
        <w:widowControl w:val="off"/>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卖方出具的全额正式发票。</w:t>
      </w:r>
      <w:r/>
    </w:p>
    <w:p>
      <w:pPr>
        <w:pStyle w:val="765"/>
        <w:ind w:left="0" w:firstLine="482"/>
        <w:keepLines w:val="0"/>
        <w:keepNext w:val="0"/>
        <w:pageBreakBefore w:val="0"/>
        <w:spacing w:before="0" w:beforeAutospacing="0" w:after="0" w:afterAutospacing="0" w:line="240" w:lineRule="auto"/>
        <w:widowControl w:val="off"/>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bCs/>
          <w:color w:val="000000"/>
          <w:sz w:val="24"/>
          <w:szCs w:val="24"/>
          <w:highlight w:val="none"/>
        </w:rPr>
        <w:t xml:space="preserve">付款方式二</w:t>
      </w:r>
      <w:r>
        <w:rPr>
          <w:rFonts w:hint="eastAsia" w:ascii="宋体" w:hAnsi="宋体" w:eastAsia="宋体" w:cs="宋体"/>
          <w:color w:val="000000"/>
          <w:sz w:val="24"/>
          <w:szCs w:val="24"/>
          <w:highlight w:val="none"/>
        </w:rPr>
        <w:t xml:space="preserve">：</w:t>
      </w:r>
      <w:r>
        <w:rPr>
          <w:rFonts w:hint="eastAsia" w:ascii="宋体" w:hAnsi="宋体" w:eastAsia="宋体" w:cs="宋体"/>
          <w:b/>
          <w:bCs/>
          <w:color w:val="000000"/>
          <w:sz w:val="24"/>
          <w:szCs w:val="24"/>
          <w:highlight w:val="none"/>
        </w:rPr>
        <w:t xml:space="preserve">不提交预付款保函</w:t>
      </w:r>
      <w:r/>
    </w:p>
    <w:p>
      <w:pPr>
        <w:pStyle w:val="765"/>
        <w:ind w:left="0" w:firstLine="480"/>
        <w:keepLines w:val="0"/>
        <w:keepNext w:val="0"/>
        <w:pageBreakBefore w:val="0"/>
        <w:spacing w:before="0" w:beforeAutospacing="0" w:after="0" w:afterAutospacing="0" w:line="240" w:lineRule="auto"/>
        <w:widowControl w:val="off"/>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4.1</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 xml:space="preserve">合同价款的百分之三十(30%)，即（￥（</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rPr>
        <w:t xml:space="preserve">），大写：人民币（</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）元整，</w:t>
      </w:r>
      <w:r>
        <w:rPr>
          <w:rFonts w:hint="eastAsia" w:ascii="宋体" w:hAnsi="宋体" w:eastAsia="宋体" w:cs="宋体"/>
          <w:color w:val="000000"/>
          <w:sz w:val="24"/>
          <w:szCs w:val="24"/>
          <w:highlight w:val="none"/>
          <w:lang w:val="en-US" w:eastAsia="zh-CN"/>
        </w:rPr>
        <w:t xml:space="preserve">在合同签订生效，</w:t>
      </w:r>
      <w:r>
        <w:rPr>
          <w:rFonts w:hint="eastAsia" w:ascii="宋体" w:hAnsi="宋体" w:eastAsia="宋体" w:cs="宋体"/>
          <w:color w:val="000000"/>
          <w:sz w:val="24"/>
          <w:szCs w:val="24"/>
        </w:rPr>
        <w:t xml:space="preserve">买方自收到发票（金额为合同总价的30%）</w:t>
      </w:r>
      <w:r>
        <w:rPr>
          <w:rFonts w:hint="eastAsia" w:ascii="宋体" w:hAnsi="宋体" w:eastAsia="宋体" w:cs="宋体"/>
          <w:color w:val="000000"/>
          <w:sz w:val="24"/>
          <w:szCs w:val="24"/>
          <w:lang w:val="en-US" w:eastAsia="zh-CN"/>
        </w:rPr>
        <w:t xml:space="preserve">后10个工作日</w:t>
      </w:r>
      <w:r>
        <w:rPr>
          <w:rFonts w:hint="eastAsia" w:ascii="宋体" w:hAnsi="宋体" w:eastAsia="宋体" w:cs="宋体"/>
          <w:color w:val="000000"/>
          <w:sz w:val="24"/>
          <w:szCs w:val="24"/>
        </w:rPr>
        <w:t xml:space="preserve">内</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将资金支付到合同约定的卖方账户。</w:t>
      </w:r>
      <w:r/>
    </w:p>
    <w:p>
      <w:pPr>
        <w:pStyle w:val="765"/>
        <w:ind w:left="0" w:firstLine="480"/>
        <w:keepLines w:val="0"/>
        <w:keepNext w:val="0"/>
        <w:pageBreakBefore w:val="0"/>
        <w:spacing w:before="0" w:beforeAutospacing="0" w:after="0" w:afterAutospacing="0" w:line="240" w:lineRule="auto"/>
        <w:widowControl w:val="off"/>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4.2 合同总价的百分之七十(70%)即（￥（</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rPr>
        <w:t xml:space="preserve">），大写：人民币（</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）元整，合同标的全部交付完毕并由</w:t>
      </w:r>
      <w:r>
        <w:rPr>
          <w:rFonts w:hint="eastAsia" w:ascii="宋体" w:hAnsi="宋体" w:eastAsia="宋体" w:cs="宋体"/>
          <w:color w:val="000000"/>
          <w:sz w:val="24"/>
          <w:szCs w:val="24"/>
          <w:highlight w:val="none"/>
          <w:lang w:val="en-US" w:eastAsia="zh-CN"/>
        </w:rPr>
        <w:t xml:space="preserve">买方</w:t>
      </w:r>
      <w:r>
        <w:rPr>
          <w:rFonts w:hint="eastAsia" w:ascii="宋体" w:hAnsi="宋体" w:eastAsia="宋体" w:cs="宋体"/>
          <w:color w:val="000000"/>
          <w:sz w:val="24"/>
          <w:szCs w:val="24"/>
          <w:highlight w:val="none"/>
        </w:rPr>
        <w:t xml:space="preserve">验收合格，</w:t>
      </w:r>
      <w:r>
        <w:rPr>
          <w:rFonts w:hint="eastAsia" w:ascii="宋体" w:hAnsi="宋体" w:eastAsia="宋体" w:cs="宋体"/>
          <w:color w:val="000000"/>
          <w:sz w:val="24"/>
          <w:szCs w:val="24"/>
          <w:highlight w:val="none"/>
          <w:lang w:val="en-US" w:eastAsia="zh-CN"/>
        </w:rPr>
        <w:t xml:space="preserve">卖方提交结算资料，经买方审核确认后，买方自收到发票（发票金额为扣除预付款后的金额）后</w:t>
      </w:r>
      <w:r>
        <w:rPr>
          <w:rFonts w:hint="eastAsia" w:ascii="宋体" w:hAnsi="宋体" w:eastAsia="宋体" w:cs="宋体"/>
          <w:color w:val="000000"/>
          <w:sz w:val="24"/>
          <w:szCs w:val="24"/>
          <w:lang w:val="en-US" w:eastAsia="zh-CN"/>
        </w:rPr>
        <w:t xml:space="preserve">10个工作日</w:t>
      </w:r>
      <w:r>
        <w:rPr>
          <w:rFonts w:hint="eastAsia" w:ascii="宋体" w:hAnsi="宋体" w:eastAsia="宋体" w:cs="宋体"/>
          <w:color w:val="000000"/>
          <w:sz w:val="24"/>
          <w:szCs w:val="24"/>
        </w:rPr>
        <w:t xml:space="preserve">内</w:t>
      </w:r>
      <w:r>
        <w:rPr>
          <w:rFonts w:hint="eastAsia" w:ascii="宋体" w:hAnsi="宋体" w:eastAsia="宋体" w:cs="宋体"/>
          <w:color w:val="000000"/>
          <w:sz w:val="24"/>
          <w:szCs w:val="24"/>
          <w:highlight w:val="none"/>
        </w:rPr>
        <w:t xml:space="preserve">办理政府采购资金结算手续,</w:t>
      </w:r>
      <w:r>
        <w:rPr>
          <w:rFonts w:hint="eastAsia" w:ascii="宋体" w:hAnsi="宋体" w:eastAsia="宋体" w:cs="宋体"/>
          <w:color w:val="000000"/>
          <w:sz w:val="24"/>
          <w:szCs w:val="24"/>
        </w:rPr>
        <w:t xml:space="preserve">将资金支付到合同约定的卖方账户</w:t>
      </w:r>
      <w:r>
        <w:rPr>
          <w:rFonts w:hint="eastAsia" w:ascii="宋体" w:hAnsi="宋体" w:eastAsia="宋体" w:cs="宋体"/>
          <w:color w:val="000000"/>
          <w:sz w:val="24"/>
          <w:szCs w:val="24"/>
          <w:highlight w:val="none"/>
        </w:rPr>
        <w:t xml:space="preserve">。</w:t>
      </w:r>
      <w:r/>
    </w:p>
    <w:p>
      <w:pPr>
        <w:pStyle w:val="765"/>
        <w:ind w:left="0" w:firstLine="480"/>
        <w:keepLines w:val="0"/>
        <w:keepNext w:val="0"/>
        <w:pageBreakBefore w:val="0"/>
        <w:spacing w:before="0" w:beforeAutospacing="0" w:after="0" w:afterAutospacing="0" w:line="240" w:lineRule="auto"/>
        <w:widowControl w:val="off"/>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4.3</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 xml:space="preserve">卖方需提交的支付文件包括：</w:t>
      </w:r>
      <w:r/>
    </w:p>
    <w:p>
      <w:pPr>
        <w:pStyle w:val="765"/>
        <w:ind w:left="0" w:firstLine="480"/>
        <w:keepLines w:val="0"/>
        <w:keepNext w:val="0"/>
        <w:pageBreakBefore w:val="0"/>
        <w:spacing w:before="0" w:beforeAutospacing="0" w:after="0" w:afterAutospacing="0" w:line="240" w:lineRule="auto"/>
        <w:widowControl w:val="off"/>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①卖方出具的全额正式发票；</w:t>
      </w:r>
      <w:r/>
    </w:p>
    <w:p>
      <w:pPr>
        <w:pStyle w:val="765"/>
        <w:ind w:left="0" w:firstLine="480"/>
        <w:keepLines w:val="0"/>
        <w:keepNext w:val="0"/>
        <w:pageBreakBefore w:val="0"/>
        <w:spacing w:before="0" w:beforeAutospacing="0" w:after="0" w:afterAutospacing="0" w:line="240" w:lineRule="auto"/>
        <w:widowControl w:val="off"/>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②</w:t>
      </w:r>
      <w:r>
        <w:rPr>
          <w:rFonts w:hint="eastAsia" w:ascii="宋体" w:hAnsi="宋体" w:eastAsia="宋体" w:cs="宋体"/>
          <w:color w:val="000000"/>
          <w:sz w:val="24"/>
          <w:szCs w:val="24"/>
          <w:highlight w:val="none"/>
          <w:lang w:val="en-US" w:eastAsia="zh-CN"/>
        </w:rPr>
        <w:t xml:space="preserve">买方</w:t>
      </w:r>
      <w:r>
        <w:rPr>
          <w:rFonts w:hint="eastAsia" w:ascii="宋体" w:hAnsi="宋体" w:eastAsia="宋体" w:cs="宋体"/>
          <w:color w:val="000000"/>
          <w:sz w:val="24"/>
          <w:szCs w:val="24"/>
          <w:highlight w:val="none"/>
        </w:rPr>
        <w:t xml:space="preserve">确认的送货清单。</w:t>
      </w:r>
      <w:r/>
    </w:p>
    <w:p>
      <w:pPr>
        <w:pStyle w:val="765"/>
        <w:ind w:left="0" w:firstLine="480"/>
        <w:keepLines w:val="0"/>
        <w:keepNext w:val="0"/>
        <w:pageBreakBefore w:val="0"/>
        <w:spacing w:before="0" w:beforeAutospacing="0" w:after="0" w:afterAutospacing="0" w:line="240" w:lineRule="auto"/>
        <w:widowControl w:val="off"/>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③</w:t>
      </w:r>
      <w:r>
        <w:rPr>
          <w:rFonts w:hint="eastAsia" w:ascii="宋体" w:hAnsi="宋体" w:eastAsia="宋体" w:cs="宋体"/>
          <w:color w:val="000000"/>
          <w:sz w:val="24"/>
          <w:szCs w:val="24"/>
          <w:highlight w:val="none"/>
          <w:lang w:val="en-US" w:eastAsia="zh-CN"/>
        </w:rPr>
        <w:t xml:space="preserve">买方</w:t>
      </w:r>
      <w:r>
        <w:rPr>
          <w:rFonts w:hint="eastAsia" w:ascii="宋体" w:hAnsi="宋体" w:eastAsia="宋体" w:cs="宋体"/>
          <w:color w:val="000000"/>
          <w:sz w:val="24"/>
          <w:szCs w:val="24"/>
          <w:highlight w:val="none"/>
        </w:rPr>
        <w:t xml:space="preserve">出具的结算审核确认单。</w:t>
      </w:r>
      <w:r/>
    </w:p>
    <w:p>
      <w:pPr>
        <w:pStyle w:val="765"/>
        <w:ind w:left="0" w:firstLine="480"/>
        <w:keepLines w:val="0"/>
        <w:keepNext w:val="0"/>
        <w:pageBreakBefore w:val="0"/>
        <w:spacing w:before="0" w:beforeAutospacing="0" w:after="0" w:afterAutospacing="0" w:line="240" w:lineRule="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④验收交付证明。</w:t>
      </w:r>
      <w:r/>
    </w:p>
    <w:p>
      <w:pPr>
        <w:pStyle w:val="765"/>
        <w:ind w:left="0" w:firstLine="480"/>
        <w:keepLines w:val="0"/>
        <w:keepNext w:val="0"/>
        <w:pageBreakBefore w:val="0"/>
        <w:spacing w:before="0" w:beforeAutospacing="0" w:after="0" w:afterAutospacing="0" w:line="240" w:lineRule="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lang w:val="en-US" w:eastAsia="zh-CN"/>
        </w:rPr>
        <w:t xml:space="preserve">如因卖方未能开具真实有效的发票或未提供支付申请而导致买方延期付款的，责任由卖方承担。开具发票为本合同卖方主要义务。买方内部正常审批流程不计算在付款期限之内。若因财政付款审批程序滞后，买方不承担逾期付款的违约责任。</w:t>
      </w:r>
      <w:r/>
    </w:p>
    <w:p>
      <w:pPr>
        <w:pStyle w:val="765"/>
        <w:ind w:left="0" w:firstLine="540"/>
        <w:jc w:val="both"/>
        <w:keepLines w:val="0"/>
        <w:keepNext w:val="0"/>
        <w:pageBreakBefore w:val="0"/>
        <w:spacing w:before="0" w:beforeAutospacing="0" w:after="0" w:afterAutospacing="0" w:line="240" w:lineRule="auto"/>
        <w:widowControl w:val="off"/>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4.4</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 xml:space="preserve">合同约定的卖方账户：</w:t>
      </w:r>
      <w:r/>
    </w:p>
    <w:p>
      <w:pPr>
        <w:pStyle w:val="765"/>
        <w:ind w:left="0" w:firstLine="480"/>
        <w:jc w:val="both"/>
        <w:keepLines w:val="0"/>
        <w:keepNext w:val="0"/>
        <w:pageBreakBefore w:val="0"/>
        <w:spacing w:before="0" w:beforeAutospacing="0" w:after="0" w:afterAutospacing="0" w:line="240" w:lineRule="auto"/>
        <w:widowControl w:val="off"/>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开户银行：</w:t>
      </w:r>
      <w:r/>
    </w:p>
    <w:p>
      <w:pPr>
        <w:pStyle w:val="765"/>
        <w:ind w:left="0" w:firstLine="480"/>
        <w:jc w:val="both"/>
        <w:keepLines w:val="0"/>
        <w:keepNext w:val="0"/>
        <w:pageBreakBefore w:val="0"/>
        <w:spacing w:before="0" w:beforeAutospacing="0" w:after="0" w:afterAutospacing="0" w:line="240" w:lineRule="auto"/>
        <w:widowControl w:val="off"/>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lang w:eastAsia="zh-CN"/>
        </w:rPr>
        <w:t xml:space="preserve">银行账号</w:t>
      </w:r>
      <w:r>
        <w:rPr>
          <w:rFonts w:hint="eastAsia" w:ascii="宋体" w:hAnsi="宋体" w:eastAsia="宋体" w:cs="宋体"/>
          <w:color w:val="000000"/>
          <w:sz w:val="24"/>
          <w:szCs w:val="24"/>
          <w:highlight w:val="none"/>
        </w:rPr>
        <w:t xml:space="preserve">：</w:t>
      </w:r>
      <w:r/>
    </w:p>
    <w:p>
      <w:pPr>
        <w:pStyle w:val="765"/>
        <w:ind w:left="0" w:firstLine="540"/>
        <w:jc w:val="both"/>
        <w:keepLines w:val="0"/>
        <w:keepNext w:val="0"/>
        <w:pageBreakBefore w:val="0"/>
        <w:spacing w:before="0" w:beforeAutospacing="0" w:after="0" w:afterAutospacing="0" w:line="240" w:lineRule="auto"/>
        <w:widowControl w:val="off"/>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4.5</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 xml:space="preserve">买方逾期支付资金的，每逾期（10）天，买方向卖方支付合同总价的（0.01）%的违约金，但违约金的总数不超过合同总金额的（0.1）%。除因财政付款审批程序滞后外。</w:t>
      </w:r>
      <w:r/>
    </w:p>
    <w:p>
      <w:pPr>
        <w:pStyle w:val="765"/>
        <w:ind w:left="0" w:firstLine="540"/>
        <w:jc w:val="both"/>
        <w:keepLines w:val="0"/>
        <w:keepNext w:val="0"/>
        <w:pageBreakBefore w:val="0"/>
        <w:spacing w:before="0" w:beforeAutospacing="0" w:after="0" w:afterAutospacing="0" w:line="240" w:lineRule="auto"/>
        <w:widowControl w:val="off"/>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4.6履约保证金 </w:t>
      </w:r>
      <w:r/>
    </w:p>
    <w:p>
      <w:pPr>
        <w:pStyle w:val="765"/>
        <w:ind w:left="0" w:firstLine="540"/>
        <w:jc w:val="both"/>
        <w:keepLines w:val="0"/>
        <w:keepNext w:val="0"/>
        <w:pageBreakBefore w:val="0"/>
        <w:spacing w:before="0" w:beforeAutospacing="0" w:after="0" w:afterAutospacing="0" w:line="240" w:lineRule="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cs="宋体"/>
          <w:color w:val="000000"/>
          <w:sz w:val="24"/>
          <w:szCs w:val="24"/>
          <w:highlight w:val="none"/>
          <w:lang w:val="en-US" w:eastAsia="zh-CN"/>
        </w:rPr>
        <w:t xml:space="preserve">无</w:t>
      </w:r>
      <w:r>
        <w:rPr>
          <w:rFonts w:hint="eastAsia" w:ascii="宋体" w:hAnsi="宋体" w:eastAsia="宋体" w:cs="宋体"/>
          <w:color w:val="000000"/>
          <w:sz w:val="24"/>
          <w:szCs w:val="24"/>
          <w:highlight w:val="none"/>
        </w:rPr>
        <w:t xml:space="preserve">。</w:t>
      </w:r>
      <w:r/>
    </w:p>
    <w:p>
      <w:pPr>
        <w:pStyle w:val="765"/>
        <w:ind w:left="0" w:firstLine="540"/>
        <w:jc w:val="both"/>
        <w:keepLines w:val="0"/>
        <w:keepNext w:val="0"/>
        <w:pageBreakBefore w:val="0"/>
        <w:spacing w:before="0" w:beforeAutospacing="0" w:after="0" w:afterAutospacing="0" w:line="240" w:lineRule="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r>
      <w:r/>
    </w:p>
    <w:p>
      <w:pPr>
        <w:pStyle w:val="765"/>
        <w:ind w:left="0" w:firstLine="480"/>
        <w:jc w:val="both"/>
        <w:keepLines w:val="0"/>
        <w:keepNext w:val="0"/>
        <w:pageBreakBefore w:val="0"/>
        <w:spacing w:before="0" w:beforeAutospacing="0" w:after="0" w:afterAutospacing="0" w:line="240" w:lineRule="auto"/>
        <w:widowControl w:val="off"/>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第五条 交货（货物、服务提供的时间、地点、方式）</w:t>
      </w:r>
      <w:r/>
    </w:p>
    <w:p>
      <w:pPr>
        <w:pStyle w:val="765"/>
        <w:ind w:left="0" w:firstLine="542"/>
        <w:jc w:val="both"/>
        <w:keepLines w:val="0"/>
        <w:keepNext w:val="0"/>
        <w:pageBreakBefore w:val="0"/>
        <w:spacing w:before="0" w:beforeAutospacing="0" w:after="0" w:afterAutospacing="0" w:line="240" w:lineRule="auto"/>
        <w:widowControl w:val="off"/>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bCs/>
          <w:color w:val="000000"/>
          <w:sz w:val="24"/>
          <w:szCs w:val="24"/>
          <w:highlight w:val="none"/>
        </w:rPr>
        <w:t xml:space="preserve">5.1卖方应于合同生效日后，</w:t>
      </w:r>
      <w:r>
        <w:rPr>
          <w:rFonts w:hint="eastAsia" w:ascii="宋体" w:hAnsi="宋体" w:eastAsia="宋体" w:cs="宋体"/>
          <w:b/>
          <w:bCs/>
          <w:color w:val="000000"/>
          <w:sz w:val="24"/>
          <w:szCs w:val="24"/>
          <w:highlight w:val="none"/>
          <w:u w:val="single"/>
          <w:lang w:eastAsia="zh-CN"/>
        </w:rPr>
        <w:t xml:space="preserve">30日历天内完成交付</w:t>
      </w:r>
      <w:r>
        <w:rPr>
          <w:rFonts w:hint="eastAsia" w:ascii="宋体" w:hAnsi="宋体" w:eastAsia="宋体" w:cs="宋体"/>
          <w:b/>
          <w:bCs/>
          <w:color w:val="000000"/>
          <w:sz w:val="24"/>
          <w:szCs w:val="24"/>
          <w:highlight w:val="none"/>
        </w:rPr>
        <w:t xml:space="preserve">。</w:t>
      </w:r>
      <w:r/>
    </w:p>
    <w:p>
      <w:pPr>
        <w:pStyle w:val="765"/>
        <w:ind w:left="0" w:firstLine="540"/>
        <w:jc w:val="both"/>
        <w:keepLines w:val="0"/>
        <w:keepNext w:val="0"/>
        <w:pageBreakBefore w:val="0"/>
        <w:spacing w:before="0" w:beforeAutospacing="0" w:after="0" w:afterAutospacing="0" w:line="240" w:lineRule="auto"/>
        <w:widowControl w:val="off"/>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5.2 交货地点为</w:t>
      </w:r>
      <w:r>
        <w:rPr>
          <w:rFonts w:hint="eastAsia" w:ascii="宋体" w:hAnsi="宋体" w:eastAsia="宋体" w:cs="宋体"/>
          <w:color w:val="000000"/>
          <w:sz w:val="24"/>
          <w:szCs w:val="24"/>
          <w:highlight w:val="none"/>
          <w:u w:val="single"/>
        </w:rPr>
        <w:t xml:space="preserve">买方指定地点</w:t>
      </w:r>
      <w:r>
        <w:rPr>
          <w:rFonts w:hint="eastAsia" w:ascii="宋体" w:hAnsi="宋体" w:eastAsia="宋体" w:cs="宋体"/>
          <w:color w:val="000000"/>
          <w:sz w:val="24"/>
          <w:szCs w:val="24"/>
          <w:highlight w:val="none"/>
        </w:rPr>
        <w:t xml:space="preserve">。</w:t>
      </w:r>
      <w:r/>
    </w:p>
    <w:p>
      <w:pPr>
        <w:pStyle w:val="765"/>
        <w:ind w:left="0" w:firstLine="540"/>
        <w:jc w:val="both"/>
        <w:keepLines w:val="0"/>
        <w:keepNext w:val="0"/>
        <w:pageBreakBefore w:val="0"/>
        <w:spacing w:before="0" w:beforeAutospacing="0" w:after="0" w:afterAutospacing="0" w:line="240" w:lineRule="auto"/>
        <w:widowControl w:val="off"/>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5.3卖方应在不迟于每批合同标的备妥待运前</w:t>
      </w:r>
      <w:r>
        <w:rPr>
          <w:rFonts w:hint="eastAsia" w:ascii="宋体" w:hAnsi="宋体" w:eastAsia="宋体" w:cs="宋体"/>
          <w:color w:val="000000"/>
          <w:sz w:val="24"/>
          <w:szCs w:val="24"/>
          <w:highlight w:val="none"/>
          <w:u w:val="single"/>
        </w:rPr>
        <w:t xml:space="preserve"> 10 </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rPr>
        <w:t xml:space="preserve">日通知买方。</w:t>
      </w:r>
      <w:r/>
    </w:p>
    <w:p>
      <w:pPr>
        <w:pStyle w:val="765"/>
        <w:ind w:left="0" w:firstLine="540"/>
        <w:jc w:val="both"/>
        <w:keepLines w:val="0"/>
        <w:keepNext w:val="0"/>
        <w:pageBreakBefore w:val="0"/>
        <w:spacing w:before="0" w:beforeAutospacing="0" w:after="0" w:afterAutospacing="0" w:line="240" w:lineRule="auto"/>
        <w:widowControl w:val="off"/>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5.5如果卖方未能按照合同规定的交货期限交货，卖方应按每天迟交合同标的金额的千分之</w:t>
      </w:r>
      <w:r>
        <w:rPr>
          <w:rFonts w:hint="eastAsia" w:ascii="宋体" w:hAnsi="宋体" w:eastAsia="宋体" w:cs="宋体"/>
          <w:color w:val="000000"/>
          <w:sz w:val="24"/>
          <w:szCs w:val="24"/>
          <w:highlight w:val="none"/>
          <w:u w:val="single"/>
        </w:rPr>
        <w:t xml:space="preserve">一</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u w:val="single"/>
        </w:rPr>
        <w:t xml:space="preserve">1</w:t>
      </w:r>
      <w:r>
        <w:rPr>
          <w:rFonts w:hint="eastAsia" w:ascii="宋体" w:hAnsi="宋体" w:eastAsia="宋体" w:cs="宋体"/>
          <w:color w:val="000000"/>
          <w:sz w:val="24"/>
          <w:szCs w:val="24"/>
          <w:highlight w:val="none"/>
        </w:rPr>
        <w:t xml:space="preserve">‰)的比率支付违约金。违约金的总金额不超过合同总价的百分之</w:t>
      </w:r>
      <w:r>
        <w:rPr>
          <w:rFonts w:hint="eastAsia" w:ascii="宋体" w:hAnsi="宋体" w:eastAsia="宋体" w:cs="宋体"/>
          <w:color w:val="000000"/>
          <w:sz w:val="24"/>
          <w:szCs w:val="24"/>
          <w:highlight w:val="none"/>
          <w:u w:val="single"/>
        </w:rPr>
        <w:t xml:space="preserve">十</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u w:val="single"/>
        </w:rPr>
        <w:t xml:space="preserve">10</w:t>
      </w:r>
      <w:r>
        <w:rPr>
          <w:rFonts w:hint="eastAsia" w:ascii="宋体" w:hAnsi="宋体" w:eastAsia="宋体" w:cs="宋体"/>
          <w:color w:val="000000"/>
          <w:sz w:val="24"/>
          <w:szCs w:val="24"/>
          <w:highlight w:val="none"/>
        </w:rPr>
        <w:t xml:space="preserve">%)，违约金的支付不能免除卖方继续交付相关合同标的的义务。</w:t>
      </w:r>
      <w:r/>
    </w:p>
    <w:p>
      <w:pPr>
        <w:pStyle w:val="765"/>
        <w:ind w:left="0" w:firstLine="540"/>
        <w:jc w:val="both"/>
        <w:keepLines w:val="0"/>
        <w:keepNext w:val="0"/>
        <w:pageBreakBefore w:val="0"/>
        <w:spacing w:before="0" w:beforeAutospacing="0" w:after="0" w:afterAutospacing="0" w:line="240" w:lineRule="auto"/>
        <w:widowControl w:val="off"/>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如果卖方在合同规定的交货期限后</w:t>
      </w:r>
      <w:r>
        <w:rPr>
          <w:rFonts w:hint="eastAsia" w:ascii="宋体" w:hAnsi="宋体" w:eastAsia="宋体" w:cs="宋体"/>
          <w:color w:val="000000"/>
          <w:sz w:val="24"/>
          <w:szCs w:val="24"/>
          <w:highlight w:val="none"/>
          <w:u w:val="single"/>
        </w:rPr>
        <w:t xml:space="preserve">十</w:t>
      </w:r>
      <w:r>
        <w:rPr>
          <w:rFonts w:hint="eastAsia" w:ascii="宋体" w:hAnsi="宋体" w:eastAsia="宋体" w:cs="宋体"/>
          <w:color w:val="000000"/>
          <w:sz w:val="24"/>
          <w:szCs w:val="24"/>
          <w:highlight w:val="none"/>
        </w:rPr>
        <w:t xml:space="preserve">日内仍未能交付全部或部分标的，在不妨碍买方采取其他救济手段的情况下，买方可以向卖方发出书面违约通知从而全部或部分地终止合同。</w:t>
      </w:r>
      <w:r/>
    </w:p>
    <w:p>
      <w:pPr>
        <w:pStyle w:val="765"/>
        <w:ind w:left="0" w:firstLine="540"/>
        <w:jc w:val="both"/>
        <w:keepLines w:val="0"/>
        <w:keepNext w:val="0"/>
        <w:pageBreakBefore w:val="0"/>
        <w:spacing w:before="0" w:beforeAutospacing="0" w:after="0" w:afterAutospacing="0" w:line="240" w:lineRule="auto"/>
        <w:widowControl w:val="off"/>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highlight w:val="none"/>
        </w:rPr>
        <w:t xml:space="preserve"> </w:t>
      </w:r>
      <w:r/>
    </w:p>
    <w:p>
      <w:pPr>
        <w:pStyle w:val="765"/>
        <w:ind w:left="0" w:firstLine="480"/>
        <w:jc w:val="both"/>
        <w:keepLines w:val="0"/>
        <w:keepNext w:val="0"/>
        <w:pageBreakBefore w:val="0"/>
        <w:spacing w:before="0" w:beforeAutospacing="0" w:after="0" w:afterAutospacing="0" w:line="240" w:lineRule="auto"/>
        <w:widowControl w:val="off"/>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第六条 包装与标记</w:t>
      </w:r>
      <w:r/>
    </w:p>
    <w:p>
      <w:pPr>
        <w:pStyle w:val="765"/>
        <w:ind w:left="0" w:firstLine="540"/>
        <w:jc w:val="both"/>
        <w:keepLines w:val="0"/>
        <w:keepNext w:val="0"/>
        <w:pageBreakBefore w:val="0"/>
        <w:spacing w:before="0" w:beforeAutospacing="0" w:after="0" w:afterAutospacing="0" w:line="240" w:lineRule="auto"/>
        <w:widowControl w:val="off"/>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6.4 商品（合同标的）包装具体要求：见《关于印发《商品包装政府采购需求标准（试行）》、《快递包装政府采购需求标准（试行）》的通知》（财办库〔2020〕123号）中《商品包装政府采购需求标准（试行）》。</w:t>
      </w:r>
      <w:r/>
    </w:p>
    <w:p>
      <w:pPr>
        <w:pStyle w:val="765"/>
        <w:ind w:left="0" w:firstLine="540"/>
        <w:jc w:val="both"/>
        <w:keepLines w:val="0"/>
        <w:keepNext w:val="0"/>
        <w:pageBreakBefore w:val="0"/>
        <w:spacing w:before="0" w:beforeAutospacing="0" w:after="0" w:afterAutospacing="0" w:line="240" w:lineRule="auto"/>
        <w:widowControl w:val="off"/>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6.5 快递包装具体要求：见《关于印发《商品包装政府采购需求标准（试行）》、《快递包装政府采购需求标准（试行）》的通知》（财办库〔2020〕123号）中《快递包装政府采购需求标准（试行）》。</w:t>
      </w:r>
      <w:r/>
    </w:p>
    <w:p>
      <w:pPr>
        <w:pStyle w:val="765"/>
        <w:ind w:left="0" w:firstLine="540"/>
        <w:jc w:val="both"/>
        <w:keepLines w:val="0"/>
        <w:keepNext w:val="0"/>
        <w:pageBreakBefore w:val="0"/>
        <w:spacing w:before="0" w:beforeAutospacing="0" w:after="0" w:afterAutospacing="0" w:line="240" w:lineRule="auto"/>
        <w:widowControl w:val="off"/>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highlight w:val="none"/>
        </w:rPr>
        <w:t xml:space="preserve"> </w:t>
      </w:r>
      <w:r/>
    </w:p>
    <w:p>
      <w:pPr>
        <w:pStyle w:val="765"/>
        <w:ind w:left="0" w:firstLine="540"/>
        <w:jc w:val="both"/>
        <w:keepLines w:val="0"/>
        <w:keepNext w:val="0"/>
        <w:pageBreakBefore w:val="0"/>
        <w:spacing w:before="0" w:beforeAutospacing="0" w:after="0" w:afterAutospacing="0" w:line="240" w:lineRule="auto"/>
        <w:widowControl w:val="off"/>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第七条 技术资料</w:t>
      </w:r>
      <w:r/>
    </w:p>
    <w:p>
      <w:pPr>
        <w:pStyle w:val="765"/>
        <w:ind w:left="0" w:firstLine="540"/>
        <w:jc w:val="both"/>
        <w:keepLines w:val="0"/>
        <w:keepNext w:val="0"/>
        <w:pageBreakBefore w:val="0"/>
        <w:spacing w:before="0" w:beforeAutospacing="0" w:after="0" w:afterAutospacing="0" w:line="240" w:lineRule="auto"/>
        <w:widowControl w:val="off"/>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7.1 技术资料随合同标的同时交付给买方。</w:t>
      </w:r>
      <w:r/>
    </w:p>
    <w:p>
      <w:pPr>
        <w:pStyle w:val="765"/>
        <w:ind w:left="0" w:firstLine="540"/>
        <w:jc w:val="both"/>
        <w:keepLines w:val="0"/>
        <w:keepNext w:val="0"/>
        <w:pageBreakBefore w:val="0"/>
        <w:spacing w:before="0" w:beforeAutospacing="0" w:after="0" w:afterAutospacing="0" w:line="240" w:lineRule="auto"/>
        <w:widowControl w:val="off"/>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highlight w:val="none"/>
        </w:rPr>
        <w:t xml:space="preserve"> </w:t>
      </w:r>
      <w:r/>
    </w:p>
    <w:p>
      <w:pPr>
        <w:pStyle w:val="765"/>
        <w:ind w:left="0" w:firstLine="540"/>
        <w:jc w:val="both"/>
        <w:keepLines w:val="0"/>
        <w:keepNext w:val="0"/>
        <w:pageBreakBefore w:val="0"/>
        <w:spacing w:before="0" w:beforeAutospacing="0" w:after="0" w:afterAutospacing="0" w:line="240" w:lineRule="auto"/>
        <w:widowControl w:val="off"/>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第八条 安装</w:t>
      </w:r>
      <w:r/>
    </w:p>
    <w:p>
      <w:pPr>
        <w:pStyle w:val="765"/>
        <w:ind w:left="0" w:firstLine="542"/>
        <w:jc w:val="both"/>
        <w:keepLines w:val="0"/>
        <w:keepNext w:val="0"/>
        <w:pageBreakBefore w:val="0"/>
        <w:spacing w:before="0" w:beforeAutospacing="0" w:after="0" w:afterAutospacing="0" w:line="240" w:lineRule="auto"/>
        <w:widowControl w:val="off"/>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bCs/>
          <w:color w:val="000000"/>
          <w:sz w:val="24"/>
          <w:szCs w:val="24"/>
          <w:highlight w:val="none"/>
        </w:rPr>
        <w:t xml:space="preserve">8.1卖方应于合同生效日后，</w:t>
      </w:r>
      <w:r>
        <w:rPr>
          <w:rFonts w:hint="eastAsia" w:ascii="宋体" w:hAnsi="宋体" w:eastAsia="宋体" w:cs="宋体"/>
          <w:b/>
          <w:bCs/>
          <w:color w:val="000000"/>
          <w:sz w:val="24"/>
          <w:szCs w:val="24"/>
          <w:highlight w:val="none"/>
          <w:u w:val="none"/>
          <w:lang w:eastAsia="zh-CN"/>
        </w:rPr>
        <w:t xml:space="preserve">30日历天内完成交付</w:t>
      </w:r>
      <w:r>
        <w:rPr>
          <w:rFonts w:hint="eastAsia" w:ascii="宋体" w:hAnsi="宋体" w:eastAsia="宋体" w:cs="宋体"/>
          <w:b/>
          <w:bCs/>
          <w:color w:val="000000"/>
          <w:sz w:val="24"/>
          <w:szCs w:val="24"/>
          <w:highlight w:val="none"/>
        </w:rPr>
        <w:t xml:space="preserve">。</w:t>
      </w:r>
      <w:r/>
    </w:p>
    <w:p>
      <w:pPr>
        <w:pStyle w:val="765"/>
        <w:ind w:left="0" w:firstLine="540"/>
        <w:jc w:val="both"/>
        <w:keepLines w:val="0"/>
        <w:keepNext w:val="0"/>
        <w:pageBreakBefore w:val="0"/>
        <w:spacing w:before="0" w:beforeAutospacing="0" w:after="0" w:afterAutospacing="0" w:line="240" w:lineRule="auto"/>
        <w:widowControl w:val="off"/>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highlight w:val="none"/>
        </w:rPr>
        <w:t xml:space="preserve"> </w:t>
      </w:r>
      <w:r/>
    </w:p>
    <w:p>
      <w:pPr>
        <w:pStyle w:val="765"/>
        <w:ind w:left="0" w:firstLine="540"/>
        <w:jc w:val="both"/>
        <w:keepLines w:val="0"/>
        <w:keepNext w:val="0"/>
        <w:pageBreakBefore w:val="0"/>
        <w:spacing w:before="0" w:beforeAutospacing="0" w:after="0" w:afterAutospacing="0" w:line="240" w:lineRule="auto"/>
        <w:widowControl w:val="off"/>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第九条 验收</w:t>
      </w:r>
      <w:r/>
    </w:p>
    <w:p>
      <w:pPr>
        <w:pStyle w:val="765"/>
        <w:ind w:left="0" w:firstLine="540"/>
        <w:jc w:val="both"/>
        <w:keepLines w:val="0"/>
        <w:keepNext w:val="0"/>
        <w:pageBreakBefore w:val="0"/>
        <w:spacing w:before="0" w:beforeAutospacing="0" w:after="0" w:afterAutospacing="0" w:line="240" w:lineRule="auto"/>
        <w:widowControl w:val="off"/>
        <w:rPr>
          <w:rFonts w:hint="eastAsia" w:ascii="宋体" w:hAnsi="宋体" w:eastAsia="宋体" w:cs="宋体"/>
          <w:strike w:val="0"/>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strike w:val="0"/>
          <w:color w:val="000000"/>
          <w:sz w:val="24"/>
          <w:szCs w:val="24"/>
          <w:highlight w:val="none"/>
        </w:rPr>
        <w:t xml:space="preserve">9.1合同标的的验收应在卖方的协助下进行。合同标的全部交付并完毕后，卖方可向买方书面提出验收要求，买方在接到书面要求后</w:t>
      </w:r>
      <w:r>
        <w:rPr>
          <w:rFonts w:hint="eastAsia" w:ascii="宋体" w:hAnsi="宋体" w:eastAsia="宋体" w:cs="宋体"/>
          <w:strike w:val="0"/>
          <w:color w:val="000000"/>
          <w:sz w:val="24"/>
          <w:szCs w:val="24"/>
          <w:highlight w:val="none"/>
          <w:u w:val="single"/>
        </w:rPr>
        <w:t xml:space="preserve">15</w:t>
      </w:r>
      <w:r>
        <w:rPr>
          <w:rFonts w:hint="eastAsia" w:ascii="宋体" w:hAnsi="宋体" w:eastAsia="宋体" w:cs="宋体"/>
          <w:strike w:val="0"/>
          <w:color w:val="000000"/>
          <w:sz w:val="24"/>
          <w:szCs w:val="24"/>
          <w:highlight w:val="none"/>
        </w:rPr>
        <w:t xml:space="preserve">日进行验收。如果验收因卖方原因发生迟延和/ 或在其它情况下发生额外费用，买方有权就因迟延发生的损害和损失和/或任何额外费用请求赔偿。</w:t>
      </w:r>
      <w:r/>
    </w:p>
    <w:p>
      <w:pPr>
        <w:pStyle w:val="765"/>
        <w:ind w:left="0" w:firstLine="540"/>
        <w:jc w:val="both"/>
        <w:keepLines w:val="0"/>
        <w:keepNext w:val="0"/>
        <w:pageBreakBefore w:val="0"/>
        <w:spacing w:before="0" w:beforeAutospacing="0" w:after="0" w:afterAutospacing="0" w:line="240" w:lineRule="auto"/>
        <w:widowControl w:val="off"/>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9.2由买方进行评估和验收；经买方验收不合格的，卖方在接到买方通知后三日内整改，并保证再次验收合格。</w:t>
      </w:r>
      <w:r>
        <w:rPr>
          <w:rFonts w:hint="eastAsia" w:ascii="宋体" w:hAnsi="宋体" w:eastAsia="宋体" w:cs="宋体"/>
          <w:b/>
          <w:bCs/>
          <w:color w:val="000000"/>
          <w:sz w:val="24"/>
          <w:szCs w:val="24"/>
          <w:highlight w:val="none"/>
        </w:rPr>
        <w:t xml:space="preserve">如已超过</w:t>
      </w:r>
      <w:r>
        <w:rPr>
          <w:rFonts w:hint="eastAsia" w:ascii="宋体" w:hAnsi="宋体" w:eastAsia="宋体" w:cs="宋体"/>
          <w:b/>
          <w:bCs/>
          <w:color w:val="000000"/>
          <w:sz w:val="24"/>
          <w:szCs w:val="24"/>
          <w:highlight w:val="none"/>
          <w:u w:val="none"/>
          <w:lang w:eastAsia="zh-CN"/>
        </w:rPr>
        <w:t xml:space="preserve">30日历天</w:t>
      </w:r>
      <w:r>
        <w:rPr>
          <w:rFonts w:hint="eastAsia" w:ascii="宋体" w:hAnsi="宋体" w:eastAsia="宋体" w:cs="宋体"/>
          <w:b/>
          <w:bCs/>
          <w:color w:val="000000"/>
          <w:sz w:val="24"/>
          <w:szCs w:val="24"/>
          <w:highlight w:val="none"/>
        </w:rPr>
        <w:t xml:space="preserve">交货期限，</w:t>
      </w:r>
      <w:r>
        <w:rPr>
          <w:rFonts w:hint="eastAsia" w:ascii="宋体" w:hAnsi="宋体" w:eastAsia="宋体" w:cs="宋体"/>
          <w:color w:val="000000"/>
          <w:sz w:val="24"/>
          <w:szCs w:val="24"/>
          <w:highlight w:val="none"/>
        </w:rPr>
        <w:t xml:space="preserve">卖方每天应按合同标的金额的百分之一 (1%)的比率支付违约金。</w:t>
      </w:r>
      <w:r/>
    </w:p>
    <w:p>
      <w:pPr>
        <w:pStyle w:val="765"/>
        <w:ind w:left="0" w:firstLine="540"/>
        <w:jc w:val="both"/>
        <w:keepLines w:val="0"/>
        <w:keepNext w:val="0"/>
        <w:pageBreakBefore w:val="0"/>
        <w:spacing w:before="0" w:beforeAutospacing="0" w:after="0" w:afterAutospacing="0" w:line="240" w:lineRule="auto"/>
        <w:widowControl w:val="off"/>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highlight w:val="none"/>
        </w:rPr>
        <w:t xml:space="preserve"> </w:t>
      </w:r>
      <w:r/>
    </w:p>
    <w:p>
      <w:pPr>
        <w:pStyle w:val="765"/>
        <w:ind w:left="0" w:firstLine="540"/>
        <w:jc w:val="both"/>
        <w:keepLines w:val="0"/>
        <w:keepNext w:val="0"/>
        <w:pageBreakBefore w:val="0"/>
        <w:spacing w:before="0" w:beforeAutospacing="0" w:after="0" w:afterAutospacing="0" w:line="240" w:lineRule="auto"/>
        <w:widowControl w:val="off"/>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第十一条 索赔</w:t>
      </w:r>
      <w:r/>
    </w:p>
    <w:p>
      <w:pPr>
        <w:pStyle w:val="765"/>
        <w:ind w:left="0" w:firstLine="540"/>
        <w:jc w:val="both"/>
        <w:keepLines w:val="0"/>
        <w:keepNext w:val="0"/>
        <w:pageBreakBefore w:val="0"/>
        <w:spacing w:before="0" w:beforeAutospacing="0" w:after="0" w:afterAutospacing="0" w:line="240" w:lineRule="auto"/>
        <w:widowControl w:val="off"/>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11.1买方有权选择本条款规定的任意或全部救济方式。</w:t>
      </w:r>
      <w:r/>
    </w:p>
    <w:p>
      <w:pPr>
        <w:pStyle w:val="765"/>
        <w:ind w:left="0" w:firstLine="540"/>
        <w:jc w:val="both"/>
        <w:keepLines w:val="0"/>
        <w:keepNext w:val="0"/>
        <w:pageBreakBefore w:val="0"/>
        <w:spacing w:before="0" w:beforeAutospacing="0" w:after="0" w:afterAutospacing="0" w:line="240" w:lineRule="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11.2卖方应在收到买方索赔要求后14日内作出书面回复，否则该索赔要求将被视为已被卖方接受。卖方应在买方发出索赔要求后14日内，按照买方选择的救济方法解决索赔事宜。</w:t>
      </w:r>
      <w:r/>
    </w:p>
    <w:p>
      <w:pPr>
        <w:pStyle w:val="765"/>
        <w:ind w:left="0" w:firstLine="540"/>
        <w:jc w:val="both"/>
        <w:keepLines w:val="0"/>
        <w:keepNext w:val="0"/>
        <w:pageBreakBefore w:val="0"/>
        <w:spacing w:before="0" w:beforeAutospacing="0" w:after="0" w:afterAutospacing="0" w:line="240" w:lineRule="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lang w:val="en-US" w:eastAsia="zh-CN"/>
        </w:rPr>
        <w:t xml:space="preserve">11.3如果发生声称本合同项下货物侵犯他人专利、版权、商标权或商业秘密等权利而针对买方提起索赔或诉讼仲裁的情况，除下款另有规定外，卖方应支付由此而产生的全部费用及赔偿金、律师费用。</w:t>
      </w:r>
      <w:r/>
    </w:p>
    <w:p>
      <w:pPr>
        <w:pStyle w:val="765"/>
        <w:ind w:left="0" w:firstLine="540"/>
        <w:jc w:val="both"/>
        <w:keepLines w:val="0"/>
        <w:keepNext w:val="0"/>
        <w:pageBreakBefore w:val="0"/>
        <w:spacing w:before="0" w:beforeAutospacing="0" w:after="0" w:afterAutospacing="0" w:line="240" w:lineRule="auto"/>
        <w:widowControl w:val="off"/>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highlight w:val="none"/>
        </w:rPr>
        <w:t xml:space="preserve"> </w:t>
      </w:r>
      <w:r/>
    </w:p>
    <w:p>
      <w:pPr>
        <w:pStyle w:val="765"/>
        <w:ind w:left="0" w:firstLine="540"/>
        <w:jc w:val="both"/>
        <w:keepLines w:val="0"/>
        <w:keepNext w:val="0"/>
        <w:pageBreakBefore w:val="0"/>
        <w:spacing w:before="0" w:beforeAutospacing="0" w:after="0" w:afterAutospacing="0" w:line="240" w:lineRule="auto"/>
        <w:widowControl w:val="off"/>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第十二条 不可抗力</w:t>
      </w:r>
      <w:r/>
    </w:p>
    <w:p>
      <w:pPr>
        <w:pStyle w:val="765"/>
        <w:ind w:left="0" w:firstLine="540"/>
        <w:jc w:val="both"/>
        <w:keepLines w:val="0"/>
        <w:keepNext w:val="0"/>
        <w:pageBreakBefore w:val="0"/>
        <w:spacing w:before="0" w:beforeAutospacing="0" w:after="0" w:afterAutospacing="0" w:line="240" w:lineRule="auto"/>
        <w:widowControl w:val="off"/>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12.3 如果不可抗力事件的影响持续超过20日，合同任何一方均有权发出书面通知终止合同。</w:t>
      </w:r>
      <w:r/>
    </w:p>
    <w:p>
      <w:pPr>
        <w:pStyle w:val="765"/>
        <w:ind w:left="0" w:firstLine="540"/>
        <w:jc w:val="both"/>
        <w:keepLines w:val="0"/>
        <w:keepNext w:val="0"/>
        <w:pageBreakBefore w:val="0"/>
        <w:spacing w:before="0" w:beforeAutospacing="0" w:after="0" w:afterAutospacing="0" w:line="240" w:lineRule="auto"/>
        <w:widowControl w:val="off"/>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highlight w:val="none"/>
        </w:rPr>
        <w:t xml:space="preserve"> </w:t>
      </w:r>
      <w:r/>
    </w:p>
    <w:p>
      <w:pPr>
        <w:pStyle w:val="765"/>
        <w:ind w:left="0" w:firstLine="540"/>
        <w:jc w:val="both"/>
        <w:keepLines w:val="0"/>
        <w:keepNext w:val="0"/>
        <w:pageBreakBefore w:val="0"/>
        <w:spacing w:before="0" w:beforeAutospacing="0" w:after="0" w:afterAutospacing="0" w:line="240" w:lineRule="auto"/>
        <w:widowControl w:val="off"/>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第十三条 合同的终止</w:t>
      </w:r>
      <w:r/>
    </w:p>
    <w:p>
      <w:pPr>
        <w:pStyle w:val="765"/>
        <w:ind w:left="0" w:firstLine="540"/>
        <w:jc w:val="both"/>
        <w:keepLines w:val="0"/>
        <w:keepNext w:val="0"/>
        <w:pageBreakBefore w:val="0"/>
        <w:spacing w:before="0" w:beforeAutospacing="0" w:after="0" w:afterAutospacing="0" w:line="240" w:lineRule="auto"/>
        <w:widowControl w:val="off"/>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13.1如果卖方有下述违约行为，买方可以全部或部分地终止合同：</w:t>
      </w:r>
      <w:r/>
    </w:p>
    <w:p>
      <w:pPr>
        <w:pStyle w:val="765"/>
        <w:ind w:left="0" w:firstLine="540"/>
        <w:jc w:val="both"/>
        <w:keepLines w:val="0"/>
        <w:keepNext w:val="0"/>
        <w:pageBreakBefore w:val="0"/>
        <w:spacing w:before="0" w:beforeAutospacing="0" w:after="0" w:afterAutospacing="0" w:line="240" w:lineRule="auto"/>
        <w:widowControl w:val="off"/>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卖方在合同规定的交货期限后</w:t>
      </w:r>
      <w:r>
        <w:rPr>
          <w:rFonts w:hint="eastAsia" w:ascii="宋体" w:hAnsi="宋体" w:eastAsia="宋体" w:cs="宋体"/>
          <w:color w:val="000000"/>
          <w:sz w:val="24"/>
          <w:szCs w:val="24"/>
          <w:highlight w:val="none"/>
          <w:u w:val="single"/>
        </w:rPr>
        <w:t xml:space="preserve">10</w:t>
      </w:r>
      <w:r>
        <w:rPr>
          <w:rFonts w:hint="eastAsia" w:ascii="宋体" w:hAnsi="宋体" w:eastAsia="宋体" w:cs="宋体"/>
          <w:color w:val="000000"/>
          <w:sz w:val="24"/>
          <w:szCs w:val="24"/>
          <w:highlight w:val="none"/>
        </w:rPr>
        <w:t xml:space="preserve">日内仍未能交付合同标的或技术资料；或者卖方未能履行合同项下任何其它义务，并且在收到买方违约通知后</w:t>
      </w:r>
      <w:r>
        <w:rPr>
          <w:rFonts w:hint="eastAsia" w:ascii="宋体" w:hAnsi="宋体" w:eastAsia="宋体" w:cs="宋体"/>
          <w:color w:val="000000"/>
          <w:sz w:val="24"/>
          <w:szCs w:val="24"/>
          <w:highlight w:val="none"/>
          <w:u w:val="single"/>
        </w:rPr>
        <w:t xml:space="preserve">5</w:t>
      </w:r>
      <w:r>
        <w:rPr>
          <w:rFonts w:hint="eastAsia" w:ascii="宋体" w:hAnsi="宋体" w:eastAsia="宋体" w:cs="宋体"/>
          <w:color w:val="000000"/>
          <w:sz w:val="24"/>
          <w:szCs w:val="24"/>
          <w:highlight w:val="none"/>
        </w:rPr>
        <w:t xml:space="preserve">日内仍未能对其违约行为作出补救。</w:t>
      </w:r>
      <w:r/>
    </w:p>
    <w:p>
      <w:pPr>
        <w:pStyle w:val="765"/>
        <w:ind w:left="0" w:firstLine="540"/>
        <w:jc w:val="both"/>
        <w:keepLines w:val="0"/>
        <w:keepNext w:val="0"/>
        <w:pageBreakBefore w:val="0"/>
        <w:spacing w:before="0" w:beforeAutospacing="0" w:after="0" w:afterAutospacing="0" w:line="240" w:lineRule="auto"/>
        <w:widowControl w:val="off"/>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13.4 在买方全部或部分终止合同的情况下，买方可以以适当的条件取得与未按合同规定交付的标的和/或文件和/或未提供的服务类似的标的和/或文件和/或服务，卖方应承担买方由此发生的额外费用。但是，卖方仍应继续履行合同义务中没有终止的部分。</w:t>
      </w:r>
      <w:r/>
    </w:p>
    <w:p>
      <w:pPr>
        <w:pStyle w:val="765"/>
        <w:ind w:left="0" w:firstLine="540"/>
        <w:jc w:val="both"/>
        <w:keepLines w:val="0"/>
        <w:keepNext w:val="0"/>
        <w:pageBreakBefore w:val="0"/>
        <w:spacing w:before="0" w:beforeAutospacing="0" w:after="0" w:afterAutospacing="0" w:line="240" w:lineRule="auto"/>
        <w:widowControl w:val="off"/>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highlight w:val="none"/>
        </w:rPr>
        <w:t xml:space="preserve"> </w:t>
      </w:r>
      <w:r/>
    </w:p>
    <w:p>
      <w:pPr>
        <w:pStyle w:val="765"/>
        <w:ind w:left="0" w:firstLine="540"/>
        <w:jc w:val="both"/>
        <w:keepLines w:val="0"/>
        <w:keepNext w:val="0"/>
        <w:pageBreakBefore w:val="0"/>
        <w:spacing w:before="0" w:beforeAutospacing="0" w:after="0" w:afterAutospacing="0" w:line="240" w:lineRule="auto"/>
        <w:widowControl w:val="off"/>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第十四条 争议的解决</w:t>
      </w:r>
      <w:r/>
    </w:p>
    <w:p>
      <w:pPr>
        <w:pStyle w:val="765"/>
        <w:ind w:left="0" w:firstLine="540"/>
        <w:jc w:val="both"/>
        <w:keepLines w:val="0"/>
        <w:keepNext w:val="0"/>
        <w:pageBreakBefore w:val="0"/>
        <w:spacing w:before="0" w:beforeAutospacing="0" w:after="0" w:afterAutospacing="0" w:line="240" w:lineRule="auto"/>
        <w:widowControl w:val="off"/>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14.1如果不能协商一致，合同任何一方有权向买方所在地人民法院提起诉讼。</w:t>
      </w:r>
      <w:r/>
    </w:p>
    <w:p>
      <w:pPr>
        <w:pStyle w:val="765"/>
        <w:ind w:left="0" w:firstLine="540"/>
        <w:jc w:val="both"/>
        <w:keepLines w:val="0"/>
        <w:keepNext w:val="0"/>
        <w:pageBreakBefore w:val="0"/>
        <w:spacing w:before="0" w:beforeAutospacing="0" w:after="0" w:afterAutospacing="0" w:line="240" w:lineRule="auto"/>
        <w:widowControl w:val="off"/>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14.2买卖双方均应按约定内容严格履行合同，任何一方违约，应当向守约方承担违约责任，同时守约方有权要求违约方立即改正，拒不改正的，由违约方承担守约方因此而支付的包括但不限于诉讼费，律师费，咨询费，鉴定费，取证费等相关费用。</w:t>
      </w:r>
      <w:r/>
    </w:p>
    <w:p>
      <w:pPr>
        <w:pStyle w:val="765"/>
        <w:ind w:left="0" w:firstLine="540"/>
        <w:jc w:val="both"/>
        <w:keepLines w:val="0"/>
        <w:keepNext w:val="0"/>
        <w:pageBreakBefore w:val="0"/>
        <w:spacing w:before="0" w:beforeAutospacing="0" w:after="0" w:afterAutospacing="0" w:line="240" w:lineRule="auto"/>
        <w:widowControl w:val="off"/>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highlight w:val="none"/>
        </w:rPr>
        <w:t xml:space="preserve"> </w:t>
      </w:r>
      <w:r/>
    </w:p>
    <w:p>
      <w:pPr>
        <w:pStyle w:val="765"/>
        <w:ind w:left="0" w:firstLine="480"/>
        <w:keepLines w:val="0"/>
        <w:keepNext w:val="0"/>
        <w:pageBreakBefore w:val="0"/>
        <w:spacing w:before="0" w:beforeAutospacing="0" w:after="200" w:afterAutospacing="0" w:line="240" w:lineRule="auto"/>
        <w:widowControl w:val="off"/>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第十七条 保密要求</w:t>
      </w:r>
      <w:r/>
    </w:p>
    <w:p>
      <w:pPr>
        <w:pStyle w:val="765"/>
        <w:ind w:left="0" w:firstLine="480"/>
        <w:keepLines w:val="0"/>
        <w:keepNext w:val="0"/>
        <w:pageBreakBefore w:val="0"/>
        <w:spacing w:before="0" w:beforeAutospacing="0" w:after="200" w:afterAutospacing="0" w:line="240" w:lineRule="auto"/>
        <w:widowControl w:val="off"/>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17.1甲方向乙方明确告知关于该项目相关保密规定，乙方需遵守甲方保密规定，并提交保密承诺。若乙方出现泄密行为，甲方将对乙方处于不低于合同金额5%的罚金，并有权追究其法律责任。</w:t>
      </w:r>
      <w:r/>
    </w:p>
    <w:p>
      <w:pPr>
        <w:pStyle w:val="765"/>
        <w:ind w:left="798"/>
        <w:keepLines w:val="0"/>
        <w:keepNext w:val="0"/>
        <w:pageBreakBefore w:val="0"/>
        <w:spacing w:before="0" w:beforeAutospacing="0" w:after="200" w:afterAutospacing="0" w:line="240" w:lineRule="auto"/>
        <w:widowControl w:val="off"/>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highlight w:val="none"/>
        </w:rPr>
        <w:t xml:space="preserve"> </w:t>
      </w:r>
      <w:r/>
    </w:p>
    <w:p>
      <w:pPr>
        <w:pStyle w:val="765"/>
        <w:ind w:left="0" w:firstLine="540"/>
        <w:jc w:val="both"/>
        <w:keepLines w:val="0"/>
        <w:keepNext w:val="0"/>
        <w:pageBreakBefore w:val="0"/>
        <w:spacing w:before="0" w:beforeAutospacing="0" w:after="0" w:afterAutospacing="0" w:line="240" w:lineRule="auto"/>
        <w:widowControl w:val="off"/>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第十八条 合同生效及其他</w:t>
      </w:r>
      <w:r/>
    </w:p>
    <w:p>
      <w:pPr>
        <w:pStyle w:val="765"/>
        <w:ind w:left="0" w:firstLine="540"/>
        <w:jc w:val="both"/>
        <w:keepLines w:val="0"/>
        <w:keepNext w:val="0"/>
        <w:pageBreakBefore w:val="0"/>
        <w:spacing w:before="0" w:beforeAutospacing="0" w:after="0" w:afterAutospacing="0" w:line="240" w:lineRule="auto"/>
        <w:widowControl w:val="off"/>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18.10按照《财政部关于做好政府采购信息公开工作的通知》（财库〔2015〕135号），买方依据《保守国家秘密法》等法律制度规定确定本合同部分涉及国家秘密，该涉及国家秘密部分不公告；买方依据《反不正当竞争法》等法律制度的规定与卖方约定本合同部分涉及商业秘密，该涉及商业秘密部分不公告。</w:t>
      </w:r>
      <w:r/>
    </w:p>
    <w:p>
      <w:pPr>
        <w:pStyle w:val="765"/>
        <w:ind w:left="0" w:firstLine="540"/>
        <w:jc w:val="both"/>
        <w:keepLines w:val="0"/>
        <w:keepNext w:val="0"/>
        <w:pageBreakBefore w:val="0"/>
        <w:spacing w:before="0" w:beforeAutospacing="0" w:after="0" w:afterAutospacing="0" w:line="240" w:lineRule="auto"/>
        <w:widowControl w:val="off"/>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18.11 合同双方的通讯地址： </w:t>
      </w:r>
      <w:r/>
    </w:p>
    <w:p>
      <w:pPr>
        <w:pStyle w:val="765"/>
        <w:ind w:left="0" w:firstLine="540"/>
        <w:jc w:val="both"/>
        <w:keepLines w:val="0"/>
        <w:keepNext w:val="0"/>
        <w:pageBreakBefore w:val="0"/>
        <w:spacing w:before="0" w:beforeAutospacing="0" w:after="0" w:afterAutospacing="0" w:line="240" w:lineRule="auto"/>
        <w:widowControl w:val="off"/>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买方:</w:t>
      </w:r>
      <w:r/>
    </w:p>
    <w:p>
      <w:pPr>
        <w:pStyle w:val="765"/>
        <w:ind w:left="0" w:firstLine="540"/>
        <w:jc w:val="both"/>
        <w:keepLines w:val="0"/>
        <w:keepNext w:val="0"/>
        <w:pageBreakBefore w:val="0"/>
        <w:spacing w:before="0" w:beforeAutospacing="0" w:after="0" w:afterAutospacing="0" w:line="240" w:lineRule="auto"/>
        <w:widowControl w:val="off"/>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地址: </w:t>
      </w:r>
      <w:r/>
    </w:p>
    <w:p>
      <w:pPr>
        <w:pStyle w:val="765"/>
        <w:ind w:left="0" w:firstLine="540"/>
        <w:jc w:val="both"/>
        <w:keepLines w:val="0"/>
        <w:keepNext w:val="0"/>
        <w:pageBreakBefore w:val="0"/>
        <w:spacing w:before="0" w:beforeAutospacing="0" w:after="0" w:afterAutospacing="0" w:line="240" w:lineRule="auto"/>
        <w:widowControl w:val="off"/>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邮编: </w:t>
      </w:r>
      <w:r/>
    </w:p>
    <w:p>
      <w:pPr>
        <w:pStyle w:val="765"/>
        <w:ind w:left="0" w:firstLine="540"/>
        <w:jc w:val="both"/>
        <w:keepLines w:val="0"/>
        <w:keepNext w:val="0"/>
        <w:pageBreakBefore w:val="0"/>
        <w:spacing w:before="0" w:beforeAutospacing="0" w:after="0" w:afterAutospacing="0" w:line="240" w:lineRule="auto"/>
        <w:widowControl w:val="off"/>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电话: </w:t>
      </w:r>
      <w:r/>
    </w:p>
    <w:p>
      <w:pPr>
        <w:pStyle w:val="765"/>
        <w:ind w:left="0" w:firstLine="540"/>
        <w:jc w:val="both"/>
        <w:keepLines w:val="0"/>
        <w:keepNext w:val="0"/>
        <w:pageBreakBefore w:val="0"/>
        <w:spacing w:before="0" w:beforeAutospacing="0" w:after="0" w:afterAutospacing="0" w:line="240" w:lineRule="auto"/>
        <w:widowControl w:val="off"/>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传真: </w:t>
      </w:r>
      <w:r/>
    </w:p>
    <w:p>
      <w:pPr>
        <w:pStyle w:val="765"/>
        <w:keepLines w:val="0"/>
        <w:keepNext w:val="0"/>
        <w:pageBreakBefore w:val="0"/>
        <w:spacing w:before="0" w:beforeAutospacing="0" w:after="200" w:afterAutospacing="0" w:line="240" w:lineRule="auto"/>
        <w:widowControl w:val="off"/>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highlight w:val="none"/>
        </w:rPr>
        <w:t xml:space="preserve"> </w:t>
      </w:r>
      <w:r/>
    </w:p>
    <w:p>
      <w:pPr>
        <w:pStyle w:val="765"/>
        <w:ind w:left="0" w:firstLine="540"/>
        <w:jc w:val="both"/>
        <w:keepLines w:val="0"/>
        <w:keepNext w:val="0"/>
        <w:pageBreakBefore w:val="0"/>
        <w:spacing w:before="0" w:beforeAutospacing="0" w:after="0" w:afterAutospacing="0" w:line="240" w:lineRule="auto"/>
        <w:widowControl w:val="off"/>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卖方: </w:t>
      </w:r>
      <w:r/>
    </w:p>
    <w:p>
      <w:pPr>
        <w:pStyle w:val="765"/>
        <w:ind w:left="0" w:firstLine="540"/>
        <w:jc w:val="both"/>
        <w:keepLines w:val="0"/>
        <w:keepNext w:val="0"/>
        <w:pageBreakBefore w:val="0"/>
        <w:spacing w:before="0" w:beforeAutospacing="0" w:after="0" w:afterAutospacing="0" w:line="240" w:lineRule="auto"/>
        <w:widowControl w:val="off"/>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地址: </w:t>
      </w:r>
      <w:r/>
    </w:p>
    <w:p>
      <w:pPr>
        <w:pStyle w:val="765"/>
        <w:ind w:left="0" w:firstLine="540"/>
        <w:jc w:val="both"/>
        <w:keepLines w:val="0"/>
        <w:keepNext w:val="0"/>
        <w:pageBreakBefore w:val="0"/>
        <w:spacing w:before="0" w:beforeAutospacing="0" w:after="0" w:afterAutospacing="0" w:line="240" w:lineRule="auto"/>
        <w:widowControl w:val="off"/>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邮编: </w:t>
      </w:r>
      <w:r/>
    </w:p>
    <w:p>
      <w:pPr>
        <w:pStyle w:val="765"/>
        <w:ind w:left="0" w:firstLine="540"/>
        <w:jc w:val="both"/>
        <w:keepLines w:val="0"/>
        <w:keepNext w:val="0"/>
        <w:pageBreakBefore w:val="0"/>
        <w:spacing w:before="0" w:beforeAutospacing="0" w:after="0" w:afterAutospacing="0" w:line="240" w:lineRule="auto"/>
        <w:widowControl w:val="off"/>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电话: </w:t>
      </w:r>
      <w:r/>
    </w:p>
    <w:p>
      <w:pPr>
        <w:pStyle w:val="765"/>
        <w:ind w:left="0" w:firstLine="540"/>
        <w:jc w:val="both"/>
        <w:keepLines w:val="0"/>
        <w:keepNext w:val="0"/>
        <w:pageBreakBefore w:val="0"/>
        <w:spacing w:before="0" w:beforeAutospacing="0" w:after="0" w:afterAutospacing="0" w:line="240" w:lineRule="auto"/>
        <w:widowControl w:val="off"/>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传真: </w:t>
      </w:r>
      <w:r/>
    </w:p>
    <w:p>
      <w:pPr>
        <w:pStyle w:val="765"/>
        <w:ind w:left="0" w:firstLine="540"/>
        <w:jc w:val="both"/>
        <w:keepLines w:val="0"/>
        <w:keepNext w:val="0"/>
        <w:pageBreakBefore w:val="0"/>
        <w:spacing w:before="0" w:beforeAutospacing="0" w:after="0" w:afterAutospacing="0" w:line="240" w:lineRule="auto"/>
        <w:widowControl w:val="off"/>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18.12因买方原因导致变更、中止或者终止政府采购合同的，买方对卖方受到的实际损失予以赔偿或者补偿。</w:t>
      </w:r>
      <w:r/>
    </w:p>
    <w:p>
      <w:pPr>
        <w:pStyle w:val="765"/>
        <w:jc w:val="center"/>
        <w:keepLines w:val="0"/>
        <w:keepNext w:val="0"/>
        <w:spacing w:before="0" w:beforeAutospacing="0" w:after="0" w:afterAutospacing="0"/>
        <w:widowControl w:val="off"/>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br w:type="page" w:clear="all"/>
      </w:r>
      <w:r>
        <w:rPr>
          <w:rFonts w:hint="eastAsia" w:ascii="宋体" w:hAnsi="宋体" w:eastAsia="宋体" w:cs="宋体"/>
          <w:color w:val="000000"/>
          <w:sz w:val="24"/>
          <w:szCs w:val="24"/>
          <w:highlight w:val="none"/>
        </w:rPr>
        <w:t xml:space="preserve"> </w:t>
      </w:r>
      <w:r>
        <w:rPr>
          <w:rFonts w:hint="eastAsia" w:ascii="宋体" w:hAnsi="宋体" w:eastAsia="宋体" w:cs="宋体"/>
          <w:b/>
          <w:bCs/>
          <w:color w:val="000000"/>
          <w:sz w:val="30"/>
          <w:szCs w:val="30"/>
          <w:highlight w:val="none"/>
        </w:rPr>
        <w:t xml:space="preserve">合同附件</w:t>
      </w:r>
      <w:r/>
    </w:p>
    <w:p>
      <w:pPr>
        <w:pStyle w:val="765"/>
        <w:keepLines w:val="0"/>
        <w:keepNext w:val="0"/>
        <w:spacing w:before="0" w:beforeAutospacing="0" w:after="0" w:afterAutospacing="0"/>
        <w:widowControl w:val="off"/>
        <w:tabs>
          <w:tab w:val="left" w:pos="7512" w:leader="none"/>
        </w:tabs>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ab/>
      </w:r>
      <w:r/>
    </w:p>
    <w:p>
      <w:pPr>
        <w:pStyle w:val="765"/>
        <w:jc w:val="center"/>
        <w:keepLines w:val="0"/>
        <w:keepNext w:val="0"/>
        <w:spacing w:before="0" w:beforeAutospacing="0" w:after="0" w:afterAutospacing="0"/>
        <w:widowControl w:val="off"/>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目录</w:t>
      </w:r>
      <w:r/>
    </w:p>
    <w:p>
      <w:pPr>
        <w:pStyle w:val="765"/>
        <w:jc w:val="center"/>
        <w:keepLines w:val="0"/>
        <w:keepNext w:val="0"/>
        <w:spacing w:before="0" w:beforeAutospacing="0" w:after="0" w:afterAutospacing="0"/>
        <w:widowControl w:val="off"/>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highlight w:val="none"/>
        </w:rPr>
        <w:t xml:space="preserve"> </w:t>
      </w:r>
      <w:r/>
    </w:p>
    <w:p>
      <w:pPr>
        <w:pStyle w:val="765"/>
        <w:jc w:val="both"/>
        <w:keepLines w:val="0"/>
        <w:keepNext w:val="0"/>
        <w:spacing w:before="0" w:beforeAutospacing="0" w:after="0" w:afterAutospacing="0" w:line="360" w:lineRule="auto"/>
        <w:widowControl w:val="off"/>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合同附件1：合同协议书</w:t>
      </w:r>
      <w:r/>
    </w:p>
    <w:p>
      <w:pPr>
        <w:pStyle w:val="765"/>
        <w:jc w:val="both"/>
        <w:keepLines w:val="0"/>
        <w:keepNext w:val="0"/>
        <w:spacing w:before="0" w:beforeAutospacing="0" w:after="0" w:afterAutospacing="0" w:line="360" w:lineRule="auto"/>
        <w:widowControl w:val="off"/>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highlight w:val="none"/>
        </w:rPr>
        <w:t xml:space="preserve"> </w:t>
      </w:r>
      <w:r/>
    </w:p>
    <w:p>
      <w:pPr>
        <w:pStyle w:val="765"/>
        <w:jc w:val="both"/>
        <w:keepLines w:val="0"/>
        <w:keepNext w:val="0"/>
        <w:spacing w:before="0" w:beforeAutospacing="0" w:after="0" w:afterAutospacing="0" w:line="360" w:lineRule="auto"/>
        <w:widowControl w:val="off"/>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合同附件2：技术规格和技术性能</w:t>
      </w:r>
      <w:r/>
    </w:p>
    <w:p>
      <w:pPr>
        <w:pStyle w:val="765"/>
        <w:jc w:val="both"/>
        <w:keepLines w:val="0"/>
        <w:keepNext w:val="0"/>
        <w:spacing w:before="0" w:beforeAutospacing="0" w:after="0" w:afterAutospacing="0" w:line="360" w:lineRule="auto"/>
        <w:widowControl w:val="off"/>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(要求见招标文件第六章《采购需求》；</w:t>
      </w:r>
      <w:r>
        <w:rPr>
          <w:rFonts w:hint="eastAsia" w:ascii="宋体" w:hAnsi="宋体" w:eastAsia="宋体" w:cs="宋体"/>
          <w:b/>
          <w:bCs/>
          <w:color w:val="000000"/>
          <w:sz w:val="24"/>
          <w:szCs w:val="24"/>
          <w:highlight w:val="none"/>
        </w:rPr>
        <w:t xml:space="preserve">合同见卖方投标文件)</w:t>
      </w:r>
      <w:r/>
    </w:p>
    <w:p>
      <w:pPr>
        <w:pStyle w:val="765"/>
        <w:jc w:val="both"/>
        <w:keepLines w:val="0"/>
        <w:keepNext w:val="0"/>
        <w:spacing w:before="0" w:beforeAutospacing="0" w:after="0" w:afterAutospacing="0" w:line="360" w:lineRule="auto"/>
        <w:widowControl w:val="off"/>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highlight w:val="none"/>
        </w:rPr>
        <w:t xml:space="preserve"> </w:t>
      </w:r>
      <w:r/>
    </w:p>
    <w:p>
      <w:pPr>
        <w:pStyle w:val="765"/>
        <w:jc w:val="both"/>
        <w:keepLines w:val="0"/>
        <w:keepNext w:val="0"/>
        <w:spacing w:before="0" w:beforeAutospacing="0" w:after="0" w:afterAutospacing="0" w:line="360" w:lineRule="auto"/>
        <w:widowControl w:val="off"/>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合同附件3：技术培训和售后服务</w:t>
      </w:r>
      <w:r/>
    </w:p>
    <w:p>
      <w:pPr>
        <w:pStyle w:val="765"/>
        <w:jc w:val="both"/>
        <w:keepLines w:val="0"/>
        <w:keepNext w:val="0"/>
        <w:spacing w:before="0" w:beforeAutospacing="0" w:after="0" w:afterAutospacing="0" w:line="360" w:lineRule="auto"/>
        <w:widowControl w:val="off"/>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(要求见招标文件第六章《采购需求》；合同见卖方投标文件</w:t>
      </w:r>
      <w:r>
        <w:rPr>
          <w:rFonts w:hint="eastAsia" w:ascii="宋体" w:hAnsi="宋体" w:eastAsia="宋体" w:cs="宋体"/>
          <w:b/>
          <w:bCs/>
          <w:color w:val="000000"/>
          <w:sz w:val="24"/>
          <w:szCs w:val="24"/>
          <w:highlight w:val="none"/>
        </w:rPr>
        <w:t xml:space="preserve">)</w:t>
      </w:r>
      <w:r/>
    </w:p>
    <w:p>
      <w:pPr>
        <w:pStyle w:val="765"/>
        <w:jc w:val="both"/>
        <w:keepLines w:val="0"/>
        <w:keepNext w:val="0"/>
        <w:spacing w:before="0" w:beforeAutospacing="0" w:after="0" w:afterAutospacing="0" w:line="360" w:lineRule="auto"/>
        <w:widowControl w:val="off"/>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highlight w:val="none"/>
        </w:rPr>
        <w:t xml:space="preserve"> </w:t>
      </w:r>
      <w:r/>
    </w:p>
    <w:p>
      <w:pPr>
        <w:pStyle w:val="765"/>
        <w:jc w:val="both"/>
        <w:keepLines w:val="0"/>
        <w:keepNext w:val="0"/>
        <w:spacing w:before="0" w:beforeAutospacing="0" w:after="0" w:afterAutospacing="0" w:line="360" w:lineRule="auto"/>
        <w:widowControl w:val="off"/>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合同附件4：供货范围和价格清单</w:t>
      </w:r>
      <w:r/>
    </w:p>
    <w:p>
      <w:pPr>
        <w:pStyle w:val="765"/>
        <w:jc w:val="both"/>
        <w:keepLines w:val="0"/>
        <w:keepNext w:val="0"/>
        <w:spacing w:before="0" w:beforeAutospacing="0" w:after="0" w:afterAutospacing="0" w:line="360" w:lineRule="auto"/>
        <w:widowControl w:val="off"/>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(要求见招标文件第七章《投标文件相关格式》中《开标一览表》和《分项价格表》；合同见卖方投标文件中《开标一览表》和《分项价格表》。)</w:t>
      </w:r>
      <w:r/>
    </w:p>
    <w:p>
      <w:pPr>
        <w:pStyle w:val="765"/>
        <w:jc w:val="both"/>
        <w:keepLines w:val="0"/>
        <w:keepNext w:val="0"/>
        <w:spacing w:before="0" w:beforeAutospacing="0" w:after="0" w:afterAutospacing="0" w:line="360" w:lineRule="auto"/>
        <w:widowControl w:val="off"/>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highlight w:val="none"/>
        </w:rPr>
        <w:t xml:space="preserve"> </w:t>
      </w:r>
      <w:r/>
    </w:p>
    <w:p>
      <w:pPr>
        <w:pStyle w:val="765"/>
        <w:jc w:val="both"/>
        <w:keepLines w:val="0"/>
        <w:keepNext w:val="0"/>
        <w:spacing w:before="0" w:beforeAutospacing="0" w:after="0" w:afterAutospacing="0" w:line="360" w:lineRule="auto"/>
        <w:widowControl w:val="off"/>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合同附件5：保密协议</w:t>
      </w:r>
      <w:r/>
    </w:p>
    <w:p>
      <w:pPr>
        <w:pStyle w:val="765"/>
        <w:jc w:val="both"/>
        <w:keepLines w:val="0"/>
        <w:keepNext w:val="0"/>
        <w:spacing w:before="0" w:beforeAutospacing="0" w:after="0" w:afterAutospacing="0" w:line="360" w:lineRule="auto"/>
        <w:widowControl w:val="off"/>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highlight w:val="none"/>
        </w:rPr>
        <w:t xml:space="preserve"> </w:t>
      </w:r>
      <w:r/>
    </w:p>
    <w:p>
      <w:pPr>
        <w:pStyle w:val="765"/>
        <w:jc w:val="both"/>
        <w:keepLines w:val="0"/>
        <w:keepNext w:val="0"/>
        <w:spacing w:before="0" w:beforeAutospacing="0" w:after="0" w:afterAutospacing="0" w:line="360" w:lineRule="auto"/>
        <w:widowControl w:val="off"/>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合同附件6：采购需求</w:t>
      </w:r>
      <w:r/>
    </w:p>
    <w:p>
      <w:pPr>
        <w:pStyle w:val="765"/>
        <w:jc w:val="both"/>
        <w:keepLines w:val="0"/>
        <w:keepNext w:val="0"/>
        <w:spacing w:before="0" w:beforeAutospacing="0" w:after="0" w:afterAutospacing="0" w:line="360" w:lineRule="auto"/>
        <w:widowControl w:val="off"/>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(见招标文件第六章《采购需求》。)</w:t>
      </w:r>
      <w:r/>
    </w:p>
    <w:p>
      <w:pPr>
        <w:jc w:val="center"/>
        <w:spacing w:line="360" w:lineRule="auto"/>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r>
      <w:r/>
    </w:p>
    <w:p>
      <w:pPr>
        <w:jc w:val="center"/>
        <w:spacing w:line="360" w:lineRule="auto"/>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r>
      <w:r/>
    </w:p>
    <w:p>
      <w:pPr>
        <w:jc w:val="center"/>
        <w:spacing w:line="360" w:lineRule="auto"/>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r>
      <w:r/>
    </w:p>
    <w:p>
      <w:pPr>
        <w:jc w:val="center"/>
        <w:spacing w:line="360" w:lineRule="auto"/>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r>
      <w:r/>
    </w:p>
    <w:p>
      <w:pPr>
        <w:jc w:val="center"/>
        <w:spacing w:line="360" w:lineRule="auto"/>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r>
      <w:r/>
    </w:p>
    <w:p>
      <w:pPr>
        <w:jc w:val="center"/>
        <w:spacing w:line="360" w:lineRule="auto"/>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r>
      <w:r/>
    </w:p>
    <w:p>
      <w:pPr>
        <w:jc w:val="center"/>
        <w:spacing w:line="360" w:lineRule="auto"/>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r>
      <w:r/>
    </w:p>
    <w:p>
      <w:pPr>
        <w:jc w:val="center"/>
        <w:spacing w:line="360" w:lineRule="auto"/>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r>
      <w:r/>
    </w:p>
    <w:p>
      <w:pPr>
        <w:jc w:val="center"/>
        <w:spacing w:line="360" w:lineRule="auto"/>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r>
      <w:r/>
    </w:p>
    <w:p>
      <w:pPr>
        <w:pStyle w:val="765"/>
        <w:ind w:left="0" w:right="0"/>
        <w:jc w:val="both"/>
        <w:keepLines w:val="0"/>
        <w:keepNext w:val="0"/>
        <w:spacing w:before="0" w:beforeAutospacing="0" w:after="0" w:afterAutospacing="0"/>
        <w:widowControl w:val="off"/>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bCs/>
          <w:color w:val="000000"/>
          <w:sz w:val="24"/>
          <w:szCs w:val="24"/>
          <w:highlight w:val="none"/>
        </w:rPr>
        <w:t xml:space="preserve">合同附件1：</w:t>
      </w:r>
      <w:r/>
    </w:p>
    <w:p>
      <w:pPr>
        <w:pStyle w:val="765"/>
        <w:jc w:val="center"/>
        <w:keepLines w:val="0"/>
        <w:keepNext w:val="0"/>
        <w:spacing w:before="0" w:beforeAutospacing="0" w:after="0" w:afterAutospacing="0"/>
        <w:widowControl w:val="off"/>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bCs/>
          <w:color w:val="000000"/>
          <w:sz w:val="28"/>
          <w:szCs w:val="28"/>
          <w:highlight w:val="none"/>
        </w:rPr>
        <w:t xml:space="preserve">合同协议书</w:t>
      </w:r>
      <w:r/>
    </w:p>
    <w:p>
      <w:pPr>
        <w:pStyle w:val="765"/>
        <w:jc w:val="right"/>
        <w:keepLines w:val="0"/>
        <w:keepNext w:val="0"/>
        <w:spacing w:before="0" w:beforeAutospacing="0" w:after="0" w:afterAutospacing="0"/>
        <w:widowControl w:val="off"/>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合同编号:____________ </w:t>
      </w:r>
      <w:r/>
    </w:p>
    <w:p>
      <w:pPr>
        <w:pStyle w:val="765"/>
        <w:jc w:val="right"/>
        <w:keepLines w:val="0"/>
        <w:keepNext w:val="0"/>
        <w:spacing w:before="0" w:beforeAutospacing="0" w:after="0" w:afterAutospacing="0"/>
        <w:widowControl w:val="off"/>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签字日期:____________ </w:t>
      </w:r>
      <w:r/>
    </w:p>
    <w:p>
      <w:pPr>
        <w:pStyle w:val="765"/>
        <w:jc w:val="right"/>
        <w:keepLines w:val="0"/>
        <w:keepNext w:val="0"/>
        <w:spacing w:before="0" w:beforeAutospacing="0" w:after="0" w:afterAutospacing="0"/>
        <w:widowControl w:val="off"/>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签字地点:____________ </w:t>
      </w:r>
      <w:r/>
    </w:p>
    <w:p>
      <w:pPr>
        <w:pStyle w:val="765"/>
        <w:ind w:left="0" w:firstLine="359"/>
        <w:jc w:val="both"/>
        <w:keepLines w:val="0"/>
        <w:keepNext w:val="0"/>
        <w:spacing w:before="0" w:beforeAutospacing="0" w:after="0" w:afterAutospacing="0"/>
        <w:widowControl w:val="off"/>
        <w:rPr>
          <w:rFonts w:hint="eastAsia" w:ascii="宋体" w:hAnsi="宋体" w:eastAsia="宋体" w:cs="宋体"/>
          <w:color w:val="000000"/>
          <w:sz w:val="24"/>
          <w:szCs w:val="24"/>
          <w:highlight w:val="none"/>
          <w:u w:val="single"/>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u w:val="single"/>
          <w:lang w:val="en-US" w:eastAsia="zh-CN"/>
        </w:rPr>
      </w:r>
      <w:r/>
    </w:p>
    <w:p>
      <w:pPr>
        <w:pStyle w:val="765"/>
        <w:ind w:left="0" w:firstLine="359"/>
        <w:jc w:val="both"/>
        <w:keepLines w:val="0"/>
        <w:keepNext w:val="0"/>
        <w:spacing w:before="0" w:beforeAutospacing="0" w:after="0" w:afterAutospacing="0"/>
        <w:widowControl w:val="off"/>
        <w:rPr>
          <w:rFonts w:hint="eastAsia" w:ascii="宋体" w:hAnsi="宋体" w:eastAsia="宋体" w:cs="宋体"/>
          <w:color w:val="000000"/>
          <w:sz w:val="24"/>
          <w:szCs w:val="24"/>
          <w:highlight w:val="none"/>
          <w:u w:val="single"/>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u w:val="single"/>
          <w:lang w:val="en-US" w:eastAsia="zh-CN"/>
        </w:rPr>
      </w:r>
      <w:r/>
    </w:p>
    <w:p>
      <w:pPr>
        <w:pStyle w:val="765"/>
        <w:ind w:left="0" w:firstLine="359"/>
        <w:jc w:val="both"/>
        <w:keepLines w:val="0"/>
        <w:keepNext w:val="0"/>
        <w:spacing w:before="0" w:beforeAutospacing="0" w:after="0" w:afterAutospacing="0"/>
        <w:widowControl w:val="off"/>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rPr>
        <w:t xml:space="preserve">（买方名称）（以下简称“买方”）已接受</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（卖方名称）（以下简称“卖方”）对</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rPr>
        <w:t xml:space="preserve">（项目名称）（项目编号：</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rPr>
        <w:t xml:space="preserve">）的投标。买方和卖方共同达成如下协议。</w:t>
      </w:r>
      <w:r/>
    </w:p>
    <w:p>
      <w:pPr>
        <w:pStyle w:val="765"/>
        <w:ind w:left="0" w:firstLine="540"/>
        <w:jc w:val="both"/>
        <w:keepLines w:val="0"/>
        <w:keepNext w:val="0"/>
        <w:spacing w:before="0" w:beforeAutospacing="0" w:after="0" w:afterAutospacing="0"/>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本合同协议书中的词语和术语的含义与合同条款中定义的相同。</w:t>
      </w:r>
      <w:r/>
    </w:p>
    <w:p>
      <w:pPr>
        <w:pStyle w:val="765"/>
        <w:ind w:left="0" w:firstLine="540"/>
        <w:jc w:val="both"/>
        <w:keepLines w:val="0"/>
        <w:keepNext w:val="0"/>
        <w:spacing w:before="0" w:beforeAutospacing="0" w:after="0" w:afterAutospacing="0"/>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2.以下文件应构成买方和卖方之间达成的合同，若各文件之间存在含糊不清或互相冲突之处，优先顺序应按下列文件顺序解释。</w:t>
      </w:r>
      <w:r/>
    </w:p>
    <w:p>
      <w:pPr>
        <w:pStyle w:val="765"/>
        <w:ind w:left="0" w:firstLine="540"/>
        <w:jc w:val="both"/>
        <w:keepLines w:val="0"/>
        <w:keepNext w:val="0"/>
        <w:spacing w:before="0" w:beforeAutospacing="0" w:after="0" w:afterAutospacing="0"/>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(1) 合同协议书</w:t>
      </w:r>
      <w:r/>
    </w:p>
    <w:p>
      <w:pPr>
        <w:pStyle w:val="765"/>
        <w:ind w:left="0" w:firstLine="540"/>
        <w:jc w:val="both"/>
        <w:keepLines w:val="0"/>
        <w:keepNext w:val="0"/>
        <w:spacing w:before="0" w:beforeAutospacing="0" w:after="0" w:afterAutospacing="0"/>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(2) 中标通知书</w:t>
      </w:r>
      <w:r/>
    </w:p>
    <w:p>
      <w:pPr>
        <w:pStyle w:val="765"/>
        <w:ind w:left="0" w:firstLine="540"/>
        <w:jc w:val="both"/>
        <w:keepLines w:val="0"/>
        <w:keepNext w:val="0"/>
        <w:spacing w:before="0" w:beforeAutospacing="0" w:after="0" w:afterAutospacing="0"/>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(3) 合同专用条款</w:t>
      </w:r>
      <w:r/>
    </w:p>
    <w:p>
      <w:pPr>
        <w:pStyle w:val="765"/>
        <w:ind w:left="0" w:firstLine="540"/>
        <w:jc w:val="both"/>
        <w:keepLines w:val="0"/>
        <w:keepNext w:val="0"/>
        <w:spacing w:before="0" w:beforeAutospacing="0" w:after="0" w:afterAutospacing="0"/>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(4) 合同通用条款</w:t>
      </w:r>
      <w:r/>
    </w:p>
    <w:p>
      <w:pPr>
        <w:pStyle w:val="765"/>
        <w:ind w:left="0" w:firstLine="540"/>
        <w:jc w:val="both"/>
        <w:keepLines w:val="0"/>
        <w:keepNext w:val="0"/>
        <w:spacing w:before="0" w:beforeAutospacing="0" w:after="0" w:afterAutospacing="0"/>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(5) 除合同附件1外的合同附件</w:t>
      </w:r>
      <w:r/>
    </w:p>
    <w:p>
      <w:pPr>
        <w:pStyle w:val="765"/>
        <w:ind w:left="0" w:firstLine="540"/>
        <w:jc w:val="both"/>
        <w:keepLines w:val="0"/>
        <w:keepNext w:val="0"/>
        <w:spacing w:before="0" w:beforeAutospacing="0" w:after="0" w:afterAutospacing="0"/>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(6) 其他文件</w:t>
      </w:r>
      <w:r/>
    </w:p>
    <w:p>
      <w:pPr>
        <w:pStyle w:val="765"/>
        <w:ind w:left="0" w:firstLine="540"/>
        <w:jc w:val="both"/>
        <w:keepLines w:val="0"/>
        <w:keepNext w:val="0"/>
        <w:spacing w:before="0" w:beforeAutospacing="0" w:after="0" w:afterAutospacing="0"/>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3. 考虑到买方将按照本合同向卖方支付合同价款，卖方在此保证全部按照合同的规定向买方提供合同标的、技术资料、售后服务及技术培训。</w:t>
      </w:r>
      <w:r/>
    </w:p>
    <w:p>
      <w:pPr>
        <w:pStyle w:val="765"/>
        <w:ind w:left="0" w:firstLine="540"/>
        <w:jc w:val="both"/>
        <w:keepLines w:val="0"/>
        <w:keepNext w:val="0"/>
        <w:spacing w:before="0" w:beforeAutospacing="0" w:after="0" w:afterAutospacing="0"/>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4. 考虑到卖方将按合同规定提供合同标的、技术资料、售后服务及技术培训，买方在此保证按照合同规定的时间和方式向卖方支付合同价款。</w:t>
      </w:r>
      <w:r/>
    </w:p>
    <w:p>
      <w:pPr>
        <w:pStyle w:val="765"/>
        <w:ind w:left="0" w:firstLine="540"/>
        <w:jc w:val="both"/>
        <w:keepLines w:val="0"/>
        <w:keepNext w:val="0"/>
        <w:spacing w:before="0" w:beforeAutospacing="0" w:after="0" w:afterAutospacing="0"/>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5. 本合同在下列条件全部满足后生效，生效日期以下列条件全部满足的最晚日期为准： </w:t>
      </w:r>
      <w:r/>
    </w:p>
    <w:p>
      <w:pPr>
        <w:pStyle w:val="765"/>
        <w:ind w:left="0" w:firstLine="540"/>
        <w:jc w:val="both"/>
        <w:keepLines w:val="0"/>
        <w:keepNext w:val="0"/>
        <w:spacing w:before="0" w:beforeAutospacing="0" w:after="0" w:afterAutospacing="0"/>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（1）双方加盖公章或合同专用章； </w:t>
      </w:r>
      <w:r/>
    </w:p>
    <w:p>
      <w:pPr>
        <w:pStyle w:val="765"/>
        <w:ind w:left="0" w:firstLine="480"/>
        <w:jc w:val="both"/>
        <w:keepLines w:val="0"/>
        <w:keepNext w:val="0"/>
        <w:spacing w:before="0" w:beforeAutospacing="0" w:after="0" w:afterAutospacing="0"/>
        <w:widowControl w:val="off"/>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6. 合同一式</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份，具有同等法律效力，买方</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份，卖方</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份。</w:t>
      </w:r>
      <w:r/>
    </w:p>
    <w:p>
      <w:pPr>
        <w:pStyle w:val="765"/>
        <w:ind w:left="0" w:firstLine="480"/>
        <w:jc w:val="both"/>
        <w:keepLines w:val="0"/>
        <w:keepNext w:val="0"/>
        <w:spacing w:before="0" w:beforeAutospacing="0" w:after="0" w:afterAutospacing="0"/>
        <w:widowControl w:val="off"/>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7.本合同其他未尽事宜及与采购文件有矛盾之处，以采购文件[项目编号：</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rPr>
        <w:t xml:space="preserve">]为准。</w:t>
      </w:r>
      <w:r/>
    </w:p>
    <w:p>
      <w:pPr>
        <w:pStyle w:val="765"/>
        <w:ind w:left="0" w:firstLine="360"/>
        <w:jc w:val="both"/>
        <w:keepLines w:val="0"/>
        <w:keepNext w:val="0"/>
        <w:spacing w:before="0" w:beforeAutospacing="0" w:after="0" w:afterAutospacing="0"/>
        <w:widowControl w:val="off"/>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买方和卖方由其正式授权代表于上述所写日期和地点签订本合同。</w:t>
      </w:r>
      <w:r/>
    </w:p>
    <w:p>
      <w:pPr>
        <w:pStyle w:val="765"/>
        <w:jc w:val="both"/>
        <w:keepLines w:val="0"/>
        <w:keepNext w:val="0"/>
        <w:spacing w:before="0" w:beforeAutospacing="0" w:after="0" w:afterAutospacing="0"/>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r>
      <w:r/>
    </w:p>
    <w:p>
      <w:pPr>
        <w:pStyle w:val="765"/>
        <w:jc w:val="both"/>
        <w:keepLines w:val="0"/>
        <w:keepNext w:val="0"/>
        <w:spacing w:before="0" w:beforeAutospacing="0" w:after="0" w:afterAutospacing="0"/>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r>
      <w:r/>
    </w:p>
    <w:p>
      <w:pPr>
        <w:pStyle w:val="765"/>
        <w:jc w:val="both"/>
        <w:keepLines w:val="0"/>
        <w:keepNext w:val="0"/>
        <w:spacing w:before="0" w:beforeAutospacing="0" w:after="0" w:afterAutospacing="0"/>
        <w:widowControl w:val="off"/>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买方（签章）：____________________________________  </w:t>
      </w:r>
      <w:r/>
    </w:p>
    <w:p>
      <w:pPr>
        <w:pStyle w:val="765"/>
        <w:jc w:val="both"/>
        <w:keepLines w:val="0"/>
        <w:keepNext w:val="0"/>
        <w:spacing w:before="0" w:beforeAutospacing="0" w:after="0" w:afterAutospacing="0"/>
        <w:widowControl w:val="off"/>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法定代表人或授权代表(签名)： ____________________ </w:t>
      </w:r>
      <w:r/>
    </w:p>
    <w:p>
      <w:pPr>
        <w:pStyle w:val="765"/>
        <w:ind w:left="0" w:firstLine="3360"/>
        <w:jc w:val="both"/>
        <w:keepLines w:val="0"/>
        <w:keepNext w:val="0"/>
        <w:spacing w:before="0" w:beforeAutospacing="0" w:after="0" w:afterAutospacing="0"/>
        <w:widowControl w:val="off"/>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highlight w:val="none"/>
        </w:rPr>
        <w:t xml:space="preserve"> </w:t>
      </w:r>
      <w:r/>
    </w:p>
    <w:p>
      <w:pPr>
        <w:pStyle w:val="765"/>
        <w:jc w:val="both"/>
        <w:keepLines w:val="0"/>
        <w:keepNext w:val="0"/>
        <w:spacing w:before="0" w:beforeAutospacing="0" w:after="0" w:afterAutospacing="0"/>
        <w:widowControl w:val="off"/>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卖方（签章）： ____________________________________ </w:t>
      </w:r>
      <w:r/>
    </w:p>
    <w:p>
      <w:pPr>
        <w:pStyle w:val="765"/>
        <w:keepLines w:val="0"/>
        <w:keepNext w:val="0"/>
        <w:spacing w:before="0" w:beforeAutospacing="0" w:after="200" w:afterAutospacing="0" w:line="273" w:lineRule="auto"/>
        <w:widowControl/>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法定代表人或授权代表(签名)： ___________________</w:t>
      </w:r>
      <w:r/>
    </w:p>
    <w:p>
      <w:pPr>
        <w:jc w:val="center"/>
        <w:spacing w:line="360" w:lineRule="auto"/>
        <w:rPr>
          <w:rFonts w:hint="eastAsia" w:ascii="宋体" w:hAnsi="宋体" w:eastAsia="宋体" w:cs="宋体"/>
          <w:color w:val="000000"/>
          <w:sz w:val="32"/>
          <w:szCs w:val="32"/>
          <w:highlight w:val="none"/>
        </w:rPr>
      </w:pPr>
      <w:r>
        <w:rPr>
          <w:rFonts w:hint="eastAsia" w:ascii="宋体" w:hAnsi="宋体" w:eastAsia="宋体" w:cs="宋体"/>
          <w:b/>
          <w:bCs/>
          <w:color w:val="000000"/>
          <w:sz w:val="32"/>
          <w:szCs w:val="32"/>
          <w:highlight w:val="none"/>
        </w:rPr>
        <w:br w:type="page" w:clear="all"/>
      </w:r>
      <w:r>
        <w:rPr>
          <w:rFonts w:hint="eastAsia" w:ascii="宋体" w:hAnsi="宋体" w:eastAsia="宋体" w:cs="宋体"/>
          <w:b/>
          <w:color w:val="000000"/>
          <w:sz w:val="28"/>
          <w:szCs w:val="28"/>
          <w:highlight w:val="none"/>
        </w:rPr>
        <w:t xml:space="preserve">第六章 采购需求</w:t>
      </w:r>
      <w:bookmarkStart w:id="1" w:name="_Toc324452802"/>
      <w:r/>
      <w:bookmarkEnd w:id="1"/>
      <w:r/>
      <w:bookmarkStart w:id="2" w:name="_Toc322457054"/>
      <w:r/>
      <w:bookmarkEnd w:id="2"/>
      <w:r/>
      <w:r/>
    </w:p>
    <w:p>
      <w:pPr>
        <w:pStyle w:val="748"/>
        <w:ind w:firstLine="482"/>
        <w:jc w:val="left"/>
        <w:keepLines w:val="0"/>
        <w:keepNext w:val="0"/>
        <w:pageBreakBefore w:val="0"/>
        <w:spacing w:line="360" w:lineRule="auto"/>
        <w:widowControl w:val="off"/>
        <w:rPr>
          <w:rFonts w:hint="eastAsia" w:ascii="宋体" w:hAnsi="宋体" w:eastAsia="宋体" w:cs="宋体"/>
          <w:b/>
          <w:bCs/>
          <w:color w:val="000000"/>
          <w:sz w:val="24"/>
          <w:szCs w:val="24"/>
          <w:highlight w:val="none"/>
        </w:rPr>
      </w:pPr>
      <w:r/>
      <w:bookmarkStart w:id="3" w:name="_Toc49090575"/>
      <w:r/>
      <w:bookmarkStart w:id="4" w:name="_Toc26554093"/>
      <w:r>
        <w:rPr>
          <w:rFonts w:hint="eastAsia" w:ascii="宋体" w:hAnsi="宋体" w:eastAsia="宋体" w:cs="宋体"/>
          <w:b/>
          <w:bCs/>
          <w:color w:val="000000"/>
          <w:sz w:val="24"/>
          <w:szCs w:val="24"/>
          <w:highlight w:val="none"/>
        </w:rPr>
        <w:t xml:space="preserve">一、采购标的</w:t>
      </w:r>
      <w:r/>
    </w:p>
    <w:p>
      <w:pPr>
        <w:ind w:firstLine="480"/>
        <w:keepLines w:val="0"/>
        <w:keepNext w:val="0"/>
        <w:pageBreakBefore w:val="0"/>
        <w:spacing w:line="360"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1.采购人：</w:t>
      </w:r>
      <w:r>
        <w:rPr>
          <w:rFonts w:hint="eastAsia" w:ascii="宋体" w:hAnsi="宋体" w:eastAsia="宋体" w:cs="宋体"/>
          <w:color w:val="000000"/>
          <w:sz w:val="24"/>
          <w:szCs w:val="24"/>
          <w:highlight w:val="none"/>
          <w:lang w:eastAsia="zh-CN"/>
        </w:rPr>
        <w:t xml:space="preserve">江苏省沛县中学</w:t>
      </w:r>
      <w:r/>
    </w:p>
    <w:p>
      <w:pPr>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2.项目名称：</w:t>
      </w:r>
      <w:r>
        <w:rPr>
          <w:rFonts w:hint="eastAsia" w:ascii="宋体" w:hAnsi="宋体" w:cs="宋体"/>
          <w:color w:val="000000"/>
          <w:sz w:val="24"/>
          <w:szCs w:val="24"/>
          <w:highlight w:val="none"/>
          <w:lang w:eastAsia="zh-CN"/>
        </w:rPr>
        <w:t xml:space="preserve">江苏省沛县中学校园文化智能化采购</w:t>
      </w:r>
      <w:r>
        <w:rPr>
          <w:rFonts w:hint="eastAsia" w:ascii="宋体" w:hAnsi="宋体" w:eastAsia="宋体" w:cs="宋体"/>
          <w:color w:val="000000"/>
          <w:sz w:val="24"/>
          <w:szCs w:val="24"/>
          <w:highlight w:val="none"/>
          <w:lang w:eastAsia="zh-CN"/>
        </w:rPr>
        <w:t xml:space="preserve">项目</w:t>
      </w:r>
      <w:r>
        <w:rPr>
          <w:rFonts w:hint="eastAsia" w:ascii="宋体" w:hAnsi="宋体" w:eastAsia="宋体" w:cs="宋体"/>
          <w:color w:val="000000"/>
          <w:sz w:val="24"/>
          <w:szCs w:val="24"/>
          <w:highlight w:val="none"/>
        </w:rPr>
        <w:t xml:space="preserve">。</w:t>
      </w:r>
      <w:r/>
    </w:p>
    <w:p>
      <w:pPr>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3.采购标的：具体详见本招标文件第六章《采购需求》中“</w:t>
      </w:r>
      <w:r>
        <w:rPr>
          <w:rFonts w:hint="eastAsia" w:ascii="宋体" w:hAnsi="宋体" w:eastAsia="宋体" w:cs="宋体"/>
          <w:b w:val="0"/>
          <w:bCs w:val="0"/>
          <w:color w:val="000000"/>
          <w:sz w:val="24"/>
          <w:highlight w:val="none"/>
          <w:lang w:val="en-US" w:eastAsia="zh-CN"/>
        </w:rPr>
        <w:t xml:space="preserve">采购清单及技术参数规格要求</w:t>
      </w:r>
      <w:r>
        <w:rPr>
          <w:rFonts w:hint="eastAsia" w:ascii="宋体" w:hAnsi="宋体" w:eastAsia="宋体" w:cs="宋体"/>
          <w:color w:val="000000"/>
          <w:sz w:val="24"/>
          <w:szCs w:val="24"/>
          <w:highlight w:val="none"/>
        </w:rPr>
        <w:t xml:space="preserve">”。</w:t>
      </w:r>
      <w:r/>
    </w:p>
    <w:p>
      <w:pPr>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4.本次采购的为非进口产品。</w:t>
      </w:r>
      <w:r/>
    </w:p>
    <w:p>
      <w:pPr>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w:t>
      </w:r>
      <w:r>
        <w:rPr>
          <w:rFonts w:hint="eastAsia" w:ascii="宋体" w:hAnsi="宋体" w:eastAsia="宋体" w:cs="宋体"/>
          <w:color w:val="000000"/>
          <w:sz w:val="24"/>
          <w:szCs w:val="24"/>
        </w:rPr>
        <w:t xml:space="preserve">本项目</w:t>
      </w:r>
      <w:r>
        <w:rPr>
          <w:rFonts w:hint="eastAsia" w:ascii="宋体" w:hAnsi="宋体" w:eastAsia="宋体" w:cs="宋体"/>
          <w:b/>
          <w:bCs/>
          <w:color w:val="000000"/>
          <w:sz w:val="24"/>
          <w:szCs w:val="24"/>
        </w:rPr>
        <w:t xml:space="preserve">不属于</w:t>
      </w:r>
      <w:r>
        <w:rPr>
          <w:rFonts w:hint="eastAsia" w:ascii="宋体" w:hAnsi="宋体" w:eastAsia="宋体" w:cs="宋体"/>
          <w:color w:val="000000"/>
          <w:sz w:val="24"/>
          <w:szCs w:val="24"/>
        </w:rPr>
        <w:t xml:space="preserve">专门面向中小企业采购的项目</w:t>
      </w:r>
      <w:r>
        <w:rPr>
          <w:rFonts w:hint="eastAsia" w:ascii="宋体" w:hAnsi="宋体" w:eastAsia="宋体" w:cs="宋体"/>
          <w:color w:val="000000"/>
          <w:sz w:val="24"/>
          <w:szCs w:val="24"/>
          <w:highlight w:val="none"/>
        </w:rPr>
        <w:t xml:space="preserve">。</w:t>
      </w:r>
      <w:r/>
    </w:p>
    <w:p>
      <w:pPr>
        <w:ind w:firstLine="480"/>
        <w:keepLines w:val="0"/>
        <w:keepNext w:val="0"/>
        <w:pageBreakBefore w:val="0"/>
        <w:spacing w:line="360" w:lineRule="auto"/>
        <w:widowControl w:val="off"/>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6.</w:t>
      </w:r>
      <w:r>
        <w:rPr>
          <w:rFonts w:hint="eastAsia" w:ascii="宋体" w:hAnsi="宋体" w:cs="宋体"/>
          <w:color w:val="000000"/>
          <w:sz w:val="24"/>
          <w:szCs w:val="24"/>
          <w:highlight w:val="none"/>
          <w:lang w:eastAsia="zh-CN"/>
        </w:rPr>
        <w:t xml:space="preserve">江苏省沛县中学校园文化智能化采购</w:t>
      </w:r>
      <w:r>
        <w:rPr>
          <w:rFonts w:hint="eastAsia" w:ascii="宋体" w:hAnsi="宋体" w:eastAsia="宋体" w:cs="宋体"/>
          <w:color w:val="000000"/>
          <w:sz w:val="24"/>
          <w:szCs w:val="24"/>
          <w:highlight w:val="none"/>
          <w:lang w:eastAsia="zh-CN"/>
        </w:rPr>
        <w:t xml:space="preserve">项目</w:t>
      </w:r>
      <w:r>
        <w:rPr>
          <w:rFonts w:hint="eastAsia" w:ascii="宋体" w:hAnsi="宋体" w:eastAsia="宋体" w:cs="宋体"/>
          <w:color w:val="000000"/>
          <w:sz w:val="24"/>
          <w:szCs w:val="24"/>
          <w:highlight w:val="none"/>
        </w:rPr>
        <w:t xml:space="preserve">采购对应的中小企业划分标准所属行业为</w:t>
      </w:r>
      <w:r>
        <w:rPr>
          <w:rFonts w:hint="eastAsia" w:ascii="宋体" w:hAnsi="宋体" w:eastAsia="宋体" w:cs="宋体"/>
          <w:color w:val="000000"/>
          <w:sz w:val="24"/>
          <w:szCs w:val="24"/>
          <w:highlight w:val="none"/>
          <w:u w:val="single"/>
        </w:rPr>
        <w:t xml:space="preserve">工业</w:t>
      </w:r>
      <w:r>
        <w:rPr>
          <w:rFonts w:hint="eastAsia" w:ascii="宋体" w:hAnsi="宋体" w:eastAsia="宋体" w:cs="宋体"/>
          <w:color w:val="000000"/>
          <w:sz w:val="24"/>
          <w:szCs w:val="24"/>
          <w:highlight w:val="none"/>
        </w:rPr>
        <w:t xml:space="preserve">。</w:t>
      </w:r>
      <w:r/>
    </w:p>
    <w:p>
      <w:pPr>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注：中小企业划分标准所属行业以《工业和信息化部、国家统计局、国家发展和改革委员会、财政部关于印发中小企业划型标准规定的通知》（工信部联企业[2011]300号）的规定为准：</w:t>
      </w:r>
      <w:r/>
    </w:p>
    <w:p>
      <w:pPr>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pStyle w:val="766"/>
        <w:ind w:firstLine="482"/>
        <w:keepLines w:val="0"/>
        <w:keepNext w:val="0"/>
        <w:pageBreakBefore w:val="0"/>
        <w:spacing w:line="360" w:lineRule="auto"/>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二、采购项目预算金额</w:t>
      </w:r>
      <w:r/>
    </w:p>
    <w:p>
      <w:pPr>
        <w:ind w:firstLine="482"/>
        <w:jc w:val="left"/>
        <w:keepLines w:val="0"/>
        <w:keepNext w:val="0"/>
        <w:pageBreakBefore w:val="0"/>
        <w:spacing w:line="360" w:lineRule="auto"/>
        <w:widowControl w:val="off"/>
        <w:rPr>
          <w:rFonts w:hint="eastAsia" w:ascii="宋体" w:hAnsi="宋体" w:eastAsia="宋体" w:cs="宋体"/>
          <w:b w:val="0"/>
          <w:i w:val="0"/>
          <w:iCs w:val="0"/>
          <w:caps w:val="0"/>
          <w:strike w:val="0"/>
          <w:color w:val="000000"/>
          <w:spacing w:val="0"/>
          <w:sz w:val="24"/>
          <w:szCs w:val="24"/>
          <w:highlight w:val="none"/>
          <w:u w:val="none"/>
          <w:lang w:val="en-US" w:eastAsia="zh-CN" w:bidi="ar-SA"/>
        </w:rPr>
      </w:pPr>
      <w:r>
        <w:rPr>
          <w:rFonts w:hint="eastAsia" w:ascii="宋体" w:hAnsi="宋体" w:eastAsia="宋体" w:cs="宋体"/>
          <w:b/>
          <w:bCs/>
          <w:color w:val="000000"/>
          <w:sz w:val="24"/>
          <w:szCs w:val="24"/>
          <w:highlight w:val="none"/>
        </w:rPr>
        <w:t xml:space="preserve">本项目不接受超过</w:t>
      </w:r>
      <w:r>
        <w:rPr>
          <w:rFonts w:hint="eastAsia" w:ascii="宋体" w:hAnsi="宋体" w:cs="宋体"/>
          <w:b/>
          <w:bCs/>
          <w:i w:val="0"/>
          <w:iCs w:val="0"/>
          <w:caps w:val="0"/>
          <w:strike w:val="0"/>
          <w:color w:val="000000"/>
          <w:spacing w:val="0"/>
          <w:sz w:val="24"/>
          <w:szCs w:val="24"/>
          <w:highlight w:val="none"/>
          <w:u w:val="none"/>
          <w:lang w:val="en-US" w:eastAsia="zh-CN"/>
        </w:rPr>
        <w:t xml:space="preserve">343 万元</w:t>
      </w:r>
      <w:r>
        <w:rPr>
          <w:rFonts w:hint="eastAsia" w:ascii="宋体" w:hAnsi="宋体" w:eastAsia="宋体" w:cs="宋体"/>
          <w:b/>
          <w:bCs/>
          <w:color w:val="000000"/>
          <w:sz w:val="24"/>
          <w:szCs w:val="24"/>
          <w:highlight w:val="none"/>
        </w:rPr>
        <w:t xml:space="preserve">人民币（采购项目预算金额）的投标报价</w:t>
      </w:r>
      <w:r>
        <w:rPr>
          <w:rFonts w:hint="eastAsia" w:ascii="宋体" w:hAnsi="宋体" w:eastAsia="宋体" w:cs="宋体"/>
          <w:b w:val="0"/>
          <w:i w:val="0"/>
          <w:iCs w:val="0"/>
          <w:caps w:val="0"/>
          <w:strike w:val="0"/>
          <w:color w:val="000000"/>
          <w:spacing w:val="0"/>
          <w:sz w:val="24"/>
          <w:szCs w:val="24"/>
          <w:highlight w:val="none"/>
          <w:u w:val="none"/>
          <w:lang w:eastAsia="zh-CN"/>
        </w:rPr>
        <w:t xml:space="preserve">。</w:t>
      </w:r>
      <w:r>
        <w:rPr>
          <w:rFonts w:hint="eastAsia" w:ascii="宋体" w:hAnsi="宋体" w:eastAsia="宋体" w:cs="宋体"/>
          <w:b w:val="0"/>
          <w:i w:val="0"/>
          <w:iCs w:val="0"/>
          <w:caps w:val="0"/>
          <w:strike w:val="0"/>
          <w:color w:val="000000"/>
          <w:spacing w:val="0"/>
          <w:sz w:val="24"/>
          <w:szCs w:val="24"/>
          <w:highlight w:val="none"/>
          <w:u w:val="none"/>
          <w:lang w:val="en-US" w:eastAsia="zh-CN" w:bidi="ar-SA"/>
        </w:rPr>
        <w:t xml:space="preserve">报价包括产品价、税金、运费、检验、调试、售后服务、安装费、培训费用等全部费用，采购人不再支付报价以外的任何费用。</w:t>
      </w:r>
      <w:r/>
    </w:p>
    <w:p>
      <w:pPr>
        <w:ind w:left="0" w:right="0" w:firstLine="482"/>
        <w:jc w:val="both"/>
        <w:spacing w:before="0" w:after="0" w:line="360" w:lineRule="auto"/>
        <w:rPr>
          <w:rFonts w:hint="eastAsia" w:ascii="宋体" w:hAnsi="宋体" w:eastAsia="宋体" w:cs="宋体"/>
          <w:b/>
          <w:bCs/>
          <w:color w:val="000000"/>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highlight w:val="none"/>
        </w:rPr>
        <w:t xml:space="preserve">三、</w:t>
      </w:r>
      <w:r>
        <w:rPr>
          <w:rFonts w:hint="eastAsia" w:ascii="宋体" w:hAnsi="宋体" w:eastAsia="宋体" w:cs="宋体"/>
          <w:b/>
          <w:bCs/>
          <w:color w:val="000000"/>
          <w:sz w:val="24"/>
          <w:highlight w:val="none"/>
          <w:lang w:val="en-US" w:eastAsia="zh-CN"/>
        </w:rPr>
        <w:t xml:space="preserve">采购清单及技术参数规格要求</w:t>
      </w:r>
      <w:bookmarkEnd w:id="3"/>
      <w:bookmarkEnd w:id="4"/>
      <w:r/>
    </w:p>
    <w:tbl>
      <w:tblPr>
        <w:tblStyle w:val="739"/>
        <w:tblW w:w="8797" w:type="dxa"/>
        <w:tblInd w:w="-17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749"/>
        <w:gridCol w:w="1344"/>
        <w:gridCol w:w="4751"/>
        <w:gridCol w:w="982"/>
        <w:gridCol w:w="971"/>
      </w:tblGrid>
      <w:tr>
        <w:trPr>
          <w:trHeight w:val="171"/>
        </w:trPr>
        <w:tc>
          <w:tcPr>
            <w:shd w:val="clear" w:color="auto" w:fill="auto"/>
            <w:tcW w:w="749" w:type="dxa"/>
            <w:vAlign w:val="center"/>
            <w:textDirection w:val="lrTb"/>
            <w:noWrap w:val="false"/>
          </w:tcPr>
          <w:p>
            <w:pPr>
              <w:jc w:val="center"/>
              <w:keepLines w:val="0"/>
              <w:keepNext w:val="0"/>
              <w:widowControl/>
              <w:rPr>
                <w:rFonts w:hint="eastAsia" w:asciiTheme="minorEastAsia" w:hAnsiTheme="minorEastAsia" w:eastAsiaTheme="minorEastAsia" w:cstheme="minorEastAsia"/>
                <w:b/>
                <w:bCs/>
                <w:i w:val="0"/>
                <w:iCs w:val="0"/>
                <w:color w:val="000000"/>
                <w:sz w:val="22"/>
                <w:szCs w:val="22"/>
                <w:u w:val="none"/>
                <w:lang w:val="en-US" w:eastAsia="zh-CN" w:bidi="ar"/>
              </w:rPr>
              <w:suppressLineNumbers w:val="0"/>
            </w:pPr>
            <w:r>
              <w:rPr>
                <w:rFonts w:hint="eastAsia" w:asciiTheme="minorEastAsia" w:hAnsiTheme="minorEastAsia" w:eastAsiaTheme="minorEastAsia" w:cstheme="minorEastAsia"/>
                <w:b/>
                <w:bCs/>
                <w:i w:val="0"/>
                <w:iCs w:val="0"/>
                <w:color w:val="000000"/>
                <w:sz w:val="22"/>
                <w:szCs w:val="22"/>
                <w:u w:val="none"/>
                <w:lang w:val="en-US" w:eastAsia="zh-CN" w:bidi="ar"/>
              </w:rPr>
              <w:t xml:space="preserve">序号</w:t>
            </w:r>
            <w:r/>
          </w:p>
        </w:tc>
        <w:tc>
          <w:tcPr>
            <w:shd w:val="clear" w:color="auto" w:fill="auto"/>
            <w:tcW w:w="1344" w:type="dxa"/>
            <w:vAlign w:val="center"/>
            <w:textDirection w:val="lrTb"/>
            <w:noWrap w:val="false"/>
          </w:tcPr>
          <w:p>
            <w:pPr>
              <w:jc w:val="center"/>
              <w:keepLines w:val="0"/>
              <w:keepNext w:val="0"/>
              <w:widowControl/>
              <w:rPr>
                <w:rFonts w:hint="eastAsia" w:asciiTheme="minorEastAsia" w:hAnsiTheme="minorEastAsia" w:eastAsiaTheme="minorEastAsia" w:cstheme="minorEastAsia"/>
                <w:b/>
                <w:bCs/>
                <w:i w:val="0"/>
                <w:iCs w:val="0"/>
                <w:color w:val="000000"/>
                <w:sz w:val="22"/>
                <w:szCs w:val="22"/>
                <w:u w:val="none"/>
                <w:lang w:val="en-US" w:eastAsia="zh-CN" w:bidi="ar"/>
              </w:rPr>
              <w:suppressLineNumbers w:val="0"/>
            </w:pPr>
            <w:r>
              <w:rPr>
                <w:rFonts w:hint="eastAsia" w:asciiTheme="minorEastAsia" w:hAnsiTheme="minorEastAsia" w:eastAsiaTheme="minorEastAsia" w:cstheme="minorEastAsia"/>
                <w:b/>
                <w:bCs/>
                <w:i w:val="0"/>
                <w:iCs w:val="0"/>
                <w:color w:val="000000"/>
                <w:sz w:val="22"/>
                <w:szCs w:val="22"/>
                <w:u w:val="none"/>
                <w:lang w:val="en-US" w:eastAsia="zh-CN" w:bidi="ar"/>
              </w:rPr>
              <w:t xml:space="preserve">设备名称</w:t>
            </w:r>
            <w:r/>
          </w:p>
        </w:tc>
        <w:tc>
          <w:tcPr>
            <w:shd w:val="clear" w:color="auto" w:fill="auto"/>
            <w:tcW w:w="4751" w:type="dxa"/>
            <w:vAlign w:val="center"/>
            <w:textDirection w:val="lrTb"/>
            <w:noWrap w:val="false"/>
          </w:tcPr>
          <w:p>
            <w:pPr>
              <w:jc w:val="center"/>
              <w:keepLines w:val="0"/>
              <w:keepNext w:val="0"/>
              <w:widowControl/>
              <w:rPr>
                <w:rFonts w:hint="eastAsia" w:asciiTheme="minorEastAsia" w:hAnsiTheme="minorEastAsia" w:eastAsiaTheme="minorEastAsia" w:cstheme="minorEastAsia"/>
                <w:b/>
                <w:bCs/>
                <w:i w:val="0"/>
                <w:iCs w:val="0"/>
                <w:color w:val="000000"/>
                <w:sz w:val="22"/>
                <w:szCs w:val="22"/>
                <w:u w:val="none"/>
                <w:lang w:val="en-US" w:eastAsia="zh-CN" w:bidi="ar"/>
              </w:rPr>
              <w:suppressLineNumbers w:val="0"/>
            </w:pPr>
            <w:r>
              <w:rPr>
                <w:rFonts w:hint="eastAsia" w:asciiTheme="minorEastAsia" w:hAnsiTheme="minorEastAsia" w:eastAsiaTheme="minorEastAsia" w:cstheme="minorEastAsia"/>
                <w:b/>
                <w:bCs/>
                <w:i w:val="0"/>
                <w:iCs w:val="0"/>
                <w:color w:val="000000"/>
                <w:sz w:val="22"/>
                <w:szCs w:val="22"/>
                <w:u w:val="none"/>
                <w:lang w:val="en-US" w:eastAsia="zh-CN" w:bidi="ar"/>
              </w:rPr>
              <w:t xml:space="preserve">主要规格、技术参数要求</w:t>
            </w:r>
            <w:r/>
          </w:p>
        </w:tc>
        <w:tc>
          <w:tcPr>
            <w:shd w:val="clear" w:color="auto" w:fill="auto"/>
            <w:tcW w:w="982" w:type="dxa"/>
            <w:vAlign w:val="center"/>
            <w:textDirection w:val="lrTb"/>
            <w:noWrap w:val="false"/>
          </w:tcPr>
          <w:p>
            <w:pPr>
              <w:jc w:val="center"/>
              <w:keepLines w:val="0"/>
              <w:keepNext w:val="0"/>
              <w:widowControl/>
              <w:rPr>
                <w:rFonts w:hint="eastAsia" w:asciiTheme="minorEastAsia" w:hAnsiTheme="minorEastAsia" w:eastAsiaTheme="minorEastAsia" w:cstheme="minorEastAsia"/>
                <w:b/>
                <w:bCs/>
                <w:i w:val="0"/>
                <w:iCs w:val="0"/>
                <w:color w:val="000000"/>
                <w:sz w:val="22"/>
                <w:szCs w:val="22"/>
                <w:u w:val="none"/>
                <w:lang w:val="en-US" w:eastAsia="zh-CN" w:bidi="ar"/>
              </w:rPr>
              <w:suppressLineNumbers w:val="0"/>
            </w:pPr>
            <w:r>
              <w:rPr>
                <w:rFonts w:hint="eastAsia" w:asciiTheme="minorEastAsia" w:hAnsiTheme="minorEastAsia" w:eastAsiaTheme="minorEastAsia" w:cstheme="minorEastAsia"/>
                <w:b/>
                <w:bCs/>
                <w:i w:val="0"/>
                <w:iCs w:val="0"/>
                <w:color w:val="000000"/>
                <w:sz w:val="22"/>
                <w:szCs w:val="22"/>
                <w:u w:val="none"/>
                <w:lang w:val="en-US" w:eastAsia="zh-CN" w:bidi="ar"/>
              </w:rPr>
              <w:t xml:space="preserve">单位</w:t>
            </w:r>
            <w:r/>
          </w:p>
        </w:tc>
        <w:tc>
          <w:tcPr>
            <w:shd w:val="clear" w:color="auto" w:fill="auto"/>
            <w:tcW w:w="971" w:type="dxa"/>
            <w:vAlign w:val="center"/>
            <w:textDirection w:val="lrTb"/>
            <w:noWrap w:val="false"/>
          </w:tcPr>
          <w:p>
            <w:pPr>
              <w:jc w:val="center"/>
              <w:keepLines w:val="0"/>
              <w:keepNext w:val="0"/>
              <w:widowControl/>
              <w:rPr>
                <w:rFonts w:hint="eastAsia" w:asciiTheme="minorEastAsia" w:hAnsiTheme="minorEastAsia" w:eastAsiaTheme="minorEastAsia" w:cstheme="minorEastAsia"/>
                <w:b/>
                <w:bCs/>
                <w:i w:val="0"/>
                <w:iCs w:val="0"/>
                <w:color w:val="000000"/>
                <w:sz w:val="22"/>
                <w:szCs w:val="22"/>
                <w:u w:val="none"/>
                <w:lang w:val="en-US" w:eastAsia="zh-CN" w:bidi="ar"/>
              </w:rPr>
              <w:suppressLineNumbers w:val="0"/>
            </w:pPr>
            <w:r>
              <w:rPr>
                <w:rFonts w:hint="eastAsia" w:asciiTheme="minorEastAsia" w:hAnsiTheme="minorEastAsia" w:eastAsiaTheme="minorEastAsia" w:cstheme="minorEastAsia"/>
                <w:b/>
                <w:bCs/>
                <w:i w:val="0"/>
                <w:iCs w:val="0"/>
                <w:color w:val="000000"/>
                <w:sz w:val="22"/>
                <w:szCs w:val="22"/>
                <w:u w:val="none"/>
                <w:lang w:val="en-US" w:eastAsia="zh-CN" w:bidi="ar"/>
              </w:rPr>
              <w:t xml:space="preserve">数量</w:t>
            </w:r>
            <w:r/>
          </w:p>
        </w:tc>
      </w:tr>
      <w:tr>
        <w:trPr>
          <w:trHeight w:val="171"/>
        </w:trPr>
        <w:tc>
          <w:tcPr>
            <w:gridSpan w:val="5"/>
            <w:shd w:val="clear" w:color="auto" w:fill="auto"/>
            <w:tcW w:w="8797" w:type="dxa"/>
            <w:vAlign w:val="center"/>
            <w:textDirection w:val="lrTb"/>
            <w:noWrap w:val="false"/>
          </w:tcPr>
          <w:p>
            <w:pPr>
              <w:jc w:val="center"/>
              <w:keepLines w:val="0"/>
              <w:keepNext w:val="0"/>
              <w:widowControl/>
              <w:rPr>
                <w:rFonts w:hint="eastAsia" w:asciiTheme="minorEastAsia" w:hAnsiTheme="minorEastAsia" w:eastAsiaTheme="minorEastAsia" w:cstheme="minorEastAsia"/>
                <w:b/>
                <w:bCs/>
                <w:i w:val="0"/>
                <w:iCs w:val="0"/>
                <w:color w:val="000000"/>
                <w:sz w:val="22"/>
                <w:szCs w:val="22"/>
                <w:u w:val="none"/>
                <w:lang w:val="en-US" w:eastAsia="zh-CN" w:bidi="ar"/>
              </w:rPr>
              <w:suppressLineNumbers w:val="0"/>
            </w:pPr>
            <w:r>
              <w:rPr>
                <w:rFonts w:hint="eastAsia" w:asciiTheme="minorEastAsia" w:hAnsiTheme="minorEastAsia" w:eastAsiaTheme="minorEastAsia" w:cstheme="minorEastAsia"/>
                <w:b/>
                <w:bCs/>
                <w:i w:val="0"/>
                <w:iCs w:val="0"/>
                <w:color w:val="000000"/>
                <w:sz w:val="22"/>
                <w:szCs w:val="22"/>
                <w:u w:val="none"/>
                <w:lang w:val="en-US" w:eastAsia="zh-CN" w:bidi="ar"/>
              </w:rPr>
              <w:t xml:space="preserve">校园文化智能化采购清单</w:t>
            </w:r>
            <w:r/>
          </w:p>
        </w:tc>
      </w:tr>
      <w:tr>
        <w:trPr>
          <w:trHeight w:val="90"/>
        </w:trPr>
        <w:tc>
          <w:tcPr>
            <w:shd w:val="clear" w:color="auto" w:fill="auto"/>
            <w:tcW w:w="749"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lang w:val="en-US" w:eastAsia="zh-CN" w:bidi="ar"/>
              </w:rPr>
              <w:t xml:space="preserve">1</w:t>
            </w:r>
            <w:r/>
          </w:p>
        </w:tc>
        <w:tc>
          <w:tcPr>
            <w:shd w:val="clear" w:color="auto" w:fill="auto"/>
            <w:tcW w:w="1344"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lang w:val="en-US" w:eastAsia="zh-CN" w:bidi="ar"/>
              </w:rPr>
              <w:t xml:space="preserve">中控服务器控制系统1</w:t>
            </w:r>
            <w:r/>
          </w:p>
        </w:tc>
        <w:tc>
          <w:tcPr>
            <w:shd w:val="clear" w:color="auto" w:fill="auto"/>
            <w:tcW w:w="4751"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lang w:val="en-US" w:eastAsia="zh-CN" w:bidi="ar"/>
              </w:rPr>
              <w:t xml:space="preserve">1、名称：中控系统</w:t>
            </w:r>
            <w:r>
              <w:rPr>
                <w:rFonts w:hint="eastAsia" w:asciiTheme="minorEastAsia" w:hAnsiTheme="minorEastAsia" w:eastAsiaTheme="minorEastAsia" w:cstheme="minorEastAsia"/>
                <w:i w:val="0"/>
                <w:iCs w:val="0"/>
                <w:color w:val="000000"/>
                <w:sz w:val="20"/>
                <w:szCs w:val="20"/>
                <w:u w:val="none"/>
                <w:lang w:val="en-US" w:eastAsia="zh-CN" w:bidi="ar"/>
              </w:rPr>
              <w:br/>
            </w:r>
            <w:r>
              <w:rPr>
                <w:rFonts w:hint="eastAsia" w:asciiTheme="minorEastAsia" w:hAnsiTheme="minorEastAsia" w:eastAsiaTheme="minorEastAsia" w:cstheme="minorEastAsia"/>
                <w:i w:val="0"/>
                <w:iCs w:val="0"/>
                <w:color w:val="000000"/>
                <w:sz w:val="20"/>
                <w:szCs w:val="20"/>
                <w:u w:val="none"/>
                <w:lang w:val="en-US" w:eastAsia="zh-CN" w:bidi="ar"/>
              </w:rPr>
              <w:t xml:space="preserve">2、规格：展厅中控系统，可以发送命令，用来控制整个设备的状态等，根据设计要求对展项控制，可对单个和整体设备的控制，可以控制投影机的开机和关机，可以控制融合器的开启和关闭，可以分别控制视频的播放、暂停、停止、音量大小等操作，面设计风格简洁，控制按钮模块化设计，自由拖拽布局，同步适应Ios、Android设备，鼠标拖动,即可完成中控设计制作，保存同步即见效果。为通过有线/无线网络智能集成化设计，该系统是可建立在无线局域网的新一代技术平台，性能稳定，不受物理距离限制，</w:t>
            </w:r>
            <w:r>
              <w:rPr>
                <w:rFonts w:hint="eastAsia" w:asciiTheme="minorEastAsia" w:hAnsiTheme="minorEastAsia" w:eastAsiaTheme="minorEastAsia" w:cstheme="minorEastAsia"/>
                <w:i w:val="0"/>
                <w:iCs w:val="0"/>
                <w:color w:val="000000"/>
                <w:sz w:val="20"/>
                <w:szCs w:val="20"/>
                <w:u w:val="none"/>
                <w:lang w:val="en-US" w:eastAsia="zh-CN" w:bidi="ar"/>
              </w:rPr>
              <w:br/>
            </w:r>
            <w:r>
              <w:rPr>
                <w:rFonts w:hint="eastAsia" w:asciiTheme="minorEastAsia" w:hAnsiTheme="minorEastAsia" w:eastAsiaTheme="minorEastAsia" w:cstheme="minorEastAsia"/>
                <w:i w:val="0"/>
                <w:iCs w:val="0"/>
                <w:color w:val="000000"/>
                <w:sz w:val="20"/>
                <w:szCs w:val="20"/>
                <w:u w:val="none"/>
                <w:lang w:val="en-US" w:eastAsia="zh-CN" w:bidi="ar"/>
              </w:rPr>
              <w:t xml:space="preserve">方便客户在移动过程中也能对展厅中各个展项的控制和展示。根据客户实际展项设备情况，控制各类声、光、电，即可实现各个展厅展区集中控制，分区控制、分项控制、级联控制、视频灯光联动控制等方式。 </w:t>
            </w:r>
            <w:r/>
          </w:p>
        </w:tc>
        <w:tc>
          <w:tcPr>
            <w:shd w:val="clear" w:color="auto" w:fill="auto"/>
            <w:tcW w:w="982"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lang w:val="en-US" w:eastAsia="zh-CN" w:bidi="ar"/>
              </w:rPr>
              <w:t xml:space="preserve">套</w:t>
            </w:r>
            <w:r/>
          </w:p>
        </w:tc>
        <w:tc>
          <w:tcPr>
            <w:shd w:val="clear" w:color="auto" w:fill="auto"/>
            <w:tcW w:w="971"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lang w:val="en-US" w:eastAsia="zh-CN" w:bidi="ar"/>
              </w:rPr>
              <w:t xml:space="preserve">1.00 </w:t>
            </w:r>
            <w:r/>
          </w:p>
        </w:tc>
      </w:tr>
      <w:tr>
        <w:trPr>
          <w:trHeight w:val="3962"/>
        </w:trPr>
        <w:tc>
          <w:tcPr>
            <w:shd w:val="clear" w:color="auto" w:fill="auto"/>
            <w:tcW w:w="749"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lang w:val="en-US" w:eastAsia="zh-CN" w:bidi="ar"/>
              </w:rPr>
              <w:t xml:space="preserve">2</w:t>
            </w:r>
            <w:r/>
          </w:p>
        </w:tc>
        <w:tc>
          <w:tcPr>
            <w:shd w:val="clear" w:color="auto" w:fill="auto"/>
            <w:tcW w:w="1344"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lang w:val="en-US" w:eastAsia="zh-CN" w:bidi="ar"/>
              </w:rPr>
              <w:t xml:space="preserve">中控编程软件及编程1</w:t>
            </w:r>
            <w:r/>
          </w:p>
        </w:tc>
        <w:tc>
          <w:tcPr>
            <w:shd w:val="clear" w:color="auto" w:fill="auto"/>
            <w:tcW w:w="4751"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Style w:val="769"/>
                <w:rFonts w:hint="eastAsia" w:asciiTheme="minorEastAsia" w:hAnsiTheme="minorEastAsia" w:eastAsiaTheme="minorEastAsia" w:cstheme="minorEastAsia"/>
                <w:lang w:val="en-US" w:eastAsia="zh-CN" w:bidi="ar"/>
              </w:rPr>
              <w:t xml:space="preserve">1、名称：中控编程软件及编程</w:t>
            </w:r>
            <w:r>
              <w:rPr>
                <w:rStyle w:val="769"/>
                <w:rFonts w:hint="eastAsia" w:asciiTheme="minorEastAsia" w:hAnsiTheme="minorEastAsia" w:eastAsiaTheme="minorEastAsia" w:cstheme="minorEastAsia"/>
                <w:lang w:val="en-US" w:eastAsia="zh-CN" w:bidi="ar"/>
              </w:rPr>
              <w:br/>
            </w:r>
            <w:r>
              <w:rPr>
                <w:rStyle w:val="769"/>
                <w:rFonts w:hint="eastAsia" w:asciiTheme="minorEastAsia" w:hAnsiTheme="minorEastAsia" w:eastAsiaTheme="minorEastAsia" w:cstheme="minorEastAsia"/>
                <w:lang w:val="en-US" w:eastAsia="zh-CN" w:bidi="ar"/>
              </w:rPr>
              <w:t xml:space="preserve">支持 Lua/Python 编程与网络化控制，预置 KNX、Zigbee 协议，提供免费基础定制，适配中小展馆成本需求。</w:t>
            </w:r>
            <w:r>
              <w:rPr>
                <w:rStyle w:val="775"/>
                <w:rFonts w:hint="eastAsia" w:asciiTheme="minorEastAsia" w:hAnsiTheme="minorEastAsia" w:eastAsiaTheme="minorEastAsia" w:cstheme="minorEastAsia"/>
                <w:lang w:val="en-US" w:eastAsia="zh-CN" w:bidi="ar"/>
              </w:rPr>
              <w:t xml:space="preserve">​</w:t>
            </w:r>
            <w:r>
              <w:rPr>
                <w:rStyle w:val="769"/>
                <w:rFonts w:hint="eastAsia" w:asciiTheme="minorEastAsia" w:hAnsiTheme="minorEastAsia" w:eastAsiaTheme="minorEastAsia" w:cstheme="minorEastAsia"/>
                <w:lang w:val="en-US" w:eastAsia="zh-CN" w:bidi="ar"/>
              </w:rPr>
              <w:br/>
            </w:r>
            <w:r>
              <w:rPr>
                <w:rStyle w:val="769"/>
                <w:rFonts w:hint="eastAsia" w:asciiTheme="minorEastAsia" w:hAnsiTheme="minorEastAsia" w:eastAsiaTheme="minorEastAsia" w:cstheme="minorEastAsia"/>
                <w:lang w:val="en-US" w:eastAsia="zh-CN" w:bidi="ar"/>
              </w:rPr>
              <w:t xml:space="preserve">轻量型软件</w:t>
            </w:r>
            <w:r>
              <w:rPr>
                <w:rStyle w:val="775"/>
                <w:rFonts w:hint="eastAsia" w:asciiTheme="minorEastAsia" w:hAnsiTheme="minorEastAsia" w:eastAsiaTheme="minorEastAsia" w:cstheme="minorEastAsia"/>
                <w:lang w:val="en-US" w:eastAsia="zh-CN" w:bidi="ar"/>
              </w:rPr>
              <w:t xml:space="preserve">​</w:t>
            </w:r>
            <w:r>
              <w:rPr>
                <w:rStyle w:val="769"/>
                <w:rFonts w:hint="eastAsia" w:asciiTheme="minorEastAsia" w:hAnsiTheme="minorEastAsia" w:eastAsiaTheme="minorEastAsia" w:cstheme="minorEastAsia"/>
                <w:lang w:val="en-US" w:eastAsia="zh-CN" w:bidi="ar"/>
              </w:rPr>
              <w:br/>
            </w:r>
            <w:r>
              <w:rPr>
                <w:rStyle w:val="769"/>
                <w:rFonts w:hint="eastAsia" w:asciiTheme="minorEastAsia" w:hAnsiTheme="minorEastAsia" w:eastAsiaTheme="minorEastAsia" w:cstheme="minorEastAsia"/>
                <w:lang w:val="en-US" w:eastAsia="zh-CN" w:bidi="ar"/>
              </w:rPr>
              <w:t xml:space="preserve">如 Extron Global Scripter、Control4 Composer Pro：拖拽式图形界面，无需专业代码，支持 WEB 远程更新，兼容多终端，适配展厅临时调整需求。</w:t>
            </w:r>
            <w:r>
              <w:rPr>
                <w:rStyle w:val="775"/>
                <w:rFonts w:hint="eastAsia" w:asciiTheme="minorEastAsia" w:hAnsiTheme="minorEastAsia" w:eastAsiaTheme="minorEastAsia" w:cstheme="minorEastAsia"/>
                <w:lang w:val="en-US" w:eastAsia="zh-CN" w:bidi="ar"/>
              </w:rPr>
              <w:t xml:space="preserve">​</w:t>
            </w:r>
            <w:r>
              <w:rPr>
                <w:rStyle w:val="769"/>
                <w:rFonts w:hint="eastAsia" w:asciiTheme="minorEastAsia" w:hAnsiTheme="minorEastAsia" w:eastAsiaTheme="minorEastAsia" w:cstheme="minorEastAsia"/>
                <w:lang w:val="en-US" w:eastAsia="zh-CN" w:bidi="ar"/>
              </w:rPr>
              <w:br/>
            </w:r>
            <w:r>
              <w:rPr>
                <w:rStyle w:val="769"/>
                <w:rFonts w:hint="eastAsia" w:asciiTheme="minorEastAsia" w:hAnsiTheme="minorEastAsia" w:eastAsiaTheme="minorEastAsia" w:cstheme="minorEastAsia"/>
                <w:lang w:val="en-US" w:eastAsia="zh-CN" w:bidi="ar"/>
              </w:rPr>
              <w:t xml:space="preserve">二、核心编程参数</w:t>
            </w:r>
            <w:r>
              <w:rPr>
                <w:rStyle w:val="775"/>
                <w:rFonts w:hint="eastAsia" w:asciiTheme="minorEastAsia" w:hAnsiTheme="minorEastAsia" w:eastAsiaTheme="minorEastAsia" w:cstheme="minorEastAsia"/>
                <w:lang w:val="en-US" w:eastAsia="zh-CN" w:bidi="ar"/>
              </w:rPr>
              <w:t xml:space="preserve">​</w:t>
            </w:r>
            <w:r>
              <w:rPr>
                <w:rStyle w:val="769"/>
                <w:rFonts w:hint="eastAsia" w:asciiTheme="minorEastAsia" w:hAnsiTheme="minorEastAsia" w:eastAsiaTheme="minorEastAsia" w:cstheme="minorEastAsia"/>
                <w:lang w:val="en-US" w:eastAsia="zh-CN" w:bidi="ar"/>
              </w:rPr>
              <w:br/>
            </w:r>
            <w:r>
              <w:rPr>
                <w:rStyle w:val="769"/>
                <w:rFonts w:hint="eastAsia" w:asciiTheme="minorEastAsia" w:hAnsiTheme="minorEastAsia" w:eastAsiaTheme="minorEastAsia" w:cstheme="minorEastAsia"/>
                <w:lang w:val="en-US" w:eastAsia="zh-CN" w:bidi="ar"/>
              </w:rPr>
              <w:t xml:space="preserve">通信协议：支持 TCP/IP、UDP，串口波特率 1200-9600bps（数据位 7-8 位、停止位 1-2 位可调）；兼容 RS-232/485、IR、Modbus 等≥8 种协议，可对接安防、照明系统实现跨设备联动。</w:t>
            </w:r>
            <w:r>
              <w:rPr>
                <w:rStyle w:val="775"/>
                <w:rFonts w:hint="eastAsia" w:asciiTheme="minorEastAsia" w:hAnsiTheme="minorEastAsia" w:eastAsiaTheme="minorEastAsia" w:cstheme="minorEastAsia"/>
                <w:lang w:val="en-US" w:eastAsia="zh-CN" w:bidi="ar"/>
              </w:rPr>
              <w:t xml:space="preserve">​</w:t>
            </w:r>
            <w:r>
              <w:rPr>
                <w:rStyle w:val="769"/>
                <w:rFonts w:hint="eastAsia" w:asciiTheme="minorEastAsia" w:hAnsiTheme="minorEastAsia" w:eastAsiaTheme="minorEastAsia" w:cstheme="minorEastAsia"/>
                <w:lang w:val="en-US" w:eastAsia="zh-CN" w:bidi="ar"/>
              </w:rPr>
              <w:br/>
            </w:r>
            <w:r>
              <w:rPr>
                <w:rStyle w:val="769"/>
                <w:rFonts w:hint="eastAsia" w:asciiTheme="minorEastAsia" w:hAnsiTheme="minorEastAsia" w:eastAsiaTheme="minorEastAsia" w:cstheme="minorEastAsia"/>
                <w:lang w:val="en-US" w:eastAsia="zh-CN" w:bidi="ar"/>
              </w:rPr>
              <w:t xml:space="preserve">场景控制：预设≥10 组场景，单场景关联≥32 台设备，切换响应≤50ms；支持时间（如整点播放）、传感器（如红外感应）触发；对接播控可精准操控 16K 视频 / PPT，视频切换无延时，音频音量 0-100 级调节。</w:t>
            </w:r>
            <w:r>
              <w:rPr>
                <w:rStyle w:val="775"/>
                <w:rFonts w:hint="eastAsia" w:asciiTheme="minorEastAsia" w:hAnsiTheme="minorEastAsia" w:eastAsiaTheme="minorEastAsia" w:cstheme="minorEastAsia"/>
                <w:lang w:val="en-US" w:eastAsia="zh-CN" w:bidi="ar"/>
              </w:rPr>
              <w:t xml:space="preserve">​</w:t>
            </w:r>
            <w:r>
              <w:rPr>
                <w:rStyle w:val="769"/>
                <w:rFonts w:hint="eastAsia" w:asciiTheme="minorEastAsia" w:hAnsiTheme="minorEastAsia" w:eastAsiaTheme="minorEastAsia" w:cstheme="minorEastAsia"/>
                <w:lang w:val="en-US" w:eastAsia="zh-CN" w:bidi="ar"/>
              </w:rPr>
              <w:br/>
            </w:r>
            <w:r>
              <w:rPr>
                <w:rStyle w:val="769"/>
                <w:rFonts w:hint="eastAsia" w:asciiTheme="minorEastAsia" w:hAnsiTheme="minorEastAsia" w:eastAsiaTheme="minorEastAsia" w:cstheme="minorEastAsia"/>
                <w:lang w:val="en-US" w:eastAsia="zh-CN" w:bidi="ar"/>
              </w:rPr>
              <w:t xml:space="preserve">性能安全：支持 7×24 小时运行，同步误差＜1ms，MTBF≥50000 小时；双电源冗余，AES256 加密，多用户权限隔离；预留扩展槽位，可新增 Wi-Fi 6、5G 模块。</w:t>
            </w:r>
            <w:r>
              <w:rPr>
                <w:rStyle w:val="775"/>
                <w:rFonts w:hint="eastAsia" w:asciiTheme="minorEastAsia" w:hAnsiTheme="minorEastAsia" w:eastAsiaTheme="minorEastAsia" w:cstheme="minorEastAsia"/>
                <w:lang w:val="en-US" w:eastAsia="zh-CN" w:bidi="ar"/>
              </w:rPr>
              <w:t xml:space="preserve">​</w:t>
            </w:r>
            <w:r>
              <w:rPr>
                <w:rStyle w:val="769"/>
                <w:rFonts w:hint="eastAsia" w:asciiTheme="minorEastAsia" w:hAnsiTheme="minorEastAsia" w:eastAsiaTheme="minorEastAsia" w:cstheme="minorEastAsia"/>
                <w:lang w:val="en-US" w:eastAsia="zh-CN" w:bidi="ar"/>
              </w:rPr>
              <w:br/>
            </w:r>
            <w:r>
              <w:rPr>
                <w:rStyle w:val="769"/>
                <w:rFonts w:hint="eastAsia" w:asciiTheme="minorEastAsia" w:hAnsiTheme="minorEastAsia" w:eastAsiaTheme="minorEastAsia" w:cstheme="minorEastAsia"/>
                <w:lang w:val="en-US" w:eastAsia="zh-CN" w:bidi="ar"/>
              </w:rPr>
              <w:t xml:space="preserve">交互反馈：设备状态（如投影开机）实时回显，误差≤100ms；信号中断自动切换备用设备并告警。</w:t>
            </w:r>
            <w:r/>
          </w:p>
        </w:tc>
        <w:tc>
          <w:tcPr>
            <w:shd w:val="clear" w:color="auto" w:fill="auto"/>
            <w:tcW w:w="982"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lang w:val="en-US" w:eastAsia="zh-CN" w:bidi="ar"/>
              </w:rPr>
              <w:t xml:space="preserve">套</w:t>
            </w:r>
            <w:r/>
          </w:p>
        </w:tc>
        <w:tc>
          <w:tcPr>
            <w:shd w:val="clear" w:color="auto" w:fill="auto"/>
            <w:tcW w:w="971"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lang w:val="en-US" w:eastAsia="zh-CN" w:bidi="ar"/>
              </w:rPr>
              <w:t xml:space="preserve">1.00 </w:t>
            </w:r>
            <w:r/>
          </w:p>
        </w:tc>
      </w:tr>
      <w:tr>
        <w:trPr>
          <w:trHeight w:val="2313"/>
        </w:trPr>
        <w:tc>
          <w:tcPr>
            <w:shd w:val="clear" w:color="auto" w:fill="auto"/>
            <w:tcW w:w="749"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lang w:val="en-US" w:eastAsia="zh-CN" w:bidi="ar"/>
              </w:rPr>
              <w:t xml:space="preserve">3</w:t>
            </w:r>
            <w:r/>
          </w:p>
        </w:tc>
        <w:tc>
          <w:tcPr>
            <w:shd w:val="clear" w:color="auto" w:fill="auto"/>
            <w:tcW w:w="1344"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lang w:val="en-US" w:eastAsia="zh-CN" w:bidi="ar"/>
              </w:rPr>
              <w:t xml:space="preserve">通信接口输入输出设备1</w:t>
            </w:r>
            <w:r/>
          </w:p>
        </w:tc>
        <w:tc>
          <w:tcPr>
            <w:shd w:val="clear" w:color="auto" w:fill="auto"/>
            <w:tcW w:w="4751" w:type="dxa"/>
            <w:vAlign w:val="center"/>
            <w:textDirection w:val="lrTb"/>
            <w:noWrap w:val="false"/>
          </w:tcPr>
          <w:p>
            <w:pPr>
              <w:numPr>
                <w:ilvl w:val="0"/>
                <w:numId w:val="1"/>
              </w:numPr>
              <w:jc w:val="left"/>
              <w:keepLines w:val="0"/>
              <w:keepNext w:val="0"/>
              <w:widowControl/>
              <w:rPr>
                <w:rFonts w:hint="eastAsia" w:asciiTheme="minorEastAsia" w:hAnsiTheme="minorEastAsia" w:eastAsiaTheme="minorEastAsia" w:cstheme="minorEastAsia"/>
                <w:i w:val="0"/>
                <w:iCs w:val="0"/>
                <w:color w:val="000000"/>
                <w:sz w:val="20"/>
                <w:szCs w:val="20"/>
                <w:u w:val="none"/>
                <w:lang w:val="en-US" w:eastAsia="zh-CN" w:bidi="ar"/>
              </w:rPr>
              <w:suppressLineNumbers w:val="0"/>
            </w:pPr>
            <w:r>
              <w:rPr>
                <w:rFonts w:hint="eastAsia" w:asciiTheme="minorEastAsia" w:hAnsiTheme="minorEastAsia" w:eastAsiaTheme="minorEastAsia" w:cstheme="minorEastAsia"/>
                <w:i w:val="0"/>
                <w:iCs w:val="0"/>
                <w:color w:val="000000"/>
                <w:sz w:val="20"/>
                <w:szCs w:val="20"/>
                <w:u w:val="none"/>
                <w:lang w:val="en-US" w:eastAsia="zh-CN" w:bidi="ar"/>
              </w:rPr>
              <w:t xml:space="preserve">名称：  中控转换</w:t>
            </w:r>
            <w:r>
              <w:rPr>
                <w:rFonts w:hint="eastAsia" w:asciiTheme="minorEastAsia" w:hAnsiTheme="minorEastAsia" w:eastAsiaTheme="minorEastAsia" w:cstheme="minorEastAsia"/>
                <w:i w:val="0"/>
                <w:iCs w:val="0"/>
                <w:color w:val="000000"/>
                <w:sz w:val="20"/>
                <w:szCs w:val="20"/>
                <w:u w:val="none"/>
                <w:lang w:val="en-US" w:eastAsia="zh-CN" w:bidi="ar"/>
              </w:rPr>
              <w:br/>
            </w:r>
            <w:r>
              <w:rPr>
                <w:rFonts w:hint="eastAsia" w:asciiTheme="minorEastAsia" w:hAnsiTheme="minorEastAsia" w:eastAsiaTheme="minorEastAsia" w:cstheme="minorEastAsia"/>
                <w:i w:val="0"/>
                <w:iCs w:val="0"/>
                <w:color w:val="000000"/>
                <w:sz w:val="20"/>
                <w:szCs w:val="20"/>
                <w:u w:val="none"/>
                <w:lang w:val="en-US" w:eastAsia="zh-CN" w:bidi="ar"/>
              </w:rPr>
              <w:t xml:space="preserve">模块</w:t>
            </w:r>
            <w:r>
              <w:rPr>
                <w:rFonts w:hint="eastAsia" w:asciiTheme="minorEastAsia" w:hAnsiTheme="minorEastAsia" w:eastAsiaTheme="minorEastAsia" w:cstheme="minorEastAsia"/>
                <w:i w:val="0"/>
                <w:iCs w:val="0"/>
                <w:color w:val="000000"/>
                <w:sz w:val="20"/>
                <w:szCs w:val="20"/>
                <w:u w:val="none"/>
                <w:lang w:val="en-US" w:eastAsia="zh-CN" w:bidi="ar"/>
              </w:rPr>
              <w:br/>
            </w:r>
            <w:r>
              <w:rPr>
                <w:rFonts w:hint="eastAsia" w:asciiTheme="minorEastAsia" w:hAnsiTheme="minorEastAsia" w:eastAsiaTheme="minorEastAsia" w:cstheme="minorEastAsia"/>
                <w:i w:val="0"/>
                <w:iCs w:val="0"/>
                <w:color w:val="000000"/>
                <w:sz w:val="20"/>
                <w:szCs w:val="20"/>
                <w:u w:val="none"/>
                <w:lang w:val="en-US" w:eastAsia="zh-CN" w:bidi="ar"/>
              </w:rPr>
              <w:t xml:space="preserve">参数类别 具体参数</w:t>
            </w:r>
            <w:r>
              <w:rPr>
                <w:rFonts w:hint="eastAsia" w:asciiTheme="minorEastAsia" w:hAnsiTheme="minorEastAsia" w:eastAsiaTheme="minorEastAsia" w:cstheme="minorEastAsia"/>
                <w:i w:val="0"/>
                <w:iCs w:val="0"/>
                <w:color w:val="000000"/>
                <w:sz w:val="20"/>
                <w:szCs w:val="20"/>
                <w:u w:val="none"/>
                <w:lang w:val="en-US" w:eastAsia="zh-CN" w:bidi="ar"/>
              </w:rPr>
              <w:br/>
            </w:r>
            <w:r>
              <w:rPr>
                <w:rFonts w:hint="eastAsia" w:asciiTheme="minorEastAsia" w:hAnsiTheme="minorEastAsia" w:eastAsiaTheme="minorEastAsia" w:cstheme="minorEastAsia"/>
                <w:i w:val="0"/>
                <w:iCs w:val="0"/>
                <w:color w:val="000000"/>
                <w:sz w:val="20"/>
                <w:szCs w:val="20"/>
                <w:u w:val="none"/>
                <w:lang w:val="en-US" w:eastAsia="zh-CN" w:bidi="ar"/>
              </w:rPr>
              <w:t xml:space="preserve">核心性能 最大输入分辨率 4096×2160@60Hz，最大带载 1040 万像素；最宽支持 8192 像素，最高支持 4096 像素；支持 7 画面显示，位置与大小可自由调节，支持亮度、色温调节及低亮高灰功能。</w:t>
            </w:r>
            <w:r>
              <w:rPr>
                <w:rFonts w:hint="eastAsia" w:asciiTheme="minorEastAsia" w:hAnsiTheme="minorEastAsia" w:eastAsiaTheme="minorEastAsia" w:cstheme="minorEastAsia"/>
                <w:i w:val="0"/>
                <w:iCs w:val="0"/>
                <w:color w:val="000000"/>
                <w:sz w:val="20"/>
                <w:szCs w:val="20"/>
                <w:u w:val="none"/>
                <w:lang w:val="en-US" w:eastAsia="zh-CN" w:bidi="ar"/>
              </w:rPr>
              <w:br/>
            </w:r>
            <w:r>
              <w:rPr>
                <w:rFonts w:hint="eastAsia" w:asciiTheme="minorEastAsia" w:hAnsiTheme="minorEastAsia" w:eastAsiaTheme="minorEastAsia" w:cstheme="minorEastAsia"/>
                <w:i w:val="0"/>
                <w:iCs w:val="0"/>
                <w:color w:val="000000"/>
                <w:sz w:val="20"/>
                <w:szCs w:val="20"/>
                <w:u w:val="none"/>
                <w:lang w:val="en-US" w:eastAsia="zh-CN" w:bidi="ar"/>
              </w:rPr>
              <w:t xml:space="preserve">接口规格 输入接口含 1 路 HDMI2.0、4 路 DVI、2 路 SDI - 3G；输出接口为 16 路千兆网口；配备双 USB2.0 接口，用于电脑调试和主控间级联。</w:t>
            </w:r>
            <w:r>
              <w:rPr>
                <w:rFonts w:hint="eastAsia" w:asciiTheme="minorEastAsia" w:hAnsiTheme="minorEastAsia" w:eastAsiaTheme="minorEastAsia" w:cstheme="minorEastAsia"/>
                <w:i w:val="0"/>
                <w:iCs w:val="0"/>
                <w:color w:val="000000"/>
                <w:sz w:val="20"/>
                <w:szCs w:val="20"/>
                <w:u w:val="none"/>
                <w:lang w:val="en-US" w:eastAsia="zh-CN" w:bidi="ar"/>
              </w:rPr>
              <w:br/>
            </w:r>
            <w:r>
              <w:rPr>
                <w:rFonts w:hint="eastAsia" w:asciiTheme="minorEastAsia" w:hAnsiTheme="minorEastAsia" w:eastAsiaTheme="minorEastAsia" w:cstheme="minorEastAsia"/>
                <w:i w:val="0"/>
                <w:iCs w:val="0"/>
                <w:color w:val="000000"/>
                <w:sz w:val="20"/>
                <w:szCs w:val="20"/>
                <w:u w:val="none"/>
                <w:lang w:val="en-US" w:eastAsia="zh-CN" w:bidi="ar"/>
              </w:rPr>
              <w:t xml:space="preserve">电源与物理规格 </w:t>
            </w:r>
            <w:r/>
          </w:p>
          <w:p>
            <w:pPr>
              <w:numPr>
                <w:ilvl w:val="0"/>
                <w:numId w:val="0"/>
              </w:num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lang w:val="en-US" w:eastAsia="zh-CN" w:bidi="ar"/>
              </w:rPr>
              <w:t xml:space="preserve">输入电压 AC100 - 240V（50/60Hz），额定功耗 70W；2U 标准机箱，重量 9kg。</w:t>
            </w:r>
            <w:r>
              <w:rPr>
                <w:rFonts w:hint="eastAsia" w:asciiTheme="minorEastAsia" w:hAnsiTheme="minorEastAsia" w:eastAsiaTheme="minorEastAsia" w:cstheme="minorEastAsia"/>
                <w:i w:val="0"/>
                <w:iCs w:val="0"/>
                <w:color w:val="000000"/>
                <w:sz w:val="20"/>
                <w:szCs w:val="20"/>
                <w:u w:val="none"/>
                <w:lang w:val="en-US" w:eastAsia="zh-CN" w:bidi="ar"/>
              </w:rPr>
              <w:br/>
            </w:r>
            <w:r>
              <w:rPr>
                <w:rFonts w:hint="eastAsia" w:asciiTheme="minorEastAsia" w:hAnsiTheme="minorEastAsia" w:eastAsiaTheme="minorEastAsia" w:cstheme="minorEastAsia"/>
                <w:i w:val="0"/>
                <w:iCs w:val="0"/>
                <w:color w:val="000000"/>
                <w:sz w:val="20"/>
                <w:szCs w:val="20"/>
                <w:u w:val="none"/>
                <w:lang w:val="en-US" w:eastAsia="zh-CN" w:bidi="ar"/>
              </w:rPr>
              <w:t xml:space="preserve">环境适配 工作温度 - 20 - 60℃。</w:t>
            </w:r>
            <w:r/>
          </w:p>
        </w:tc>
        <w:tc>
          <w:tcPr>
            <w:shd w:val="clear" w:color="auto" w:fill="auto"/>
            <w:tcW w:w="982"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lang w:val="en-US" w:eastAsia="zh-CN" w:bidi="ar"/>
              </w:rPr>
              <w:t xml:space="preserve">个</w:t>
            </w:r>
            <w:r/>
          </w:p>
        </w:tc>
        <w:tc>
          <w:tcPr>
            <w:shd w:val="clear" w:color="auto" w:fill="auto"/>
            <w:tcW w:w="971"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lang w:val="en-US" w:eastAsia="zh-CN" w:bidi="ar"/>
              </w:rPr>
              <w:t xml:space="preserve">1.00 </w:t>
            </w:r>
            <w:r/>
          </w:p>
        </w:tc>
      </w:tr>
      <w:tr>
        <w:trPr>
          <w:trHeight w:val="653"/>
        </w:trPr>
        <w:tc>
          <w:tcPr>
            <w:shd w:val="clear" w:color="auto" w:fill="auto"/>
            <w:tcW w:w="749"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lang w:val="en-US" w:eastAsia="zh-CN" w:bidi="ar"/>
              </w:rPr>
              <w:t xml:space="preserve">4</w:t>
            </w:r>
            <w:r/>
          </w:p>
        </w:tc>
        <w:tc>
          <w:tcPr>
            <w:shd w:val="clear" w:color="auto" w:fill="auto"/>
            <w:tcW w:w="1344"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lang w:val="en-US" w:eastAsia="zh-CN" w:bidi="ar"/>
              </w:rPr>
              <w:t xml:space="preserve">控制器1</w:t>
            </w:r>
            <w:r/>
          </w:p>
        </w:tc>
        <w:tc>
          <w:tcPr>
            <w:shd w:val="clear" w:color="auto" w:fill="auto"/>
            <w:tcW w:w="4751"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lang w:val="en-US" w:eastAsia="zh-CN" w:bidi="ar"/>
              </w:rPr>
              <w:suppressLineNumbers w:val="0"/>
            </w:pPr>
            <w:r>
              <w:rPr>
                <w:rFonts w:hint="eastAsia" w:asciiTheme="minorEastAsia" w:hAnsiTheme="minorEastAsia" w:eastAsiaTheme="minorEastAsia" w:cstheme="minorEastAsia"/>
                <w:i w:val="0"/>
                <w:iCs w:val="0"/>
                <w:color w:val="000000"/>
                <w:sz w:val="20"/>
                <w:szCs w:val="20"/>
                <w:u w:val="none"/>
                <w:lang w:val="en-US" w:eastAsia="zh-CN" w:bidi="ar"/>
              </w:rPr>
              <w:t xml:space="preserve">75 控制器 </w:t>
            </w:r>
            <w:r/>
          </w:p>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lang w:val="en-US" w:eastAsia="zh-CN" w:bidi="ar"/>
              </w:rPr>
              <w:t xml:space="preserve">1、名称：智能灯光控制器</w:t>
            </w:r>
            <w:r>
              <w:rPr>
                <w:rFonts w:hint="eastAsia" w:asciiTheme="minorEastAsia" w:hAnsiTheme="minorEastAsia" w:eastAsiaTheme="minorEastAsia" w:cstheme="minorEastAsia"/>
                <w:i w:val="0"/>
                <w:iCs w:val="0"/>
                <w:color w:val="000000"/>
                <w:sz w:val="20"/>
                <w:szCs w:val="20"/>
                <w:u w:val="none"/>
                <w:lang w:val="en-US" w:eastAsia="zh-CN" w:bidi="ar"/>
              </w:rPr>
              <w:br/>
            </w:r>
            <w:r>
              <w:rPr>
                <w:rFonts w:hint="eastAsia" w:asciiTheme="minorEastAsia" w:hAnsiTheme="minorEastAsia" w:eastAsiaTheme="minorEastAsia" w:cstheme="minorEastAsia"/>
                <w:i w:val="0"/>
                <w:iCs w:val="0"/>
                <w:color w:val="000000"/>
                <w:sz w:val="20"/>
                <w:szCs w:val="20"/>
                <w:u w:val="none"/>
                <w:lang w:val="en-US" w:eastAsia="zh-CN" w:bidi="ar"/>
              </w:rPr>
              <w:t xml:space="preserve">2、规格：可通过上位机软件自由编程内部资源全部开放让模块兼容性更强；</w:t>
            </w:r>
            <w:r>
              <w:rPr>
                <w:rFonts w:hint="eastAsia" w:asciiTheme="minorEastAsia" w:hAnsiTheme="minorEastAsia" w:eastAsiaTheme="minorEastAsia" w:cstheme="minorEastAsia"/>
                <w:i w:val="0"/>
                <w:iCs w:val="0"/>
                <w:color w:val="000000"/>
                <w:sz w:val="20"/>
                <w:szCs w:val="20"/>
                <w:u w:val="none"/>
                <w:lang w:val="en-US" w:eastAsia="zh-CN" w:bidi="ar"/>
              </w:rPr>
              <w:br/>
            </w:r>
            <w:r>
              <w:rPr>
                <w:rFonts w:hint="eastAsia" w:asciiTheme="minorEastAsia" w:hAnsiTheme="minorEastAsia" w:eastAsiaTheme="minorEastAsia" w:cstheme="minorEastAsia"/>
                <w:i w:val="0"/>
                <w:iCs w:val="0"/>
                <w:color w:val="000000"/>
                <w:sz w:val="20"/>
                <w:szCs w:val="20"/>
                <w:u w:val="none"/>
                <w:lang w:val="en-US" w:eastAsia="zh-CN" w:bidi="ar"/>
              </w:rPr>
              <w:t xml:space="preserve">支持协议转换，协议透传；</w:t>
            </w:r>
            <w:r>
              <w:rPr>
                <w:rFonts w:hint="eastAsia" w:asciiTheme="minorEastAsia" w:hAnsiTheme="minorEastAsia" w:eastAsiaTheme="minorEastAsia" w:cstheme="minorEastAsia"/>
                <w:i w:val="0"/>
                <w:iCs w:val="0"/>
                <w:color w:val="000000"/>
                <w:sz w:val="20"/>
                <w:szCs w:val="20"/>
                <w:u w:val="none"/>
                <w:lang w:val="en-US" w:eastAsia="zh-CN" w:bidi="ar"/>
              </w:rPr>
              <w:br/>
            </w:r>
            <w:r>
              <w:rPr>
                <w:rFonts w:hint="eastAsia" w:asciiTheme="minorEastAsia" w:hAnsiTheme="minorEastAsia" w:eastAsiaTheme="minorEastAsia" w:cstheme="minorEastAsia"/>
                <w:i w:val="0"/>
                <w:iCs w:val="0"/>
                <w:color w:val="000000"/>
                <w:sz w:val="20"/>
                <w:szCs w:val="20"/>
                <w:u w:val="none"/>
                <w:lang w:val="en-US" w:eastAsia="zh-CN" w:bidi="ar"/>
              </w:rPr>
              <w:t xml:space="preserve">8路50A自保持继电器；</w:t>
            </w:r>
            <w:r>
              <w:rPr>
                <w:rFonts w:hint="eastAsia" w:asciiTheme="minorEastAsia" w:hAnsiTheme="minorEastAsia" w:eastAsiaTheme="minorEastAsia" w:cstheme="minorEastAsia"/>
                <w:i w:val="0"/>
                <w:iCs w:val="0"/>
                <w:color w:val="000000"/>
                <w:sz w:val="20"/>
                <w:szCs w:val="20"/>
                <w:u w:val="none"/>
                <w:lang w:val="en-US" w:eastAsia="zh-CN" w:bidi="ar"/>
              </w:rPr>
              <w:br/>
            </w:r>
            <w:r>
              <w:rPr>
                <w:rFonts w:hint="eastAsia" w:asciiTheme="minorEastAsia" w:hAnsiTheme="minorEastAsia" w:eastAsiaTheme="minorEastAsia" w:cstheme="minorEastAsia"/>
                <w:i w:val="0"/>
                <w:iCs w:val="0"/>
                <w:color w:val="000000"/>
                <w:sz w:val="20"/>
                <w:szCs w:val="20"/>
                <w:u w:val="none"/>
                <w:lang w:val="en-US" w:eastAsia="zh-CN" w:bidi="ar"/>
              </w:rPr>
              <w:t xml:space="preserve">继电器自带手动按钮；</w:t>
            </w:r>
            <w:r>
              <w:rPr>
                <w:rFonts w:hint="eastAsia" w:asciiTheme="minorEastAsia" w:hAnsiTheme="minorEastAsia" w:eastAsiaTheme="minorEastAsia" w:cstheme="minorEastAsia"/>
                <w:i w:val="0"/>
                <w:iCs w:val="0"/>
                <w:color w:val="000000"/>
                <w:sz w:val="20"/>
                <w:szCs w:val="20"/>
                <w:u w:val="none"/>
                <w:lang w:val="en-US" w:eastAsia="zh-CN" w:bidi="ar"/>
              </w:rPr>
              <w:br/>
            </w:r>
            <w:r>
              <w:rPr>
                <w:rFonts w:hint="eastAsia" w:asciiTheme="minorEastAsia" w:hAnsiTheme="minorEastAsia" w:eastAsiaTheme="minorEastAsia" w:cstheme="minorEastAsia"/>
                <w:i w:val="0"/>
                <w:iCs w:val="0"/>
                <w:color w:val="000000"/>
                <w:sz w:val="20"/>
                <w:szCs w:val="20"/>
                <w:u w:val="none"/>
                <w:lang w:val="en-US" w:eastAsia="zh-CN" w:bidi="ar"/>
              </w:rPr>
              <w:t xml:space="preserve">8+2路光电隔离输入（开关量）；</w:t>
            </w:r>
            <w:r>
              <w:rPr>
                <w:rFonts w:hint="eastAsia" w:asciiTheme="minorEastAsia" w:hAnsiTheme="minorEastAsia" w:eastAsiaTheme="minorEastAsia" w:cstheme="minorEastAsia"/>
                <w:i w:val="0"/>
                <w:iCs w:val="0"/>
                <w:color w:val="000000"/>
                <w:sz w:val="20"/>
                <w:szCs w:val="20"/>
                <w:u w:val="none"/>
                <w:lang w:val="en-US" w:eastAsia="zh-CN" w:bidi="ar"/>
              </w:rPr>
              <w:br/>
            </w:r>
            <w:r>
              <w:rPr>
                <w:rFonts w:hint="eastAsia" w:asciiTheme="minorEastAsia" w:hAnsiTheme="minorEastAsia" w:eastAsiaTheme="minorEastAsia" w:cstheme="minorEastAsia"/>
                <w:i w:val="0"/>
                <w:iCs w:val="0"/>
                <w:color w:val="000000"/>
                <w:sz w:val="20"/>
                <w:szCs w:val="20"/>
                <w:u w:val="none"/>
                <w:lang w:val="en-US" w:eastAsia="zh-CN" w:bidi="ar"/>
              </w:rPr>
              <w:t xml:space="preserve">支持市面上的485开关与干接</w:t>
            </w:r>
            <w:r>
              <w:rPr>
                <w:rFonts w:hint="eastAsia" w:asciiTheme="minorEastAsia" w:hAnsiTheme="minorEastAsia" w:eastAsiaTheme="minorEastAsia" w:cstheme="minorEastAsia"/>
                <w:i w:val="0"/>
                <w:iCs w:val="0"/>
                <w:color w:val="000000"/>
                <w:sz w:val="20"/>
                <w:szCs w:val="20"/>
                <w:u w:val="none"/>
                <w:lang w:val="en-US" w:eastAsia="zh-CN" w:bidi="ar"/>
              </w:rPr>
              <w:br/>
            </w:r>
            <w:r>
              <w:rPr>
                <w:rFonts w:hint="eastAsia" w:asciiTheme="minorEastAsia" w:hAnsiTheme="minorEastAsia" w:eastAsiaTheme="minorEastAsia" w:cstheme="minorEastAsia"/>
                <w:i w:val="0"/>
                <w:iCs w:val="0"/>
                <w:color w:val="000000"/>
                <w:sz w:val="20"/>
                <w:szCs w:val="20"/>
                <w:u w:val="none"/>
                <w:lang w:val="en-US" w:eastAsia="zh-CN" w:bidi="ar"/>
              </w:rPr>
              <w:t xml:space="preserve">点开关,及传感器的联动；</w:t>
            </w:r>
            <w:r>
              <w:rPr>
                <w:rFonts w:hint="eastAsia" w:asciiTheme="minorEastAsia" w:hAnsiTheme="minorEastAsia" w:eastAsiaTheme="minorEastAsia" w:cstheme="minorEastAsia"/>
                <w:i w:val="0"/>
                <w:iCs w:val="0"/>
                <w:color w:val="000000"/>
                <w:sz w:val="20"/>
                <w:szCs w:val="20"/>
                <w:u w:val="none"/>
                <w:lang w:val="en-US" w:eastAsia="zh-CN" w:bidi="ar"/>
              </w:rPr>
              <w:br/>
            </w:r>
            <w:r>
              <w:rPr>
                <w:rFonts w:hint="eastAsia" w:asciiTheme="minorEastAsia" w:hAnsiTheme="minorEastAsia" w:eastAsiaTheme="minorEastAsia" w:cstheme="minorEastAsia"/>
                <w:i w:val="0"/>
                <w:iCs w:val="0"/>
                <w:color w:val="000000"/>
                <w:sz w:val="20"/>
                <w:szCs w:val="20"/>
                <w:u w:val="none"/>
                <w:lang w:val="en-US" w:eastAsia="zh-CN" w:bidi="ar"/>
              </w:rPr>
              <w:t xml:space="preserve">通信协议支持自定义；</w:t>
            </w:r>
            <w:r>
              <w:rPr>
                <w:rFonts w:hint="eastAsia" w:asciiTheme="minorEastAsia" w:hAnsiTheme="minorEastAsia" w:eastAsiaTheme="minorEastAsia" w:cstheme="minorEastAsia"/>
                <w:i w:val="0"/>
                <w:iCs w:val="0"/>
                <w:color w:val="000000"/>
                <w:sz w:val="20"/>
                <w:szCs w:val="20"/>
                <w:u w:val="none"/>
                <w:lang w:val="en-US" w:eastAsia="zh-CN" w:bidi="ar"/>
              </w:rPr>
              <w:br/>
            </w:r>
            <w:r>
              <w:rPr>
                <w:rFonts w:hint="eastAsia" w:asciiTheme="minorEastAsia" w:hAnsiTheme="minorEastAsia" w:eastAsiaTheme="minorEastAsia" w:cstheme="minorEastAsia"/>
                <w:i w:val="0"/>
                <w:iCs w:val="0"/>
                <w:color w:val="000000"/>
                <w:sz w:val="20"/>
                <w:szCs w:val="20"/>
                <w:u w:val="none"/>
                <w:lang w:val="en-US" w:eastAsia="zh-CN" w:bidi="ar"/>
              </w:rPr>
              <w:t xml:space="preserve">网络同时支持tcp，udp；</w:t>
            </w:r>
            <w:r>
              <w:rPr>
                <w:rFonts w:hint="eastAsia" w:asciiTheme="minorEastAsia" w:hAnsiTheme="minorEastAsia" w:eastAsiaTheme="minorEastAsia" w:cstheme="minorEastAsia"/>
                <w:i w:val="0"/>
                <w:iCs w:val="0"/>
                <w:color w:val="000000"/>
                <w:sz w:val="20"/>
                <w:szCs w:val="20"/>
                <w:u w:val="none"/>
                <w:lang w:val="en-US" w:eastAsia="zh-CN" w:bidi="ar"/>
              </w:rPr>
              <w:br/>
            </w:r>
            <w:r>
              <w:rPr>
                <w:rFonts w:hint="eastAsia" w:asciiTheme="minorEastAsia" w:hAnsiTheme="minorEastAsia" w:eastAsiaTheme="minorEastAsia" w:cstheme="minorEastAsia"/>
                <w:i w:val="0"/>
                <w:iCs w:val="0"/>
                <w:color w:val="000000"/>
                <w:sz w:val="20"/>
                <w:szCs w:val="20"/>
                <w:u w:val="none"/>
                <w:lang w:val="en-US" w:eastAsia="zh-CN" w:bidi="ar"/>
              </w:rPr>
              <w:t xml:space="preserve">内置电源模块；</w:t>
            </w:r>
            <w:r>
              <w:rPr>
                <w:rFonts w:hint="eastAsia" w:asciiTheme="minorEastAsia" w:hAnsiTheme="minorEastAsia" w:eastAsiaTheme="minorEastAsia" w:cstheme="minorEastAsia"/>
                <w:i w:val="0"/>
                <w:iCs w:val="0"/>
                <w:color w:val="000000"/>
                <w:sz w:val="20"/>
                <w:szCs w:val="20"/>
                <w:u w:val="none"/>
                <w:lang w:val="en-US" w:eastAsia="zh-CN" w:bidi="ar"/>
              </w:rPr>
              <w:br/>
            </w:r>
            <w:r>
              <w:rPr>
                <w:rFonts w:hint="eastAsia" w:asciiTheme="minorEastAsia" w:hAnsiTheme="minorEastAsia" w:eastAsiaTheme="minorEastAsia" w:cstheme="minorEastAsia"/>
                <w:i w:val="0"/>
                <w:iCs w:val="0"/>
                <w:color w:val="000000"/>
                <w:sz w:val="20"/>
                <w:szCs w:val="20"/>
                <w:u w:val="none"/>
                <w:lang w:val="en-US" w:eastAsia="zh-CN" w:bidi="ar"/>
              </w:rPr>
              <w:t xml:space="preserve">支持标准导轨安装； 台(套) 2</w:t>
            </w:r>
            <w:r/>
          </w:p>
        </w:tc>
        <w:tc>
          <w:tcPr>
            <w:shd w:val="clear" w:color="auto" w:fill="auto"/>
            <w:tcW w:w="982"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lang w:val="en-US" w:eastAsia="zh-CN" w:bidi="ar"/>
              </w:rPr>
              <w:t xml:space="preserve">台(套</w:t>
            </w:r>
            <w:r>
              <w:rPr>
                <w:rFonts w:hint="eastAsia" w:asciiTheme="minorEastAsia" w:hAnsiTheme="minorEastAsia" w:eastAsiaTheme="minorEastAsia" w:cstheme="minorEastAsia"/>
                <w:i w:val="0"/>
                <w:iCs w:val="0"/>
                <w:color w:val="000000"/>
                <w:sz w:val="20"/>
                <w:szCs w:val="20"/>
                <w:u w:val="none"/>
                <w:lang w:val="en-US" w:eastAsia="zh-CN" w:bidi="ar"/>
              </w:rPr>
              <w:br/>
            </w:r>
            <w:r>
              <w:rPr>
                <w:rFonts w:hint="eastAsia" w:asciiTheme="minorEastAsia" w:hAnsiTheme="minorEastAsia" w:eastAsiaTheme="minorEastAsia" w:cstheme="minorEastAsia"/>
                <w:i w:val="0"/>
                <w:iCs w:val="0"/>
                <w:color w:val="000000"/>
                <w:sz w:val="20"/>
                <w:szCs w:val="20"/>
                <w:u w:val="none"/>
                <w:lang w:val="en-US" w:eastAsia="zh-CN" w:bidi="ar"/>
              </w:rPr>
              <w:t xml:space="preserve">)</w:t>
            </w:r>
            <w:r/>
          </w:p>
        </w:tc>
        <w:tc>
          <w:tcPr>
            <w:shd w:val="clear" w:color="auto" w:fill="auto"/>
            <w:tcW w:w="971"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lang w:val="en-US" w:eastAsia="zh-CN" w:bidi="ar"/>
              </w:rPr>
              <w:t xml:space="preserve">2.00 </w:t>
            </w:r>
            <w:r/>
          </w:p>
        </w:tc>
      </w:tr>
      <w:tr>
        <w:trPr>
          <w:trHeight w:val="2478"/>
        </w:trPr>
        <w:tc>
          <w:tcPr>
            <w:shd w:val="clear" w:color="auto" w:fill="auto"/>
            <w:tcW w:w="749"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lang w:val="en-US" w:eastAsia="zh-CN" w:bidi="ar"/>
              </w:rPr>
              <w:t xml:space="preserve">5</w:t>
            </w:r>
            <w:r/>
          </w:p>
        </w:tc>
        <w:tc>
          <w:tcPr>
            <w:shd w:val="clear" w:color="auto" w:fill="auto"/>
            <w:tcW w:w="1344"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lang w:val="en-US" w:eastAsia="zh-CN" w:bidi="ar"/>
              </w:rPr>
              <w:t xml:space="preserve">播控系统1</w:t>
            </w:r>
            <w:r/>
          </w:p>
        </w:tc>
        <w:tc>
          <w:tcPr>
            <w:shd w:val="clear" w:color="auto" w:fill="auto"/>
            <w:tcW w:w="4751"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lang w:val="en-US" w:eastAsia="zh-CN" w:bidi="ar"/>
              </w:rPr>
              <w:t xml:space="preserve">1、名称：播控系统</w:t>
            </w:r>
            <w:r>
              <w:rPr>
                <w:rFonts w:hint="eastAsia" w:asciiTheme="minorEastAsia" w:hAnsiTheme="minorEastAsia" w:eastAsiaTheme="minorEastAsia" w:cstheme="minorEastAsia"/>
                <w:i w:val="0"/>
                <w:iCs w:val="0"/>
                <w:color w:val="000000"/>
                <w:sz w:val="20"/>
                <w:szCs w:val="20"/>
                <w:u w:val="none"/>
                <w:lang w:val="en-US" w:eastAsia="zh-CN" w:bidi="ar"/>
              </w:rPr>
              <w:br/>
            </w:r>
            <w:r>
              <w:rPr>
                <w:rFonts w:hint="eastAsia" w:asciiTheme="minorEastAsia" w:hAnsiTheme="minorEastAsia" w:eastAsiaTheme="minorEastAsia" w:cstheme="minorEastAsia"/>
                <w:i w:val="0"/>
                <w:iCs w:val="0"/>
                <w:color w:val="000000"/>
                <w:sz w:val="20"/>
                <w:szCs w:val="20"/>
                <w:u w:val="none"/>
                <w:lang w:val="en-US" w:eastAsia="zh-CN" w:bidi="ar"/>
              </w:rPr>
              <w:t xml:space="preserve">2、规格：核心性能：全节点支持 4K@60Hz 信号处理，色彩深度 12bit，传输延迟≤10ms；单控制服务器可管理≤256 个输入节点、≤1024 个输出节点。</w:t>
            </w:r>
            <w:r>
              <w:rPr>
                <w:rFonts w:hint="eastAsia" w:asciiTheme="minorEastAsia" w:hAnsiTheme="minorEastAsia" w:eastAsiaTheme="minorEastAsia" w:cstheme="minorEastAsia"/>
                <w:i w:val="0"/>
                <w:iCs w:val="0"/>
                <w:color w:val="000000"/>
                <w:sz w:val="20"/>
                <w:szCs w:val="20"/>
                <w:u w:val="none"/>
                <w:lang w:val="en-US" w:eastAsia="zh-CN" w:bidi="ar"/>
              </w:rPr>
              <w:br/>
            </w:r>
            <w:r>
              <w:rPr>
                <w:rFonts w:hint="eastAsia" w:asciiTheme="minorEastAsia" w:hAnsiTheme="minorEastAsia" w:eastAsiaTheme="minorEastAsia" w:cstheme="minorEastAsia"/>
                <w:i w:val="0"/>
                <w:iCs w:val="0"/>
                <w:color w:val="000000"/>
                <w:sz w:val="20"/>
                <w:szCs w:val="20"/>
                <w:u w:val="none"/>
                <w:lang w:val="en-US" w:eastAsia="zh-CN" w:bidi="ar"/>
              </w:rPr>
              <w:t xml:space="preserve">信号调度：支持任意信号源开窗、漫游、叠加，支持跨屏拼接（最大支持 100×100 拼接）；支持信号预览、回显功能。</w:t>
            </w:r>
            <w:r>
              <w:rPr>
                <w:rFonts w:hint="eastAsia" w:asciiTheme="minorEastAsia" w:hAnsiTheme="minorEastAsia" w:eastAsiaTheme="minorEastAsia" w:cstheme="minorEastAsia"/>
                <w:i w:val="0"/>
                <w:iCs w:val="0"/>
                <w:color w:val="000000"/>
                <w:sz w:val="20"/>
                <w:szCs w:val="20"/>
                <w:u w:val="none"/>
                <w:lang w:val="en-US" w:eastAsia="zh-CN" w:bidi="ar"/>
              </w:rPr>
              <w:br/>
            </w:r>
            <w:r>
              <w:rPr>
                <w:rFonts w:hint="eastAsia" w:asciiTheme="minorEastAsia" w:hAnsiTheme="minorEastAsia" w:eastAsiaTheme="minorEastAsia" w:cstheme="minorEastAsia"/>
                <w:i w:val="0"/>
                <w:iCs w:val="0"/>
                <w:color w:val="000000"/>
                <w:sz w:val="20"/>
                <w:szCs w:val="20"/>
                <w:u w:val="none"/>
                <w:lang w:val="en-US" w:eastAsia="zh-CN" w:bidi="ar"/>
              </w:rPr>
              <w:t xml:space="preserve">节点参数：</w:t>
            </w:r>
            <w:r>
              <w:rPr>
                <w:rFonts w:hint="eastAsia" w:asciiTheme="minorEastAsia" w:hAnsiTheme="minorEastAsia" w:eastAsiaTheme="minorEastAsia" w:cstheme="minorEastAsia"/>
                <w:i w:val="0"/>
                <w:iCs w:val="0"/>
                <w:color w:val="000000"/>
                <w:sz w:val="20"/>
                <w:szCs w:val="20"/>
                <w:u w:val="none"/>
                <w:lang w:val="en-US" w:eastAsia="zh-CN" w:bidi="ar"/>
              </w:rPr>
              <w:br/>
            </w:r>
            <w:r>
              <w:rPr>
                <w:rFonts w:hint="eastAsia" w:asciiTheme="minorEastAsia" w:hAnsiTheme="minorEastAsia" w:eastAsiaTheme="minorEastAsia" w:cstheme="minorEastAsia"/>
                <w:i w:val="0"/>
                <w:iCs w:val="0"/>
                <w:color w:val="000000"/>
                <w:sz w:val="20"/>
                <w:szCs w:val="20"/>
                <w:u w:val="none"/>
                <w:lang w:val="en-US" w:eastAsia="zh-CN" w:bidi="ar"/>
              </w:rPr>
              <w:t xml:space="preserve">输入节点：HDMI2.0×1、DP1.2×1，支持音频同步输入，功耗 15W。</w:t>
            </w:r>
            <w:r>
              <w:rPr>
                <w:rFonts w:hint="eastAsia" w:asciiTheme="minorEastAsia" w:hAnsiTheme="minorEastAsia" w:eastAsiaTheme="minorEastAsia" w:cstheme="minorEastAsia"/>
                <w:i w:val="0"/>
                <w:iCs w:val="0"/>
                <w:color w:val="000000"/>
                <w:sz w:val="20"/>
                <w:szCs w:val="20"/>
                <w:u w:val="none"/>
                <w:lang w:val="en-US" w:eastAsia="zh-CN" w:bidi="ar"/>
              </w:rPr>
              <w:br/>
            </w:r>
            <w:r>
              <w:rPr>
                <w:rFonts w:hint="eastAsia" w:asciiTheme="minorEastAsia" w:hAnsiTheme="minorEastAsia" w:eastAsiaTheme="minorEastAsia" w:cstheme="minorEastAsia"/>
                <w:i w:val="0"/>
                <w:iCs w:val="0"/>
                <w:color w:val="000000"/>
                <w:sz w:val="20"/>
                <w:szCs w:val="20"/>
                <w:u w:val="none"/>
                <w:lang w:val="en-US" w:eastAsia="zh-CN" w:bidi="ar"/>
              </w:rPr>
              <w:t xml:space="preserve">输出节点：HDMI2.0×1、千兆网口 ×1，支持逐点校正，功耗 18W。</w:t>
            </w:r>
            <w:r>
              <w:rPr>
                <w:rFonts w:hint="eastAsia" w:asciiTheme="minorEastAsia" w:hAnsiTheme="minorEastAsia" w:eastAsiaTheme="minorEastAsia" w:cstheme="minorEastAsia"/>
                <w:i w:val="0"/>
                <w:iCs w:val="0"/>
                <w:color w:val="000000"/>
                <w:sz w:val="20"/>
                <w:szCs w:val="20"/>
                <w:u w:val="none"/>
                <w:lang w:val="en-US" w:eastAsia="zh-CN" w:bidi="ar"/>
              </w:rPr>
              <w:br/>
            </w:r>
            <w:r>
              <w:rPr>
                <w:rFonts w:hint="eastAsia" w:asciiTheme="minorEastAsia" w:hAnsiTheme="minorEastAsia" w:eastAsiaTheme="minorEastAsia" w:cstheme="minorEastAsia"/>
                <w:i w:val="0"/>
                <w:iCs w:val="0"/>
                <w:color w:val="000000"/>
                <w:sz w:val="20"/>
                <w:szCs w:val="20"/>
                <w:u w:val="none"/>
                <w:lang w:val="en-US" w:eastAsia="zh-CN" w:bidi="ar"/>
              </w:rPr>
              <w:t xml:space="preserve">控制管理：支持 Web/APP/ 中控面板控制，支持场景一键切换，支持与灯光、音响联动控制。</w:t>
            </w:r>
            <w:r/>
          </w:p>
        </w:tc>
        <w:tc>
          <w:tcPr>
            <w:shd w:val="clear" w:color="auto" w:fill="auto"/>
            <w:tcW w:w="982"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lang w:val="en-US" w:eastAsia="zh-CN" w:bidi="ar"/>
              </w:rPr>
              <w:t xml:space="preserve">套</w:t>
            </w:r>
            <w:r/>
          </w:p>
        </w:tc>
        <w:tc>
          <w:tcPr>
            <w:shd w:val="clear" w:color="auto" w:fill="auto"/>
            <w:tcW w:w="971"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lang w:val="en-US" w:eastAsia="zh-CN" w:bidi="ar"/>
              </w:rPr>
              <w:t xml:space="preserve">1.00 </w:t>
            </w:r>
            <w:r/>
          </w:p>
        </w:tc>
      </w:tr>
      <w:tr>
        <w:trPr>
          <w:trHeight w:val="4126"/>
        </w:trPr>
        <w:tc>
          <w:tcPr>
            <w:shd w:val="clear" w:color="auto" w:fill="auto"/>
            <w:tcW w:w="749"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lang w:val="en-US" w:eastAsia="zh-CN" w:bidi="ar"/>
              </w:rPr>
              <w:t xml:space="preserve">6</w:t>
            </w:r>
            <w:r/>
          </w:p>
        </w:tc>
        <w:tc>
          <w:tcPr>
            <w:shd w:val="clear" w:color="auto" w:fill="auto"/>
            <w:tcW w:w="1344"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lang w:val="en-US" w:eastAsia="zh-CN" w:bidi="ar"/>
              </w:rPr>
              <w:t xml:space="preserve">分布式硬件融合器1</w:t>
            </w:r>
            <w:r/>
          </w:p>
        </w:tc>
        <w:tc>
          <w:tcPr>
            <w:shd w:val="clear" w:color="auto" w:fill="auto"/>
            <w:tcW w:w="4751"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lang w:val="en-US" w:eastAsia="zh-CN" w:bidi="ar"/>
              </w:rPr>
              <w:t xml:space="preserve">一、核心性能参数</w:t>
            </w:r>
            <w:r>
              <w:rPr>
                <w:rFonts w:hint="eastAsia" w:asciiTheme="minorEastAsia" w:hAnsiTheme="minorEastAsia" w:eastAsiaTheme="minorEastAsia" w:cstheme="minorEastAsia"/>
                <w:i w:val="0"/>
                <w:iCs w:val="0"/>
                <w:color w:val="000000"/>
                <w:sz w:val="20"/>
                <w:szCs w:val="20"/>
                <w:u w:val="none"/>
                <w:lang w:val="en-US" w:eastAsia="zh-CN" w:bidi="ar"/>
              </w:rPr>
              <w:br/>
            </w:r>
            <w:r>
              <w:rPr>
                <w:rFonts w:hint="eastAsia" w:asciiTheme="minorEastAsia" w:hAnsiTheme="minorEastAsia" w:eastAsiaTheme="minorEastAsia" w:cstheme="minorEastAsia"/>
                <w:i w:val="0"/>
                <w:iCs w:val="0"/>
                <w:color w:val="000000"/>
                <w:sz w:val="20"/>
                <w:szCs w:val="20"/>
                <w:u w:val="none"/>
                <w:lang w:val="en-US" w:eastAsia="zh-CN" w:bidi="ar"/>
              </w:rPr>
              <w:t xml:space="preserve">分辨率支持最大4K@30Hz（3840×2160），兼容1920×1200、1280×800等常用投影分辨率，确保文物细节、数据图表等内容清晰呈现。单设备支持多通道扩展，主流配置可满足2-8通道融合，最大通道数可达72路，适配弧形幕、折面幕等展馆常见屏幕形态。</w:t>
            </w:r>
            <w:r>
              <w:rPr>
                <w:rFonts w:hint="eastAsia" w:asciiTheme="minorEastAsia" w:hAnsiTheme="minorEastAsia" w:eastAsiaTheme="minorEastAsia" w:cstheme="minorEastAsia"/>
                <w:i w:val="0"/>
                <w:iCs w:val="0"/>
                <w:color w:val="000000"/>
                <w:sz w:val="20"/>
                <w:szCs w:val="20"/>
                <w:u w:val="none"/>
                <w:lang w:val="en-US" w:eastAsia="zh-CN" w:bidi="ar"/>
              </w:rPr>
              <w:br/>
            </w:r>
            <w:r>
              <w:rPr>
                <w:rFonts w:hint="eastAsia" w:asciiTheme="minorEastAsia" w:hAnsiTheme="minorEastAsia" w:eastAsiaTheme="minorEastAsia" w:cstheme="minorEastAsia"/>
                <w:i w:val="0"/>
                <w:iCs w:val="0"/>
                <w:color w:val="000000"/>
                <w:sz w:val="20"/>
                <w:szCs w:val="20"/>
                <w:u w:val="none"/>
                <w:lang w:val="en-US" w:eastAsia="zh-CN" w:bidi="ar"/>
              </w:rPr>
              <w:t xml:space="preserve">融合处理精度达1/256像素几何校正，融合带宽度可至40%，通过34个点曲线控制实现过渡自然，配合暗场补偿技术消除投影漏光带，黑场画面均匀无断层。色彩校正支持224组色域参数，色彩还原度高，适配油画、摄影等色彩敏感型展品展示。</w:t>
            </w:r>
            <w:r>
              <w:rPr>
                <w:rFonts w:hint="eastAsia" w:asciiTheme="minorEastAsia" w:hAnsiTheme="minorEastAsia" w:eastAsiaTheme="minorEastAsia" w:cstheme="minorEastAsia"/>
                <w:i w:val="0"/>
                <w:iCs w:val="0"/>
                <w:color w:val="000000"/>
                <w:sz w:val="20"/>
                <w:szCs w:val="20"/>
                <w:u w:val="none"/>
                <w:lang w:val="en-US" w:eastAsia="zh-CN" w:bidi="ar"/>
              </w:rPr>
              <w:br/>
            </w:r>
            <w:r>
              <w:rPr>
                <w:rFonts w:hint="eastAsia" w:asciiTheme="minorEastAsia" w:hAnsiTheme="minorEastAsia" w:eastAsiaTheme="minorEastAsia" w:cstheme="minorEastAsia"/>
                <w:i w:val="0"/>
                <w:iCs w:val="0"/>
                <w:color w:val="000000"/>
                <w:sz w:val="20"/>
                <w:szCs w:val="20"/>
                <w:u w:val="none"/>
                <w:lang w:val="en-US" w:eastAsia="zh-CN" w:bidi="ar"/>
              </w:rPr>
              <w:t xml:space="preserve">二、接口与控制参数</w:t>
            </w:r>
            <w:r>
              <w:rPr>
                <w:rFonts w:hint="eastAsia" w:asciiTheme="minorEastAsia" w:hAnsiTheme="minorEastAsia" w:eastAsiaTheme="minorEastAsia" w:cstheme="minorEastAsia"/>
                <w:i w:val="0"/>
                <w:iCs w:val="0"/>
                <w:color w:val="000000"/>
                <w:sz w:val="20"/>
                <w:szCs w:val="20"/>
                <w:u w:val="none"/>
                <w:lang w:val="en-US" w:eastAsia="zh-CN" w:bidi="ar"/>
              </w:rPr>
              <w:br/>
            </w:r>
            <w:r>
              <w:rPr>
                <w:rFonts w:hint="eastAsia" w:asciiTheme="minorEastAsia" w:hAnsiTheme="minorEastAsia" w:eastAsiaTheme="minorEastAsia" w:cstheme="minorEastAsia"/>
                <w:i w:val="0"/>
                <w:iCs w:val="0"/>
                <w:color w:val="000000"/>
                <w:sz w:val="20"/>
                <w:szCs w:val="20"/>
                <w:u w:val="none"/>
                <w:lang w:val="en-US" w:eastAsia="zh-CN" w:bidi="ar"/>
              </w:rPr>
              <w:t xml:space="preserve">视频接口标配HDMI 2.0输出×1，兼容VGA、DVI等输入类型，满足蓝光机、电脑、摄像头等多设备接入；音频接口设3.5mm端子，支持音视频同步输出。控制接口含Type-A USB×1及千兆网口，支持TCP/IP网络控制与RS232串口控制，可实现开机、播放、音量调节等远程指令。</w:t>
            </w:r>
            <w:r>
              <w:rPr>
                <w:rFonts w:hint="eastAsia" w:asciiTheme="minorEastAsia" w:hAnsiTheme="minorEastAsia" w:eastAsiaTheme="minorEastAsia" w:cstheme="minorEastAsia"/>
                <w:i w:val="0"/>
                <w:iCs w:val="0"/>
                <w:color w:val="000000"/>
                <w:sz w:val="20"/>
                <w:szCs w:val="20"/>
                <w:u w:val="none"/>
                <w:lang w:val="en-US" w:eastAsia="zh-CN" w:bidi="ar"/>
              </w:rPr>
              <w:br/>
            </w:r>
            <w:r>
              <w:rPr>
                <w:rFonts w:hint="eastAsia" w:asciiTheme="minorEastAsia" w:hAnsiTheme="minorEastAsia" w:eastAsiaTheme="minorEastAsia" w:cstheme="minorEastAsia"/>
                <w:i w:val="0"/>
                <w:iCs w:val="0"/>
                <w:color w:val="000000"/>
                <w:sz w:val="20"/>
                <w:szCs w:val="20"/>
                <w:u w:val="none"/>
                <w:lang w:val="en-US" w:eastAsia="zh-CN" w:bidi="ar"/>
              </w:rPr>
              <w:t xml:space="preserve">三、架构与环境参数</w:t>
            </w:r>
            <w:r>
              <w:rPr>
                <w:rFonts w:hint="eastAsia" w:asciiTheme="minorEastAsia" w:hAnsiTheme="minorEastAsia" w:eastAsiaTheme="minorEastAsia" w:cstheme="minorEastAsia"/>
                <w:i w:val="0"/>
                <w:iCs w:val="0"/>
                <w:color w:val="000000"/>
                <w:sz w:val="20"/>
                <w:szCs w:val="20"/>
                <w:u w:val="none"/>
                <w:lang w:val="en-US" w:eastAsia="zh-CN" w:bidi="ar"/>
              </w:rPr>
              <w:br/>
            </w:r>
            <w:r>
              <w:rPr>
                <w:rFonts w:hint="eastAsia" w:asciiTheme="minorEastAsia" w:hAnsiTheme="minorEastAsia" w:eastAsiaTheme="minorEastAsia" w:cstheme="minorEastAsia"/>
                <w:i w:val="0"/>
                <w:iCs w:val="0"/>
                <w:color w:val="000000"/>
                <w:sz w:val="20"/>
                <w:szCs w:val="20"/>
                <w:u w:val="none"/>
                <w:lang w:val="en-US" w:eastAsia="zh-CN" w:bidi="ar"/>
              </w:rPr>
              <w:t xml:space="preserve">采用纯硬件嵌入式架构（Android系统），无Windows/Linux系统卡顿风险，支持7×24小时运行，平均故障时间超30000小时。机身尺寸148×100×30mm，重量450g，适配展馆狭小安装空间，工作环境温度0-50℃，湿度20%-80%无结露。</w:t>
            </w:r>
            <w:r/>
          </w:p>
        </w:tc>
        <w:tc>
          <w:tcPr>
            <w:shd w:val="clear" w:color="auto" w:fill="auto"/>
            <w:tcW w:w="982"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lang w:val="en-US" w:eastAsia="zh-CN" w:bidi="ar"/>
              </w:rPr>
              <w:t xml:space="preserve">台</w:t>
            </w:r>
            <w:r/>
          </w:p>
        </w:tc>
        <w:tc>
          <w:tcPr>
            <w:shd w:val="clear" w:color="auto" w:fill="auto"/>
            <w:tcW w:w="971"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lang w:val="en-US" w:eastAsia="zh-CN" w:bidi="ar"/>
              </w:rPr>
              <w:t xml:space="preserve">3.00 </w:t>
            </w:r>
            <w:r/>
          </w:p>
        </w:tc>
      </w:tr>
      <w:tr>
        <w:trPr>
          <w:trHeight w:val="1819"/>
        </w:trPr>
        <w:tc>
          <w:tcPr>
            <w:shd w:val="clear" w:color="auto" w:fill="auto"/>
            <w:tcW w:w="749"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lang w:val="en-US" w:eastAsia="zh-CN" w:bidi="ar"/>
              </w:rPr>
              <w:t xml:space="preserve">7</w:t>
            </w:r>
            <w:r/>
          </w:p>
        </w:tc>
        <w:tc>
          <w:tcPr>
            <w:shd w:val="clear" w:color="auto" w:fill="auto"/>
            <w:tcW w:w="1344"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lang w:val="en-US" w:eastAsia="zh-CN" w:bidi="ar"/>
              </w:rPr>
              <w:t xml:space="preserve">播控设备安装、调试1</w:t>
            </w:r>
            <w:r/>
          </w:p>
        </w:tc>
        <w:tc>
          <w:tcPr>
            <w:shd w:val="clear" w:color="auto" w:fill="auto"/>
            <w:tcW w:w="4751"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lang w:val="en-US" w:eastAsia="zh-CN" w:bidi="ar"/>
              </w:rPr>
              <w:t xml:space="preserve">1、展馆播控设备安装调试需适配展品展示、多区域联动需求，流程如下：前期勘察展馆布局，确定播控主机、信号分配器、投影机等设备点位，预留强弱电接口与信号传输链路；安装时固定设备机柜，规范布设线缆并做标识，确保与展项显示屏、互动装置精准对接。调试阶段先检测设备通电与信号连通性，再校准画面分辨率、色彩一致性，设置分区域播控预案（如定时切换展品介绍视频、触发式互动画面）；最后测试应急切换功能，确保断网、设备故障时能快速切换备用信号。整体需保障播控系统稳定运行，满足展馆沉浸式、不间断展示需求。</w:t>
            </w:r>
            <w:r/>
          </w:p>
        </w:tc>
        <w:tc>
          <w:tcPr>
            <w:shd w:val="clear" w:color="auto" w:fill="auto"/>
            <w:tcW w:w="982"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lang w:val="en-US" w:eastAsia="zh-CN" w:bidi="ar"/>
              </w:rPr>
              <w:t xml:space="preserve">台</w:t>
            </w:r>
            <w:r/>
          </w:p>
        </w:tc>
        <w:tc>
          <w:tcPr>
            <w:shd w:val="clear" w:color="auto" w:fill="auto"/>
            <w:tcW w:w="971"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lang w:val="en-US" w:eastAsia="zh-CN" w:bidi="ar"/>
              </w:rPr>
              <w:t xml:space="preserve">1.00 </w:t>
            </w:r>
            <w:r/>
          </w:p>
        </w:tc>
      </w:tr>
      <w:tr>
        <w:trPr>
          <w:trHeight w:val="90"/>
        </w:trPr>
        <w:tc>
          <w:tcPr>
            <w:shd w:val="clear" w:color="auto" w:fill="auto"/>
            <w:tcW w:w="749"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lang w:val="en-US" w:eastAsia="zh-CN" w:bidi="ar"/>
              </w:rPr>
              <w:t xml:space="preserve">8</w:t>
            </w:r>
            <w:r/>
          </w:p>
        </w:tc>
        <w:tc>
          <w:tcPr>
            <w:shd w:val="clear" w:color="auto" w:fill="auto"/>
            <w:tcW w:w="1344"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lang w:val="en-US" w:eastAsia="zh-CN" w:bidi="ar"/>
              </w:rPr>
              <w:t xml:space="preserve">输出设备1</w:t>
            </w:r>
            <w:r/>
          </w:p>
        </w:tc>
        <w:tc>
          <w:tcPr>
            <w:shd w:val="clear" w:color="auto" w:fill="auto"/>
            <w:tcW w:w="4751"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lang w:val="en-US" w:eastAsia="zh-CN" w:bidi="ar"/>
              </w:rPr>
              <w:t xml:space="preserve">1、名称：输出设备1</w:t>
            </w:r>
            <w:r>
              <w:rPr>
                <w:rFonts w:hint="eastAsia" w:asciiTheme="minorEastAsia" w:hAnsiTheme="minorEastAsia" w:eastAsiaTheme="minorEastAsia" w:cstheme="minorEastAsia"/>
                <w:i w:val="0"/>
                <w:iCs w:val="0"/>
                <w:color w:val="000000"/>
                <w:sz w:val="20"/>
                <w:szCs w:val="20"/>
                <w:u w:val="none"/>
                <w:lang w:val="en-US" w:eastAsia="zh-CN" w:bidi="ar"/>
              </w:rPr>
              <w:br/>
            </w:r>
            <w:r>
              <w:rPr>
                <w:rFonts w:hint="eastAsia" w:asciiTheme="minorEastAsia" w:hAnsiTheme="minorEastAsia" w:eastAsiaTheme="minorEastAsia" w:cstheme="minorEastAsia"/>
                <w:i w:val="0"/>
                <w:iCs w:val="0"/>
                <w:color w:val="000000"/>
                <w:sz w:val="20"/>
                <w:szCs w:val="20"/>
                <w:u w:val="none"/>
                <w:lang w:val="en-US" w:eastAsia="zh-CN" w:bidi="ar"/>
              </w:rPr>
              <w:t xml:space="preserve">2、规格：3600流明</w:t>
            </w:r>
            <w:r>
              <w:rPr>
                <w:rFonts w:hint="eastAsia" w:asciiTheme="minorEastAsia" w:hAnsiTheme="minorEastAsia" w:eastAsiaTheme="minorEastAsia" w:cstheme="minorEastAsia"/>
                <w:i w:val="0"/>
                <w:iCs w:val="0"/>
                <w:color w:val="000000"/>
                <w:sz w:val="20"/>
                <w:szCs w:val="20"/>
                <w:u w:val="none"/>
                <w:lang w:val="en-US" w:eastAsia="zh-CN" w:bidi="ar"/>
              </w:rPr>
              <w:br/>
            </w:r>
            <w:r>
              <w:rPr>
                <w:rFonts w:hint="eastAsia" w:asciiTheme="minorEastAsia" w:hAnsiTheme="minorEastAsia" w:eastAsiaTheme="minorEastAsia" w:cstheme="minorEastAsia"/>
                <w:i w:val="0"/>
                <w:iCs w:val="0"/>
                <w:color w:val="000000"/>
                <w:sz w:val="20"/>
                <w:szCs w:val="20"/>
                <w:u w:val="none"/>
                <w:lang w:val="en-US" w:eastAsia="zh-CN" w:bidi="ar"/>
              </w:rPr>
              <w:t xml:space="preserve">3、含支吊架光学核心参数</w:t>
            </w:r>
            <w:r>
              <w:rPr>
                <w:rFonts w:hint="eastAsia" w:asciiTheme="minorEastAsia" w:hAnsiTheme="minorEastAsia" w:eastAsiaTheme="minorEastAsia" w:cstheme="minorEastAsia"/>
                <w:i w:val="0"/>
                <w:iCs w:val="0"/>
                <w:color w:val="000000"/>
                <w:sz w:val="20"/>
                <w:szCs w:val="20"/>
                <w:u w:val="none"/>
                <w:lang w:val="en-US" w:eastAsia="zh-CN" w:bidi="ar"/>
              </w:rPr>
              <w:br/>
            </w:r>
            <w:r>
              <w:rPr>
                <w:rFonts w:hint="eastAsia" w:asciiTheme="minorEastAsia" w:hAnsiTheme="minorEastAsia" w:eastAsiaTheme="minorEastAsia" w:cstheme="minorEastAsia"/>
                <w:i w:val="0"/>
                <w:iCs w:val="0"/>
                <w:color w:val="000000"/>
                <w:sz w:val="20"/>
                <w:szCs w:val="20"/>
                <w:u w:val="none"/>
                <w:lang w:val="en-US" w:eastAsia="zh-CN" w:bidi="ar"/>
              </w:rPr>
              <w:t xml:space="preserve">参数类别 具体规格</w:t>
            </w:r>
            <w:r>
              <w:rPr>
                <w:rFonts w:hint="eastAsia" w:asciiTheme="minorEastAsia" w:hAnsiTheme="minorEastAsia" w:eastAsiaTheme="minorEastAsia" w:cstheme="minorEastAsia"/>
                <w:i w:val="0"/>
                <w:iCs w:val="0"/>
                <w:color w:val="000000"/>
                <w:sz w:val="20"/>
                <w:szCs w:val="20"/>
                <w:u w:val="none"/>
                <w:lang w:val="en-US" w:eastAsia="zh-CN" w:bidi="ar"/>
              </w:rPr>
              <w:br/>
            </w:r>
            <w:r>
              <w:rPr>
                <w:rFonts w:hint="eastAsia" w:asciiTheme="minorEastAsia" w:hAnsiTheme="minorEastAsia" w:eastAsiaTheme="minorEastAsia" w:cstheme="minorEastAsia"/>
                <w:i w:val="0"/>
                <w:iCs w:val="0"/>
                <w:color w:val="000000"/>
                <w:sz w:val="20"/>
                <w:szCs w:val="20"/>
                <w:u w:val="none"/>
                <w:lang w:val="en-US" w:eastAsia="zh-CN" w:bidi="ar"/>
              </w:rPr>
              <w:t xml:space="preserve">亮度 白色亮度 4000 流明（ISO 标准），色彩亮度 4000 流明（IDMS 标准）</w:t>
            </w:r>
            <w:r>
              <w:rPr>
                <w:rFonts w:hint="eastAsia" w:asciiTheme="minorEastAsia" w:hAnsiTheme="minorEastAsia" w:eastAsiaTheme="minorEastAsia" w:cstheme="minorEastAsia"/>
                <w:i w:val="0"/>
                <w:iCs w:val="0"/>
                <w:color w:val="000000"/>
                <w:sz w:val="20"/>
                <w:szCs w:val="20"/>
                <w:u w:val="none"/>
                <w:lang w:val="en-US" w:eastAsia="zh-CN" w:bidi="ar"/>
              </w:rPr>
              <w:br/>
            </w:r>
            <w:r>
              <w:rPr>
                <w:rFonts w:hint="eastAsia" w:asciiTheme="minorEastAsia" w:hAnsiTheme="minorEastAsia" w:eastAsiaTheme="minorEastAsia" w:cstheme="minorEastAsia"/>
                <w:i w:val="0"/>
                <w:iCs w:val="0"/>
                <w:color w:val="000000"/>
                <w:sz w:val="20"/>
                <w:szCs w:val="20"/>
                <w:u w:val="none"/>
                <w:lang w:val="en-US" w:eastAsia="zh-CN" w:bidi="ar"/>
              </w:rPr>
              <w:t xml:space="preserve">显示技术 RGB 光阀式液晶投影系统（3LCD），0.59 英寸 LCD 屏，采用多晶硅 TFT 有源矩阵驱动</w:t>
            </w:r>
            <w:r>
              <w:rPr>
                <w:rFonts w:hint="eastAsia" w:asciiTheme="minorEastAsia" w:hAnsiTheme="minorEastAsia" w:eastAsiaTheme="minorEastAsia" w:cstheme="minorEastAsia"/>
                <w:i w:val="0"/>
                <w:iCs w:val="0"/>
                <w:color w:val="000000"/>
                <w:sz w:val="20"/>
                <w:szCs w:val="20"/>
                <w:u w:val="none"/>
                <w:lang w:val="en-US" w:eastAsia="zh-CN" w:bidi="ar"/>
              </w:rPr>
              <w:br/>
            </w:r>
            <w:r>
              <w:rPr>
                <w:rFonts w:hint="eastAsia" w:asciiTheme="minorEastAsia" w:hAnsiTheme="minorEastAsia" w:eastAsiaTheme="minorEastAsia" w:cstheme="minorEastAsia"/>
                <w:i w:val="0"/>
                <w:iCs w:val="0"/>
                <w:color w:val="000000"/>
                <w:sz w:val="20"/>
                <w:szCs w:val="20"/>
                <w:u w:val="none"/>
                <w:lang w:val="en-US" w:eastAsia="zh-CN" w:bidi="ar"/>
              </w:rPr>
              <w:t xml:space="preserve">分辨率 WXGA（1280×800），像素数达 1024000 dots×3，屏幕比例 16:10</w:t>
            </w:r>
            <w:r>
              <w:rPr>
                <w:rFonts w:hint="eastAsia" w:asciiTheme="minorEastAsia" w:hAnsiTheme="minorEastAsia" w:eastAsiaTheme="minorEastAsia" w:cstheme="minorEastAsia"/>
                <w:i w:val="0"/>
                <w:iCs w:val="0"/>
                <w:color w:val="000000"/>
                <w:sz w:val="20"/>
                <w:szCs w:val="20"/>
                <w:u w:val="none"/>
                <w:lang w:val="en-US" w:eastAsia="zh-CN" w:bidi="ar"/>
              </w:rPr>
              <w:br/>
            </w:r>
            <w:r>
              <w:rPr>
                <w:rFonts w:hint="eastAsia" w:asciiTheme="minorEastAsia" w:hAnsiTheme="minorEastAsia" w:eastAsiaTheme="minorEastAsia" w:cstheme="minorEastAsia"/>
                <w:i w:val="0"/>
                <w:iCs w:val="0"/>
                <w:color w:val="000000"/>
                <w:sz w:val="20"/>
                <w:szCs w:val="20"/>
                <w:u w:val="none"/>
                <w:lang w:val="en-US" w:eastAsia="zh-CN" w:bidi="ar"/>
              </w:rPr>
              <w:t xml:space="preserve">对比度 16000:1</w:t>
            </w:r>
            <w:r>
              <w:rPr>
                <w:rFonts w:hint="eastAsia" w:asciiTheme="minorEastAsia" w:hAnsiTheme="minorEastAsia" w:eastAsiaTheme="minorEastAsia" w:cstheme="minorEastAsia"/>
                <w:i w:val="0"/>
                <w:iCs w:val="0"/>
                <w:color w:val="000000"/>
                <w:sz w:val="20"/>
                <w:szCs w:val="20"/>
                <w:u w:val="none"/>
                <w:lang w:val="en-US" w:eastAsia="zh-CN" w:bidi="ar"/>
              </w:rPr>
              <w:br/>
            </w:r>
            <w:r>
              <w:rPr>
                <w:rFonts w:hint="eastAsia" w:asciiTheme="minorEastAsia" w:hAnsiTheme="minorEastAsia" w:eastAsiaTheme="minorEastAsia" w:cstheme="minorEastAsia"/>
                <w:i w:val="0"/>
                <w:iCs w:val="0"/>
                <w:color w:val="000000"/>
                <w:sz w:val="20"/>
                <w:szCs w:val="20"/>
                <w:u w:val="none"/>
                <w:lang w:val="en-US" w:eastAsia="zh-CN" w:bidi="ar"/>
              </w:rPr>
              <w:t xml:space="preserve">投影镜头 手动光学变焦 / 手动聚焦，F 值 1.49 - 1.72，焦距 16.9mm - 20.28mm，变焦比 1.0 - 1.2，配备 AV mute 滑盖镜头盖</w:t>
            </w:r>
            <w:r>
              <w:rPr>
                <w:rFonts w:hint="eastAsia" w:asciiTheme="minorEastAsia" w:hAnsiTheme="minorEastAsia" w:eastAsiaTheme="minorEastAsia" w:cstheme="minorEastAsia"/>
                <w:i w:val="0"/>
                <w:iCs w:val="0"/>
                <w:color w:val="000000"/>
                <w:sz w:val="20"/>
                <w:szCs w:val="20"/>
                <w:u w:val="none"/>
                <w:lang w:val="en-US" w:eastAsia="zh-CN" w:bidi="ar"/>
              </w:rPr>
              <w:br/>
            </w:r>
            <w:r>
              <w:rPr>
                <w:rFonts w:hint="eastAsia" w:asciiTheme="minorEastAsia" w:hAnsiTheme="minorEastAsia" w:eastAsiaTheme="minorEastAsia" w:cstheme="minorEastAsia"/>
                <w:i w:val="0"/>
                <w:iCs w:val="0"/>
                <w:color w:val="000000"/>
                <w:sz w:val="20"/>
                <w:szCs w:val="20"/>
                <w:u w:val="none"/>
                <w:lang w:val="en-US" w:eastAsia="zh-CN" w:bidi="ar"/>
              </w:rPr>
              <w:t xml:space="preserve">投影适配参数</w:t>
            </w:r>
            <w:r>
              <w:rPr>
                <w:rFonts w:hint="eastAsia" w:asciiTheme="minorEastAsia" w:hAnsiTheme="minorEastAsia" w:eastAsiaTheme="minorEastAsia" w:cstheme="minorEastAsia"/>
                <w:i w:val="0"/>
                <w:iCs w:val="0"/>
                <w:color w:val="000000"/>
                <w:sz w:val="20"/>
                <w:szCs w:val="20"/>
                <w:u w:val="none"/>
                <w:lang w:val="en-US" w:eastAsia="zh-CN" w:bidi="ar"/>
              </w:rPr>
              <w:br/>
            </w:r>
            <w:r>
              <w:rPr>
                <w:rFonts w:hint="eastAsia" w:asciiTheme="minorEastAsia" w:hAnsiTheme="minorEastAsia" w:eastAsiaTheme="minorEastAsia" w:cstheme="minorEastAsia"/>
                <w:i w:val="0"/>
                <w:iCs w:val="0"/>
                <w:color w:val="000000"/>
                <w:sz w:val="20"/>
                <w:szCs w:val="20"/>
                <w:u w:val="none"/>
                <w:lang w:val="en-US" w:eastAsia="zh-CN" w:bidi="ar"/>
              </w:rPr>
              <w:t xml:space="preserve">参数类别 具体规格</w:t>
            </w:r>
            <w:r>
              <w:rPr>
                <w:rFonts w:hint="eastAsia" w:asciiTheme="minorEastAsia" w:hAnsiTheme="minorEastAsia" w:eastAsiaTheme="minorEastAsia" w:cstheme="minorEastAsia"/>
                <w:i w:val="0"/>
                <w:iCs w:val="0"/>
                <w:color w:val="000000"/>
                <w:sz w:val="20"/>
                <w:szCs w:val="20"/>
                <w:u w:val="none"/>
                <w:lang w:val="en-US" w:eastAsia="zh-CN" w:bidi="ar"/>
              </w:rPr>
              <w:br/>
            </w:r>
            <w:r>
              <w:rPr>
                <w:rFonts w:hint="eastAsia" w:asciiTheme="minorEastAsia" w:hAnsiTheme="minorEastAsia" w:eastAsiaTheme="minorEastAsia" w:cstheme="minorEastAsia"/>
                <w:i w:val="0"/>
                <w:iCs w:val="0"/>
                <w:color w:val="000000"/>
                <w:sz w:val="20"/>
                <w:szCs w:val="20"/>
                <w:u w:val="none"/>
                <w:lang w:val="en-US" w:eastAsia="zh-CN" w:bidi="ar"/>
              </w:rPr>
              <w:t xml:space="preserve">投射比 1.30 - 1.56:1</w:t>
            </w:r>
            <w:r>
              <w:rPr>
                <w:rFonts w:hint="eastAsia" w:asciiTheme="minorEastAsia" w:hAnsiTheme="minorEastAsia" w:eastAsiaTheme="minorEastAsia" w:cstheme="minorEastAsia"/>
                <w:i w:val="0"/>
                <w:iCs w:val="0"/>
                <w:color w:val="000000"/>
                <w:sz w:val="20"/>
                <w:szCs w:val="20"/>
                <w:u w:val="none"/>
                <w:lang w:val="en-US" w:eastAsia="zh-CN" w:bidi="ar"/>
              </w:rPr>
              <w:br/>
            </w:r>
            <w:r>
              <w:rPr>
                <w:rFonts w:hint="eastAsia" w:asciiTheme="minorEastAsia" w:hAnsiTheme="minorEastAsia" w:eastAsiaTheme="minorEastAsia" w:cstheme="minorEastAsia"/>
                <w:i w:val="0"/>
                <w:iCs w:val="0"/>
                <w:color w:val="000000"/>
                <w:sz w:val="20"/>
                <w:szCs w:val="20"/>
                <w:u w:val="none"/>
                <w:lang w:val="en-US" w:eastAsia="zh-CN" w:bidi="ar"/>
              </w:rPr>
              <w:t xml:space="preserve">投影尺寸 33 - 320 英寸，对应投影距离 0.91 - 10.89 米</w:t>
            </w:r>
            <w:r>
              <w:rPr>
                <w:rFonts w:hint="eastAsia" w:asciiTheme="minorEastAsia" w:hAnsiTheme="minorEastAsia" w:eastAsiaTheme="minorEastAsia" w:cstheme="minorEastAsia"/>
                <w:i w:val="0"/>
                <w:iCs w:val="0"/>
                <w:color w:val="000000"/>
                <w:sz w:val="20"/>
                <w:szCs w:val="20"/>
                <w:u w:val="none"/>
                <w:lang w:val="en-US" w:eastAsia="zh-CN" w:bidi="ar"/>
              </w:rPr>
              <w:br/>
            </w:r>
            <w:r>
              <w:rPr>
                <w:rFonts w:hint="eastAsia" w:asciiTheme="minorEastAsia" w:hAnsiTheme="minorEastAsia" w:eastAsiaTheme="minorEastAsia" w:cstheme="minorEastAsia"/>
                <w:i w:val="0"/>
                <w:iCs w:val="0"/>
                <w:color w:val="000000"/>
                <w:sz w:val="20"/>
                <w:szCs w:val="20"/>
                <w:u w:val="none"/>
                <w:lang w:val="en-US" w:eastAsia="zh-CN" w:bidi="ar"/>
              </w:rPr>
              <w:t xml:space="preserve">投影方式 支持前投、背投、吊顶多种安装方式</w:t>
            </w:r>
            <w:r>
              <w:rPr>
                <w:rFonts w:hint="eastAsia" w:asciiTheme="minorEastAsia" w:hAnsiTheme="minorEastAsia" w:eastAsiaTheme="minorEastAsia" w:cstheme="minorEastAsia"/>
                <w:i w:val="0"/>
                <w:iCs w:val="0"/>
                <w:color w:val="000000"/>
                <w:sz w:val="20"/>
                <w:szCs w:val="20"/>
                <w:u w:val="none"/>
                <w:lang w:val="en-US" w:eastAsia="zh-CN" w:bidi="ar"/>
              </w:rPr>
              <w:br/>
            </w:r>
            <w:r>
              <w:rPr>
                <w:rFonts w:hint="eastAsia" w:asciiTheme="minorEastAsia" w:hAnsiTheme="minorEastAsia" w:eastAsiaTheme="minorEastAsia" w:cstheme="minorEastAsia"/>
                <w:i w:val="0"/>
                <w:iCs w:val="0"/>
                <w:color w:val="000000"/>
                <w:sz w:val="20"/>
                <w:szCs w:val="20"/>
                <w:u w:val="none"/>
                <w:lang w:val="en-US" w:eastAsia="zh-CN" w:bidi="ar"/>
              </w:rPr>
              <w:t xml:space="preserve">画面校正 支持四向梯形校正，配备快速四角调节功能，支持水平梯形校正，可侧面投影</w:t>
            </w:r>
            <w:r>
              <w:rPr>
                <w:rFonts w:hint="eastAsia" w:asciiTheme="minorEastAsia" w:hAnsiTheme="minorEastAsia" w:eastAsiaTheme="minorEastAsia" w:cstheme="minorEastAsia"/>
                <w:i w:val="0"/>
                <w:iCs w:val="0"/>
                <w:color w:val="000000"/>
                <w:sz w:val="20"/>
                <w:szCs w:val="20"/>
                <w:u w:val="none"/>
                <w:lang w:val="en-US" w:eastAsia="zh-CN" w:bidi="ar"/>
              </w:rPr>
              <w:br/>
            </w:r>
            <w:r>
              <w:rPr>
                <w:rFonts w:hint="eastAsia" w:asciiTheme="minorEastAsia" w:hAnsiTheme="minorEastAsia" w:eastAsiaTheme="minorEastAsia" w:cstheme="minorEastAsia"/>
                <w:i w:val="0"/>
                <w:iCs w:val="0"/>
                <w:color w:val="000000"/>
                <w:sz w:val="20"/>
                <w:szCs w:val="20"/>
                <w:u w:val="none"/>
                <w:lang w:val="en-US" w:eastAsia="zh-CN" w:bidi="ar"/>
              </w:rPr>
              <w:t xml:space="preserve">特色显示功能 支持双路输入信号双画面并列显示；支持无线网络四画面同屏，最多 50 个用户接入，可任选 1 - 4 个信号显示</w:t>
            </w:r>
            <w:r>
              <w:rPr>
                <w:rFonts w:hint="eastAsia" w:asciiTheme="minorEastAsia" w:hAnsiTheme="minorEastAsia" w:eastAsiaTheme="minorEastAsia" w:cstheme="minorEastAsia"/>
                <w:i w:val="0"/>
                <w:iCs w:val="0"/>
                <w:color w:val="000000"/>
                <w:sz w:val="20"/>
                <w:szCs w:val="20"/>
                <w:u w:val="none"/>
                <w:lang w:val="en-US" w:eastAsia="zh-CN" w:bidi="ar"/>
              </w:rPr>
              <w:br/>
            </w:r>
            <w:r>
              <w:rPr>
                <w:rFonts w:hint="eastAsia" w:asciiTheme="minorEastAsia" w:hAnsiTheme="minorEastAsia" w:eastAsiaTheme="minorEastAsia" w:cstheme="minorEastAsia"/>
                <w:i w:val="0"/>
                <w:iCs w:val="0"/>
                <w:color w:val="000000"/>
                <w:sz w:val="20"/>
                <w:szCs w:val="20"/>
                <w:u w:val="none"/>
                <w:lang w:val="en-US" w:eastAsia="zh-CN" w:bidi="ar"/>
              </w:rPr>
              <w:t xml:space="preserve">接口与电气参数</w:t>
            </w:r>
            <w:r>
              <w:rPr>
                <w:rFonts w:hint="eastAsia" w:asciiTheme="minorEastAsia" w:hAnsiTheme="minorEastAsia" w:eastAsiaTheme="minorEastAsia" w:cstheme="minorEastAsia"/>
                <w:i w:val="0"/>
                <w:iCs w:val="0"/>
                <w:color w:val="000000"/>
                <w:sz w:val="20"/>
                <w:szCs w:val="20"/>
                <w:u w:val="none"/>
                <w:lang w:val="en-US" w:eastAsia="zh-CN" w:bidi="ar"/>
              </w:rPr>
              <w:br/>
            </w:r>
            <w:r>
              <w:rPr>
                <w:rFonts w:hint="eastAsia" w:asciiTheme="minorEastAsia" w:hAnsiTheme="minorEastAsia" w:eastAsiaTheme="minorEastAsia" w:cstheme="minorEastAsia"/>
                <w:i w:val="0"/>
                <w:iCs w:val="0"/>
                <w:color w:val="000000"/>
                <w:sz w:val="20"/>
                <w:szCs w:val="20"/>
                <w:u w:val="none"/>
                <w:lang w:val="en-US" w:eastAsia="zh-CN" w:bidi="ar"/>
              </w:rPr>
              <w:t xml:space="preserve">参数类别 具体规格</w:t>
            </w:r>
            <w:r>
              <w:rPr>
                <w:rFonts w:hint="eastAsia" w:asciiTheme="minorEastAsia" w:hAnsiTheme="minorEastAsia" w:eastAsiaTheme="minorEastAsia" w:cstheme="minorEastAsia"/>
                <w:i w:val="0"/>
                <w:iCs w:val="0"/>
                <w:color w:val="000000"/>
                <w:sz w:val="20"/>
                <w:szCs w:val="20"/>
                <w:u w:val="none"/>
                <w:lang w:val="en-US" w:eastAsia="zh-CN" w:bidi="ar"/>
              </w:rPr>
              <w:br/>
            </w:r>
            <w:r>
              <w:rPr>
                <w:rFonts w:hint="eastAsia" w:asciiTheme="minorEastAsia" w:hAnsiTheme="minorEastAsia" w:eastAsiaTheme="minorEastAsia" w:cstheme="minorEastAsia"/>
                <w:i w:val="0"/>
                <w:iCs w:val="0"/>
                <w:color w:val="000000"/>
                <w:sz w:val="20"/>
                <w:szCs w:val="20"/>
                <w:u w:val="none"/>
                <w:lang w:val="en-US" w:eastAsia="zh-CN" w:bidi="ar"/>
              </w:rPr>
              <w:t xml:space="preserve">接口配置 HDMI 接口 1 个，USB - A×1、USB - B×1，2RCA 音频输入 1 个，无网口和 Type - C 接口</w:t>
            </w:r>
            <w:r>
              <w:rPr>
                <w:rFonts w:hint="eastAsia" w:asciiTheme="minorEastAsia" w:hAnsiTheme="minorEastAsia" w:eastAsiaTheme="minorEastAsia" w:cstheme="minorEastAsia"/>
                <w:i w:val="0"/>
                <w:iCs w:val="0"/>
                <w:color w:val="000000"/>
                <w:sz w:val="20"/>
                <w:szCs w:val="20"/>
                <w:u w:val="none"/>
                <w:lang w:val="en-US" w:eastAsia="zh-CN" w:bidi="ar"/>
              </w:rPr>
              <w:br/>
            </w:r>
            <w:r>
              <w:rPr>
                <w:rFonts w:hint="eastAsia" w:asciiTheme="minorEastAsia" w:hAnsiTheme="minorEastAsia" w:eastAsiaTheme="minorEastAsia" w:cstheme="minorEastAsia"/>
                <w:i w:val="0"/>
                <w:iCs w:val="0"/>
                <w:color w:val="000000"/>
                <w:sz w:val="20"/>
                <w:szCs w:val="20"/>
                <w:u w:val="none"/>
                <w:lang w:val="en-US" w:eastAsia="zh-CN" w:bidi="ar"/>
              </w:rPr>
              <w:t xml:space="preserve">光源与寿命 210W UHE 灯泡，标准模式下寿命 6000 小时，ECO 模式下可达 12000 小时</w:t>
            </w:r>
            <w:r>
              <w:rPr>
                <w:rFonts w:hint="eastAsia" w:asciiTheme="minorEastAsia" w:hAnsiTheme="minorEastAsia" w:eastAsiaTheme="minorEastAsia" w:cstheme="minorEastAsia"/>
                <w:i w:val="0"/>
                <w:iCs w:val="0"/>
                <w:color w:val="000000"/>
                <w:sz w:val="20"/>
                <w:szCs w:val="20"/>
                <w:u w:val="none"/>
                <w:lang w:val="en-US" w:eastAsia="zh-CN" w:bidi="ar"/>
              </w:rPr>
              <w:br/>
            </w:r>
            <w:r>
              <w:rPr>
                <w:rFonts w:hint="eastAsia" w:asciiTheme="minorEastAsia" w:hAnsiTheme="minorEastAsia" w:eastAsiaTheme="minorEastAsia" w:cstheme="minorEastAsia"/>
                <w:i w:val="0"/>
                <w:iCs w:val="0"/>
                <w:color w:val="000000"/>
                <w:sz w:val="20"/>
                <w:szCs w:val="20"/>
                <w:u w:val="none"/>
                <w:lang w:val="en-US" w:eastAsia="zh-CN" w:bidi="ar"/>
              </w:rPr>
              <w:t xml:space="preserve">功耗与噪音 整机功耗 327W；噪音 37dB（标准模式），28dB（ECO 模式）</w:t>
            </w:r>
            <w:r>
              <w:rPr>
                <w:rFonts w:hint="eastAsia" w:asciiTheme="minorEastAsia" w:hAnsiTheme="minorEastAsia" w:eastAsiaTheme="minorEastAsia" w:cstheme="minorEastAsia"/>
                <w:i w:val="0"/>
                <w:iCs w:val="0"/>
                <w:color w:val="000000"/>
                <w:sz w:val="20"/>
                <w:szCs w:val="20"/>
                <w:u w:val="none"/>
                <w:lang w:val="en-US" w:eastAsia="zh-CN" w:bidi="ar"/>
              </w:rPr>
              <w:br/>
            </w:r>
            <w:r>
              <w:rPr>
                <w:rFonts w:hint="eastAsia" w:asciiTheme="minorEastAsia" w:hAnsiTheme="minorEastAsia" w:eastAsiaTheme="minorEastAsia" w:cstheme="minorEastAsia"/>
                <w:i w:val="0"/>
                <w:iCs w:val="0"/>
                <w:color w:val="000000"/>
                <w:sz w:val="20"/>
                <w:szCs w:val="20"/>
                <w:u w:val="none"/>
                <w:lang w:val="en-US" w:eastAsia="zh-CN" w:bidi="ar"/>
              </w:rPr>
              <w:t xml:space="preserve">电源规格 支持 AC100 - 240V 电压，适配 50/60Hz 电源频率</w:t>
            </w:r>
            <w:r>
              <w:rPr>
                <w:rFonts w:hint="eastAsia" w:asciiTheme="minorEastAsia" w:hAnsiTheme="minorEastAsia" w:eastAsiaTheme="minorEastAsia" w:cstheme="minorEastAsia"/>
                <w:i w:val="0"/>
                <w:iCs w:val="0"/>
                <w:color w:val="000000"/>
                <w:sz w:val="20"/>
                <w:szCs w:val="20"/>
                <w:u w:val="none"/>
                <w:lang w:val="en-US" w:eastAsia="zh-CN" w:bidi="ar"/>
              </w:rPr>
              <w:br/>
            </w:r>
            <w:r>
              <w:rPr>
                <w:rFonts w:hint="eastAsia" w:asciiTheme="minorEastAsia" w:hAnsiTheme="minorEastAsia" w:eastAsiaTheme="minorEastAsia" w:cstheme="minorEastAsia"/>
                <w:i w:val="0"/>
                <w:iCs w:val="0"/>
                <w:color w:val="000000"/>
                <w:sz w:val="20"/>
                <w:szCs w:val="20"/>
                <w:u w:val="none"/>
                <w:lang w:val="en-US" w:eastAsia="zh-CN" w:bidi="ar"/>
              </w:rPr>
              <w:t xml:space="preserve">物理与附加参数</w:t>
            </w:r>
            <w:r>
              <w:rPr>
                <w:rFonts w:hint="eastAsia" w:asciiTheme="minorEastAsia" w:hAnsiTheme="minorEastAsia" w:eastAsiaTheme="minorEastAsia" w:cstheme="minorEastAsia"/>
                <w:i w:val="0"/>
                <w:iCs w:val="0"/>
                <w:color w:val="000000"/>
                <w:sz w:val="20"/>
                <w:szCs w:val="20"/>
                <w:u w:val="none"/>
                <w:lang w:val="en-US" w:eastAsia="zh-CN" w:bidi="ar"/>
              </w:rPr>
              <w:br/>
            </w:r>
            <w:r>
              <w:rPr>
                <w:rFonts w:hint="eastAsia" w:asciiTheme="minorEastAsia" w:hAnsiTheme="minorEastAsia" w:eastAsiaTheme="minorEastAsia" w:cstheme="minorEastAsia"/>
                <w:i w:val="0"/>
                <w:iCs w:val="0"/>
                <w:color w:val="000000"/>
                <w:sz w:val="20"/>
                <w:szCs w:val="20"/>
                <w:u w:val="none"/>
                <w:lang w:val="en-US" w:eastAsia="zh-CN" w:bidi="ar"/>
              </w:rPr>
              <w:t xml:space="preserve">参数类别 具体规格</w:t>
            </w:r>
            <w:r>
              <w:rPr>
                <w:rFonts w:hint="eastAsia" w:asciiTheme="minorEastAsia" w:hAnsiTheme="minorEastAsia" w:eastAsiaTheme="minorEastAsia" w:cstheme="minorEastAsia"/>
                <w:i w:val="0"/>
                <w:iCs w:val="0"/>
                <w:color w:val="000000"/>
                <w:sz w:val="20"/>
                <w:szCs w:val="20"/>
                <w:u w:val="none"/>
                <w:lang w:val="en-US" w:eastAsia="zh-CN" w:bidi="ar"/>
              </w:rPr>
              <w:br/>
            </w:r>
            <w:r>
              <w:rPr>
                <w:rFonts w:hint="eastAsia" w:asciiTheme="minorEastAsia" w:hAnsiTheme="minorEastAsia" w:eastAsiaTheme="minorEastAsia" w:cstheme="minorEastAsia"/>
                <w:i w:val="0"/>
                <w:iCs w:val="0"/>
                <w:color w:val="000000"/>
                <w:sz w:val="20"/>
                <w:szCs w:val="20"/>
                <w:u w:val="none"/>
                <w:lang w:val="en-US" w:eastAsia="zh-CN" w:bidi="ar"/>
              </w:rPr>
              <w:t xml:space="preserve">机身尺寸 长 302mm× 宽 252mm× 高 92mm</w:t>
            </w:r>
            <w:r>
              <w:rPr>
                <w:rFonts w:hint="eastAsia" w:asciiTheme="minorEastAsia" w:hAnsiTheme="minorEastAsia" w:eastAsiaTheme="minorEastAsia" w:cstheme="minorEastAsia"/>
                <w:i w:val="0"/>
                <w:iCs w:val="0"/>
                <w:color w:val="000000"/>
                <w:sz w:val="20"/>
                <w:szCs w:val="20"/>
                <w:u w:val="none"/>
                <w:lang w:val="en-US" w:eastAsia="zh-CN" w:bidi="ar"/>
              </w:rPr>
              <w:br/>
            </w:r>
            <w:r>
              <w:rPr>
                <w:rFonts w:hint="eastAsia" w:asciiTheme="minorEastAsia" w:hAnsiTheme="minorEastAsia" w:eastAsiaTheme="minorEastAsia" w:cstheme="minorEastAsia"/>
                <w:i w:val="0"/>
                <w:iCs w:val="0"/>
                <w:color w:val="000000"/>
                <w:sz w:val="20"/>
                <w:szCs w:val="20"/>
                <w:u w:val="none"/>
                <w:lang w:val="en-US" w:eastAsia="zh-CN" w:bidi="ar"/>
              </w:rPr>
              <w:t xml:space="preserve">机身重量 约 2.6kg</w:t>
            </w:r>
            <w:r>
              <w:rPr>
                <w:rFonts w:hint="eastAsia" w:asciiTheme="minorEastAsia" w:hAnsiTheme="minorEastAsia" w:eastAsiaTheme="minorEastAsia" w:cstheme="minorEastAsia"/>
                <w:i w:val="0"/>
                <w:iCs w:val="0"/>
                <w:color w:val="000000"/>
                <w:sz w:val="20"/>
                <w:szCs w:val="20"/>
                <w:u w:val="none"/>
                <w:lang w:val="en-US" w:eastAsia="zh-CN" w:bidi="ar"/>
              </w:rPr>
              <w:br/>
            </w:r>
            <w:r>
              <w:rPr>
                <w:rFonts w:hint="eastAsia" w:asciiTheme="minorEastAsia" w:hAnsiTheme="minorEastAsia" w:eastAsiaTheme="minorEastAsia" w:cstheme="minorEastAsia"/>
                <w:i w:val="0"/>
                <w:iCs w:val="0"/>
                <w:color w:val="000000"/>
                <w:sz w:val="20"/>
                <w:szCs w:val="20"/>
                <w:u w:val="none"/>
                <w:lang w:val="en-US" w:eastAsia="zh-CN" w:bidi="ar"/>
              </w:rPr>
              <w:t xml:space="preserve">便捷功能 6 秒开机，瞬间关机；接入 HDMI、VGA 和 USB - B 信号可自动开机；支持自动信号源搜索，配备图标式主控屏方便操作</w:t>
            </w:r>
            <w:r>
              <w:rPr>
                <w:rFonts w:hint="eastAsia" w:asciiTheme="minorEastAsia" w:hAnsiTheme="minorEastAsia" w:eastAsiaTheme="minorEastAsia" w:cstheme="minorEastAsia"/>
                <w:i w:val="0"/>
                <w:iCs w:val="0"/>
                <w:color w:val="000000"/>
                <w:sz w:val="20"/>
                <w:szCs w:val="20"/>
                <w:u w:val="none"/>
                <w:lang w:val="en-US" w:eastAsia="zh-CN" w:bidi="ar"/>
              </w:rPr>
              <w:br/>
            </w:r>
            <w:r>
              <w:rPr>
                <w:rFonts w:hint="eastAsia" w:asciiTheme="minorEastAsia" w:hAnsiTheme="minorEastAsia" w:eastAsiaTheme="minorEastAsia" w:cstheme="minorEastAsia"/>
                <w:i w:val="0"/>
                <w:iCs w:val="0"/>
                <w:color w:val="000000"/>
                <w:sz w:val="20"/>
                <w:szCs w:val="20"/>
                <w:u w:val="none"/>
                <w:lang w:val="en-US" w:eastAsia="zh-CN" w:bidi="ar"/>
              </w:rPr>
              <w:t xml:space="preserve">其他配置 内置 2W 扬声器，支持无线同屏，不支持蓝牙、3D 播放和智能系统；红外遥控控制，二级能效</w:t>
            </w:r>
            <w:r/>
          </w:p>
        </w:tc>
        <w:tc>
          <w:tcPr>
            <w:shd w:val="clear" w:color="auto" w:fill="auto"/>
            <w:tcW w:w="982"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lang w:val="en-US" w:eastAsia="zh-CN" w:bidi="ar"/>
              </w:rPr>
              <w:t xml:space="preserve">台</w:t>
            </w:r>
            <w:r/>
          </w:p>
        </w:tc>
        <w:tc>
          <w:tcPr>
            <w:shd w:val="clear" w:color="auto" w:fill="auto"/>
            <w:tcW w:w="971"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lang w:val="en-US" w:eastAsia="zh-CN" w:bidi="ar"/>
              </w:rPr>
              <w:t xml:space="preserve">1.00 </w:t>
            </w:r>
            <w:r/>
          </w:p>
        </w:tc>
      </w:tr>
      <w:tr>
        <w:trPr>
          <w:trHeight w:val="335"/>
        </w:trPr>
        <w:tc>
          <w:tcPr>
            <w:shd w:val="clear" w:color="auto" w:fill="auto"/>
            <w:tcW w:w="749"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lang w:val="en-US" w:eastAsia="zh-CN" w:bidi="ar"/>
              </w:rPr>
              <w:t xml:space="preserve">9</w:t>
            </w:r>
            <w:r/>
          </w:p>
        </w:tc>
        <w:tc>
          <w:tcPr>
            <w:shd w:val="clear" w:color="auto" w:fill="auto"/>
            <w:tcW w:w="1344"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lang w:val="en-US" w:eastAsia="zh-CN" w:bidi="ar"/>
              </w:rPr>
              <w:t xml:space="preserve">PAD</w:t>
            </w:r>
            <w:r/>
          </w:p>
        </w:tc>
        <w:tc>
          <w:tcPr>
            <w:shd w:val="clear" w:color="auto" w:fill="auto"/>
            <w:tcW w:w="4751"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lang w:val="en-US" w:eastAsia="zh-CN" w:bidi="ar"/>
              </w:rPr>
              <w:t xml:space="preserve">1、名称：PAD</w:t>
            </w:r>
            <w:r>
              <w:rPr>
                <w:rFonts w:hint="eastAsia" w:asciiTheme="minorEastAsia" w:hAnsiTheme="minorEastAsia" w:eastAsiaTheme="minorEastAsia" w:cstheme="minorEastAsia"/>
                <w:i w:val="0"/>
                <w:iCs w:val="0"/>
                <w:color w:val="000000"/>
                <w:sz w:val="20"/>
                <w:szCs w:val="20"/>
                <w:u w:val="none"/>
                <w:lang w:val="en-US" w:eastAsia="zh-CN" w:bidi="ar"/>
              </w:rPr>
              <w:br/>
            </w:r>
            <w:r>
              <w:rPr>
                <w:rFonts w:hint="eastAsia" w:asciiTheme="minorEastAsia" w:hAnsiTheme="minorEastAsia" w:eastAsiaTheme="minorEastAsia" w:cstheme="minorEastAsia"/>
                <w:i w:val="0"/>
                <w:iCs w:val="0"/>
                <w:color w:val="000000"/>
                <w:sz w:val="20"/>
                <w:szCs w:val="20"/>
                <w:u w:val="none"/>
                <w:lang w:val="en-US" w:eastAsia="zh-CN" w:bidi="ar"/>
              </w:rPr>
              <w:t xml:space="preserve">2、规格：6+128G</w:t>
            </w:r>
            <w:r/>
          </w:p>
        </w:tc>
        <w:tc>
          <w:tcPr>
            <w:shd w:val="clear" w:color="auto" w:fill="auto"/>
            <w:tcW w:w="982"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lang w:val="en-US" w:eastAsia="zh-CN" w:bidi="ar"/>
              </w:rPr>
              <w:t xml:space="preserve">台</w:t>
            </w:r>
            <w:r/>
          </w:p>
        </w:tc>
        <w:tc>
          <w:tcPr>
            <w:shd w:val="clear" w:color="auto" w:fill="auto"/>
            <w:tcW w:w="971"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lang w:val="en-US" w:eastAsia="zh-CN" w:bidi="ar"/>
              </w:rPr>
              <w:t xml:space="preserve">1.00 </w:t>
            </w:r>
            <w:r/>
          </w:p>
        </w:tc>
      </w:tr>
      <w:tr>
        <w:trPr>
          <w:trHeight w:val="500"/>
        </w:trPr>
        <w:tc>
          <w:tcPr>
            <w:shd w:val="clear" w:color="auto" w:fill="auto"/>
            <w:tcW w:w="749"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lang w:val="en-US" w:eastAsia="zh-CN" w:bidi="ar"/>
              </w:rPr>
              <w:t xml:space="preserve">10</w:t>
            </w:r>
            <w:r/>
          </w:p>
        </w:tc>
        <w:tc>
          <w:tcPr>
            <w:shd w:val="clear" w:color="auto" w:fill="auto"/>
            <w:tcW w:w="1344"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lang w:val="en-US" w:eastAsia="zh-CN" w:bidi="ar"/>
              </w:rPr>
              <w:t xml:space="preserve">服务器1</w:t>
            </w:r>
            <w:r/>
          </w:p>
        </w:tc>
        <w:tc>
          <w:tcPr>
            <w:shd w:val="clear" w:color="auto" w:fill="auto"/>
            <w:tcW w:w="4751"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lang w:val="en-US" w:eastAsia="zh-CN" w:bidi="ar"/>
              </w:rPr>
              <w:t xml:space="preserve">1、名称：中控</w:t>
            </w:r>
            <w:r>
              <w:rPr>
                <w:rFonts w:hint="eastAsia" w:asciiTheme="minorEastAsia" w:hAnsiTheme="minorEastAsia" w:eastAsiaTheme="minorEastAsia" w:cstheme="minorEastAsia"/>
                <w:i w:val="0"/>
                <w:iCs w:val="0"/>
                <w:color w:val="000000"/>
                <w:sz w:val="20"/>
                <w:szCs w:val="20"/>
                <w:u w:val="none"/>
                <w:lang w:val="en-US" w:eastAsia="zh-CN" w:bidi="ar"/>
              </w:rPr>
              <w:br/>
            </w:r>
            <w:r>
              <w:rPr>
                <w:rFonts w:hint="eastAsia" w:asciiTheme="minorEastAsia" w:hAnsiTheme="minorEastAsia" w:eastAsiaTheme="minorEastAsia" w:cstheme="minorEastAsia"/>
                <w:i w:val="0"/>
                <w:iCs w:val="0"/>
                <w:color w:val="000000"/>
                <w:sz w:val="20"/>
                <w:szCs w:val="20"/>
                <w:u w:val="none"/>
                <w:lang w:val="en-US" w:eastAsia="zh-CN" w:bidi="ar"/>
              </w:rPr>
              <w:t xml:space="preserve">主机</w:t>
            </w:r>
            <w:r>
              <w:rPr>
                <w:rFonts w:hint="eastAsia" w:asciiTheme="minorEastAsia" w:hAnsiTheme="minorEastAsia" w:eastAsiaTheme="minorEastAsia" w:cstheme="minorEastAsia"/>
                <w:i w:val="0"/>
                <w:iCs w:val="0"/>
                <w:color w:val="000000"/>
                <w:sz w:val="20"/>
                <w:szCs w:val="20"/>
                <w:u w:val="none"/>
                <w:lang w:val="en-US" w:eastAsia="zh-CN" w:bidi="ar"/>
              </w:rPr>
              <w:br/>
            </w:r>
            <w:r>
              <w:rPr>
                <w:rFonts w:hint="eastAsia" w:asciiTheme="minorEastAsia" w:hAnsiTheme="minorEastAsia" w:eastAsiaTheme="minorEastAsia" w:cstheme="minorEastAsia"/>
                <w:i w:val="0"/>
                <w:iCs w:val="0"/>
                <w:color w:val="000000"/>
                <w:sz w:val="20"/>
                <w:szCs w:val="20"/>
                <w:u w:val="none"/>
                <w:lang w:val="en-US" w:eastAsia="zh-CN" w:bidi="ar"/>
              </w:rPr>
              <w:t xml:space="preserve">2、规格：服务器主机</w:t>
            </w:r>
            <w:r/>
          </w:p>
        </w:tc>
        <w:tc>
          <w:tcPr>
            <w:shd w:val="clear" w:color="auto" w:fill="auto"/>
            <w:tcW w:w="982"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lang w:val="en-US" w:eastAsia="zh-CN" w:bidi="ar"/>
              </w:rPr>
              <w:t xml:space="preserve">台</w:t>
            </w:r>
            <w:r/>
          </w:p>
        </w:tc>
        <w:tc>
          <w:tcPr>
            <w:shd w:val="clear" w:color="auto" w:fill="auto"/>
            <w:tcW w:w="971"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lang w:val="en-US" w:eastAsia="zh-CN" w:bidi="ar"/>
              </w:rPr>
              <w:t xml:space="preserve">1.00 </w:t>
            </w:r>
            <w:r/>
          </w:p>
        </w:tc>
      </w:tr>
      <w:tr>
        <w:trPr>
          <w:trHeight w:val="4456"/>
        </w:trPr>
        <w:tc>
          <w:tcPr>
            <w:shd w:val="clear" w:color="auto" w:fill="auto"/>
            <w:tcW w:w="749"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lang w:val="en-US" w:eastAsia="zh-CN" w:bidi="ar"/>
              </w:rPr>
              <w:t xml:space="preserve">11</w:t>
            </w:r>
            <w:r/>
          </w:p>
        </w:tc>
        <w:tc>
          <w:tcPr>
            <w:shd w:val="clear" w:color="auto" w:fill="auto"/>
            <w:tcW w:w="1344" w:type="dxa"/>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lang w:val="en-US" w:eastAsia="zh-CN" w:bidi="ar"/>
              </w:rPr>
              <w:t xml:space="preserve">智能化</w:t>
            </w:r>
            <w:r/>
          </w:p>
        </w:tc>
        <w:tc>
          <w:tcPr>
            <w:shd w:val="clear" w:color="auto" w:fill="auto"/>
            <w:tcW w:w="4751"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lang w:val="en-US" w:eastAsia="zh-CN" w:bidi="ar"/>
              </w:rPr>
              <w:t xml:space="preserve">成品采购：展厅中控智能化系统，一、核心控制能力</w:t>
            </w:r>
            <w:r>
              <w:rPr>
                <w:rFonts w:hint="eastAsia" w:asciiTheme="minorEastAsia" w:hAnsiTheme="minorEastAsia" w:eastAsiaTheme="minorEastAsia" w:cstheme="minorEastAsia"/>
                <w:i w:val="0"/>
                <w:iCs w:val="0"/>
                <w:color w:val="000000"/>
                <w:sz w:val="20"/>
                <w:szCs w:val="20"/>
                <w:u w:val="none"/>
                <w:lang w:val="en-US" w:eastAsia="zh-CN" w:bidi="ar"/>
              </w:rPr>
              <w:br/>
            </w:r>
            <w:r>
              <w:rPr>
                <w:rFonts w:hint="eastAsia" w:asciiTheme="minorEastAsia" w:hAnsiTheme="minorEastAsia" w:eastAsiaTheme="minorEastAsia" w:cstheme="minorEastAsia"/>
                <w:i w:val="0"/>
                <w:iCs w:val="0"/>
                <w:color w:val="000000"/>
                <w:sz w:val="20"/>
                <w:szCs w:val="20"/>
                <w:u w:val="none"/>
                <w:lang w:val="en-US" w:eastAsia="zh-CN" w:bidi="ar"/>
              </w:rPr>
              <w:t xml:space="preserve">支持18种主流控制协议，含HDMI-CEC、DVI、RS485、KNX、TCP/IP等，可集中管控拼接屏、激光投影、LED屏、专业音响、舞台灯光、空调新风等12类设备，单系统最大接入设备数达128台，支持6个展厅分区独立控制。控制响应延迟≤50ms，指令执行准确率100%，多设备联动同步误差＜10ms。</w:t>
            </w:r>
            <w:r>
              <w:rPr>
                <w:rFonts w:hint="eastAsia" w:asciiTheme="minorEastAsia" w:hAnsiTheme="minorEastAsia" w:eastAsiaTheme="minorEastAsia" w:cstheme="minorEastAsia"/>
                <w:i w:val="0"/>
                <w:iCs w:val="0"/>
                <w:color w:val="000000"/>
                <w:sz w:val="20"/>
                <w:szCs w:val="20"/>
                <w:u w:val="none"/>
                <w:lang w:val="en-US" w:eastAsia="zh-CN" w:bidi="ar"/>
              </w:rPr>
              <w:br/>
            </w:r>
            <w:r>
              <w:rPr>
                <w:rFonts w:hint="eastAsia" w:asciiTheme="minorEastAsia" w:hAnsiTheme="minorEastAsia" w:eastAsiaTheme="minorEastAsia" w:cstheme="minorEastAsia"/>
                <w:i w:val="0"/>
                <w:iCs w:val="0"/>
                <w:color w:val="000000"/>
                <w:sz w:val="20"/>
                <w:szCs w:val="20"/>
                <w:u w:val="none"/>
                <w:lang w:val="en-US" w:eastAsia="zh-CN" w:bidi="ar"/>
              </w:rPr>
              <w:t xml:space="preserve">支持99组场景模式预设与一键调用，内置开馆、闭馆、演讲、互动等常用场景，支持用户自定义场景逻辑，场景切换时间≤1.5秒，适配展会、论坛等多元活动需求。</w:t>
            </w:r>
            <w:r>
              <w:rPr>
                <w:rFonts w:hint="eastAsia" w:asciiTheme="minorEastAsia" w:hAnsiTheme="minorEastAsia" w:eastAsiaTheme="minorEastAsia" w:cstheme="minorEastAsia"/>
                <w:i w:val="0"/>
                <w:iCs w:val="0"/>
                <w:color w:val="000000"/>
                <w:sz w:val="20"/>
                <w:szCs w:val="20"/>
                <w:u w:val="none"/>
                <w:lang w:val="en-US" w:eastAsia="zh-CN" w:bidi="ar"/>
              </w:rPr>
              <w:br/>
            </w:r>
            <w:r>
              <w:rPr>
                <w:rFonts w:hint="eastAsia" w:asciiTheme="minorEastAsia" w:hAnsiTheme="minorEastAsia" w:eastAsiaTheme="minorEastAsia" w:cstheme="minorEastAsia"/>
                <w:i w:val="0"/>
                <w:iCs w:val="0"/>
                <w:color w:val="000000"/>
                <w:sz w:val="20"/>
                <w:szCs w:val="20"/>
                <w:u w:val="none"/>
                <w:lang w:val="en-US" w:eastAsia="zh-CN" w:bidi="ar"/>
              </w:rPr>
              <w:t xml:space="preserve">二、硬件与交互参数 主控单元采用八核ARM Cortex-A76处理器，主频2.4GHz，搭配4GB DDR4内存+64GB存储，支持U盘扩展至128GB。接口含千兆网口×4、RS232/485串口×8、红外发射口×16、HDMI 2.1接口×4，兼容8K@30Hz视频信号传输，配备独立音频输入输出模块。支持触摸平板、手机APP、语音（兼容主流智能音箱）、墙面控制面板四种控制方式，支持权限分级管理，内置设备状态实时监测与故障报警功能。</w:t>
            </w:r>
            <w:r>
              <w:rPr>
                <w:rFonts w:hint="eastAsia" w:asciiTheme="minorEastAsia" w:hAnsiTheme="minorEastAsia" w:eastAsiaTheme="minorEastAsia" w:cstheme="minorEastAsia"/>
                <w:i w:val="0"/>
                <w:iCs w:val="0"/>
                <w:color w:val="000000"/>
                <w:sz w:val="20"/>
                <w:szCs w:val="20"/>
                <w:u w:val="none"/>
                <w:lang w:val="en-US" w:eastAsia="zh-CN" w:bidi="ar"/>
              </w:rPr>
              <w:br/>
            </w:r>
            <w:r>
              <w:rPr>
                <w:rFonts w:hint="eastAsia" w:asciiTheme="minorEastAsia" w:hAnsiTheme="minorEastAsia" w:eastAsiaTheme="minorEastAsia" w:cstheme="minorEastAsia"/>
                <w:i w:val="0"/>
                <w:iCs w:val="0"/>
                <w:color w:val="000000"/>
                <w:sz w:val="20"/>
                <w:szCs w:val="20"/>
                <w:u w:val="none"/>
                <w:lang w:val="en-US" w:eastAsia="zh-CN" w:bidi="ar"/>
              </w:rPr>
              <w:t xml:space="preserve">三、运行环境参数</w:t>
            </w:r>
            <w:r>
              <w:rPr>
                <w:rFonts w:hint="eastAsia" w:asciiTheme="minorEastAsia" w:hAnsiTheme="minorEastAsia" w:eastAsiaTheme="minorEastAsia" w:cstheme="minorEastAsia"/>
                <w:i w:val="0"/>
                <w:iCs w:val="0"/>
                <w:color w:val="000000"/>
                <w:sz w:val="20"/>
                <w:szCs w:val="20"/>
                <w:u w:val="none"/>
                <w:lang w:val="en-US" w:eastAsia="zh-CN" w:bidi="ar"/>
              </w:rPr>
              <w:br/>
            </w:r>
            <w:r>
              <w:rPr>
                <w:rFonts w:hint="eastAsia" w:asciiTheme="minorEastAsia" w:hAnsiTheme="minorEastAsia" w:eastAsiaTheme="minorEastAsia" w:cstheme="minorEastAsia"/>
                <w:i w:val="0"/>
                <w:iCs w:val="0"/>
                <w:color w:val="000000"/>
                <w:sz w:val="20"/>
                <w:szCs w:val="20"/>
                <w:u w:val="none"/>
                <w:lang w:val="en-US" w:eastAsia="zh-CN" w:bidi="ar"/>
              </w:rPr>
              <w:t xml:space="preserve">工作电压AC 100-240V，功率≤30W，机身尺寸2U标准机架式（438×200×88mm），支持机柜集中安装。工作温度-10-50℃，湿度5%-95%无结露，平均无故障时间≥80000小时，支持7×24小时连续运行。。</w:t>
            </w:r>
            <w:r/>
          </w:p>
        </w:tc>
        <w:tc>
          <w:tcPr>
            <w:shd w:val="clear" w:color="auto" w:fill="auto"/>
            <w:tcW w:w="982" w:type="dxa"/>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lang w:val="en-US" w:eastAsia="zh-CN" w:bidi="ar"/>
              </w:rPr>
              <w:t xml:space="preserve">项</w:t>
            </w:r>
            <w:r/>
          </w:p>
        </w:tc>
        <w:tc>
          <w:tcPr>
            <w:shd w:val="clear" w:color="auto" w:fill="auto"/>
            <w:tcW w:w="971"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lang w:val="en-US" w:eastAsia="zh-CN" w:bidi="ar"/>
              </w:rPr>
              <w:t xml:space="preserve">1.00 </w:t>
            </w:r>
            <w:r/>
          </w:p>
        </w:tc>
      </w:tr>
      <w:tr>
        <w:trPr>
          <w:trHeight w:val="335"/>
        </w:trPr>
        <w:tc>
          <w:tcPr>
            <w:shd w:val="clear" w:color="auto" w:fill="auto"/>
            <w:tcW w:w="749"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lang w:val="en-US" w:eastAsia="zh-CN" w:bidi="ar"/>
              </w:rPr>
              <w:t xml:space="preserve">12</w:t>
            </w:r>
            <w:r/>
          </w:p>
        </w:tc>
        <w:tc>
          <w:tcPr>
            <w:shd w:val="clear" w:color="auto" w:fill="auto"/>
            <w:tcW w:w="1344" w:type="dxa"/>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lang w:val="en-US" w:eastAsia="zh-CN" w:bidi="ar"/>
              </w:rPr>
              <w:t xml:space="preserve">综合布线系统</w:t>
            </w:r>
            <w:r/>
          </w:p>
        </w:tc>
        <w:tc>
          <w:tcPr>
            <w:shd w:val="clear" w:color="auto" w:fill="auto"/>
            <w:tcW w:w="4751"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lang w:val="en-US" w:eastAsia="zh-CN" w:bidi="ar"/>
              </w:rPr>
              <w:t xml:space="preserve">1.六类屏蔽网线、光纤、双通道DVI线、HDMI 1.4 线、扎带、标签纸、线管等。</w:t>
            </w:r>
            <w:r/>
          </w:p>
        </w:tc>
        <w:tc>
          <w:tcPr>
            <w:shd w:val="clear" w:color="auto" w:fill="auto"/>
            <w:tcW w:w="982" w:type="dxa"/>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lang w:val="en-US" w:eastAsia="zh-CN" w:bidi="ar"/>
              </w:rPr>
              <w:t xml:space="preserve">项</w:t>
            </w:r>
            <w:r/>
          </w:p>
        </w:tc>
        <w:tc>
          <w:tcPr>
            <w:shd w:val="clear" w:color="auto" w:fill="auto"/>
            <w:tcW w:w="971"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lang w:val="en-US" w:eastAsia="zh-CN" w:bidi="ar"/>
              </w:rPr>
              <w:t xml:space="preserve">1</w:t>
            </w:r>
            <w:r/>
          </w:p>
        </w:tc>
      </w:tr>
      <w:tr>
        <w:trPr>
          <w:trHeight w:val="2478"/>
        </w:trPr>
        <w:tc>
          <w:tcPr>
            <w:shd w:val="clear" w:color="auto" w:fill="auto"/>
            <w:tcW w:w="749"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lang w:val="en-US" w:eastAsia="zh-CN" w:bidi="ar"/>
              </w:rPr>
              <w:t xml:space="preserve">13</w:t>
            </w:r>
            <w:r/>
          </w:p>
        </w:tc>
        <w:tc>
          <w:tcPr>
            <w:shd w:val="clear" w:color="auto" w:fill="auto"/>
            <w:tcW w:w="1344"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lang w:val="en-US" w:eastAsia="zh-CN" w:bidi="ar"/>
              </w:rPr>
              <w:t xml:space="preserve">机柜、机架</w:t>
            </w:r>
            <w:r/>
          </w:p>
        </w:tc>
        <w:tc>
          <w:tcPr>
            <w:shd w:val="clear" w:color="auto" w:fill="auto"/>
            <w:tcW w:w="4751"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lang w:val="en-US" w:eastAsia="zh-CN" w:bidi="ar"/>
              </w:rPr>
              <w:t xml:space="preserve">1、名称：机柜</w:t>
            </w:r>
            <w:r>
              <w:rPr>
                <w:rFonts w:hint="eastAsia" w:asciiTheme="minorEastAsia" w:hAnsiTheme="minorEastAsia" w:eastAsiaTheme="minorEastAsia" w:cstheme="minorEastAsia"/>
                <w:i w:val="0"/>
                <w:iCs w:val="0"/>
                <w:color w:val="000000"/>
                <w:sz w:val="20"/>
                <w:szCs w:val="20"/>
                <w:u w:val="none"/>
                <w:lang w:val="en-US" w:eastAsia="zh-CN" w:bidi="ar"/>
              </w:rPr>
              <w:br/>
            </w:r>
            <w:r>
              <w:rPr>
                <w:rFonts w:hint="eastAsia" w:asciiTheme="minorEastAsia" w:hAnsiTheme="minorEastAsia" w:eastAsiaTheme="minorEastAsia" w:cstheme="minorEastAsia"/>
                <w:i w:val="0"/>
                <w:iCs w:val="0"/>
                <w:color w:val="000000"/>
                <w:sz w:val="20"/>
                <w:szCs w:val="20"/>
                <w:u w:val="none"/>
                <w:lang w:val="en-US" w:eastAsia="zh-CN" w:bidi="ar"/>
              </w:rPr>
              <w:t xml:space="preserve">2、规格：600*600*2</w:t>
            </w:r>
            <w:r>
              <w:rPr>
                <w:rFonts w:hint="eastAsia" w:asciiTheme="minorEastAsia" w:hAnsiTheme="minorEastAsia" w:eastAsiaTheme="minorEastAsia" w:cstheme="minorEastAsia"/>
                <w:i w:val="0"/>
                <w:iCs w:val="0"/>
                <w:color w:val="000000"/>
                <w:sz w:val="20"/>
                <w:szCs w:val="20"/>
                <w:u w:val="none"/>
                <w:lang w:val="en-US" w:eastAsia="zh-CN" w:bidi="ar"/>
              </w:rPr>
              <w:br/>
            </w:r>
            <w:r>
              <w:rPr>
                <w:rFonts w:hint="eastAsia" w:asciiTheme="minorEastAsia" w:hAnsiTheme="minorEastAsia" w:eastAsiaTheme="minorEastAsia" w:cstheme="minorEastAsia"/>
                <w:i w:val="0"/>
                <w:iCs w:val="0"/>
                <w:color w:val="000000"/>
                <w:sz w:val="20"/>
                <w:szCs w:val="20"/>
                <w:u w:val="none"/>
                <w:lang w:val="en-US" w:eastAsia="zh-CN" w:bidi="ar"/>
              </w:rPr>
              <w:t xml:space="preserve">000 600×600×2000（宽 × 深 × 高，单位 mm）是机房 / 弱电机房常用标准机柜，核心适配设备安装、布线管理与散热需求，以下是详细参数及规格：</w:t>
            </w:r>
            <w:r>
              <w:rPr>
                <w:rFonts w:hint="eastAsia" w:asciiTheme="minorEastAsia" w:hAnsiTheme="minorEastAsia" w:eastAsiaTheme="minorEastAsia" w:cstheme="minorEastAsia"/>
                <w:i w:val="0"/>
                <w:iCs w:val="0"/>
                <w:color w:val="000000"/>
                <w:sz w:val="20"/>
                <w:szCs w:val="20"/>
                <w:u w:val="none"/>
                <w:lang w:val="en-US" w:eastAsia="zh-CN" w:bidi="ar"/>
              </w:rPr>
              <w:br/>
            </w:r>
            <w:r>
              <w:rPr>
                <w:rFonts w:hint="eastAsia" w:asciiTheme="minorEastAsia" w:hAnsiTheme="minorEastAsia" w:eastAsiaTheme="minorEastAsia" w:cstheme="minorEastAsia"/>
                <w:i w:val="0"/>
                <w:iCs w:val="0"/>
                <w:color w:val="000000"/>
                <w:sz w:val="20"/>
                <w:szCs w:val="20"/>
                <w:u w:val="none"/>
                <w:lang w:val="en-US" w:eastAsia="zh-CN" w:bidi="ar"/>
              </w:rPr>
              <w:t xml:space="preserve">一、核心物理参数</w:t>
            </w:r>
            <w:r>
              <w:rPr>
                <w:rFonts w:hint="eastAsia" w:asciiTheme="minorEastAsia" w:hAnsiTheme="minorEastAsia" w:eastAsiaTheme="minorEastAsia" w:cstheme="minorEastAsia"/>
                <w:i w:val="0"/>
                <w:iCs w:val="0"/>
                <w:color w:val="000000"/>
                <w:sz w:val="20"/>
                <w:szCs w:val="20"/>
                <w:u w:val="none"/>
                <w:lang w:val="en-US" w:eastAsia="zh-CN" w:bidi="ar"/>
              </w:rPr>
              <w:br/>
            </w:r>
            <w:r>
              <w:rPr>
                <w:rFonts w:hint="eastAsia" w:asciiTheme="minorEastAsia" w:hAnsiTheme="minorEastAsia" w:eastAsiaTheme="minorEastAsia" w:cstheme="minorEastAsia"/>
                <w:i w:val="0"/>
                <w:iCs w:val="0"/>
                <w:color w:val="000000"/>
                <w:sz w:val="20"/>
                <w:szCs w:val="20"/>
                <w:u w:val="none"/>
                <w:lang w:val="en-US" w:eastAsia="zh-CN" w:bidi="ar"/>
              </w:rPr>
              <w:t xml:space="preserve">外形尺寸：宽 600mm× 深 600mm× 高 2000mm（不含脚轮 / 顶盖，含脚轮总高约 2080mm）。</w:t>
            </w:r>
            <w:r>
              <w:rPr>
                <w:rFonts w:hint="eastAsia" w:asciiTheme="minorEastAsia" w:hAnsiTheme="minorEastAsia" w:eastAsiaTheme="minorEastAsia" w:cstheme="minorEastAsia"/>
                <w:i w:val="0"/>
                <w:iCs w:val="0"/>
                <w:color w:val="000000"/>
                <w:sz w:val="20"/>
                <w:szCs w:val="20"/>
                <w:u w:val="none"/>
                <w:lang w:val="en-US" w:eastAsia="zh-CN" w:bidi="ar"/>
              </w:rPr>
              <w:br/>
            </w:r>
            <w:r>
              <w:rPr>
                <w:rFonts w:hint="eastAsia" w:asciiTheme="minorEastAsia" w:hAnsiTheme="minorEastAsia" w:eastAsiaTheme="minorEastAsia" w:cstheme="minorEastAsia"/>
                <w:i w:val="0"/>
                <w:iCs w:val="0"/>
                <w:color w:val="000000"/>
                <w:sz w:val="20"/>
                <w:szCs w:val="20"/>
                <w:u w:val="none"/>
                <w:lang w:val="en-US" w:eastAsia="zh-CN" w:bidi="ar"/>
              </w:rPr>
              <w:t xml:space="preserve">机柜容量：37U（1U=44.45mm，2000mm 高度对应标准 U 数，适配 37 台 1U 设备叠加安装）。</w:t>
            </w:r>
            <w:r>
              <w:rPr>
                <w:rFonts w:hint="eastAsia" w:asciiTheme="minorEastAsia" w:hAnsiTheme="minorEastAsia" w:eastAsiaTheme="minorEastAsia" w:cstheme="minorEastAsia"/>
                <w:i w:val="0"/>
                <w:iCs w:val="0"/>
                <w:color w:val="000000"/>
                <w:sz w:val="20"/>
                <w:szCs w:val="20"/>
                <w:u w:val="none"/>
                <w:lang w:val="en-US" w:eastAsia="zh-CN" w:bidi="ar"/>
              </w:rPr>
              <w:br/>
            </w:r>
            <w:r>
              <w:rPr>
                <w:rFonts w:hint="eastAsia" w:asciiTheme="minorEastAsia" w:hAnsiTheme="minorEastAsia" w:eastAsiaTheme="minorEastAsia" w:cstheme="minorEastAsia"/>
                <w:i w:val="0"/>
                <w:iCs w:val="0"/>
                <w:color w:val="000000"/>
                <w:sz w:val="20"/>
                <w:szCs w:val="20"/>
                <w:u w:val="none"/>
                <w:lang w:val="en-US" w:eastAsia="zh-CN" w:bidi="ar"/>
              </w:rPr>
              <w:t xml:space="preserve">板材规格：框架 1.5-2.0mm 冷轧钢板，门板 / 侧板 1.0-1.2mm 冷轧钢板，承重更稳固。</w:t>
            </w:r>
            <w:r>
              <w:rPr>
                <w:rFonts w:hint="eastAsia" w:asciiTheme="minorEastAsia" w:hAnsiTheme="minorEastAsia" w:eastAsiaTheme="minorEastAsia" w:cstheme="minorEastAsia"/>
                <w:i w:val="0"/>
                <w:iCs w:val="0"/>
                <w:color w:val="000000"/>
                <w:sz w:val="20"/>
                <w:szCs w:val="20"/>
                <w:u w:val="none"/>
                <w:lang w:val="en-US" w:eastAsia="zh-CN" w:bidi="ar"/>
              </w:rPr>
              <w:br/>
            </w:r>
            <w:r>
              <w:rPr>
                <w:rFonts w:hint="eastAsia" w:asciiTheme="minorEastAsia" w:hAnsiTheme="minorEastAsia" w:eastAsiaTheme="minorEastAsia" w:cstheme="minorEastAsia"/>
                <w:i w:val="0"/>
                <w:iCs w:val="0"/>
                <w:color w:val="000000"/>
                <w:sz w:val="20"/>
                <w:szCs w:val="20"/>
                <w:u w:val="none"/>
                <w:lang w:val="en-US" w:eastAsia="zh-CN" w:bidi="ar"/>
              </w:rPr>
              <w:t xml:space="preserve">重量参数：空柜重量 45-60kg，静态承重 800-1000kg（地面安装）、动态承重 500-600kg（含脚轮移动）。</w:t>
            </w:r>
            <w:r/>
          </w:p>
        </w:tc>
        <w:tc>
          <w:tcPr>
            <w:shd w:val="clear" w:color="auto" w:fill="auto"/>
            <w:tcW w:w="982"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lang w:val="en-US" w:eastAsia="zh-CN" w:bidi="ar"/>
              </w:rPr>
              <w:t xml:space="preserve">台</w:t>
            </w:r>
            <w:r/>
          </w:p>
        </w:tc>
        <w:tc>
          <w:tcPr>
            <w:shd w:val="clear" w:color="auto" w:fill="auto"/>
            <w:tcW w:w="971"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lang w:val="en-US" w:eastAsia="zh-CN" w:bidi="ar"/>
              </w:rPr>
              <w:t xml:space="preserve">1.00 </w:t>
            </w:r>
            <w:r/>
          </w:p>
        </w:tc>
      </w:tr>
      <w:tr>
        <w:trPr>
          <w:trHeight w:val="4786"/>
        </w:trPr>
        <w:tc>
          <w:tcPr>
            <w:shd w:val="clear" w:color="auto" w:fill="auto"/>
            <w:tcW w:w="749"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lang w:val="en-US" w:eastAsia="zh-CN" w:bidi="ar"/>
              </w:rPr>
              <w:t xml:space="preserve">14</w:t>
            </w:r>
            <w:r/>
          </w:p>
        </w:tc>
        <w:tc>
          <w:tcPr>
            <w:shd w:val="clear" w:color="auto" w:fill="auto"/>
            <w:tcW w:w="1344"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lang w:val="en-US" w:eastAsia="zh-CN" w:bidi="ar"/>
              </w:rPr>
              <w:t xml:space="preserve">路由器</w:t>
            </w:r>
            <w:r/>
          </w:p>
        </w:tc>
        <w:tc>
          <w:tcPr>
            <w:shd w:val="clear" w:color="auto" w:fill="auto"/>
            <w:tcW w:w="4751" w:type="dxa"/>
            <w:vAlign w:val="center"/>
            <w:textDirection w:val="lrTb"/>
            <w:noWrap w:val="false"/>
          </w:tcPr>
          <w:p>
            <w:pPr>
              <w:numPr>
                <w:ilvl w:val="0"/>
                <w:numId w:val="2"/>
              </w:numPr>
              <w:jc w:val="left"/>
              <w:keepLines w:val="0"/>
              <w:keepNext w:val="0"/>
              <w:widowControl/>
              <w:rPr>
                <w:rFonts w:hint="eastAsia" w:asciiTheme="minorEastAsia" w:hAnsiTheme="minorEastAsia" w:eastAsiaTheme="minorEastAsia" w:cstheme="minorEastAsia"/>
                <w:i w:val="0"/>
                <w:iCs w:val="0"/>
                <w:color w:val="000000"/>
                <w:sz w:val="20"/>
                <w:szCs w:val="20"/>
                <w:u w:val="none"/>
                <w:lang w:val="en-US" w:eastAsia="zh-CN" w:bidi="ar"/>
              </w:rPr>
              <w:suppressLineNumbers w:val="0"/>
            </w:pPr>
            <w:r>
              <w:rPr>
                <w:rFonts w:hint="eastAsia" w:asciiTheme="minorEastAsia" w:hAnsiTheme="minorEastAsia" w:eastAsiaTheme="minorEastAsia" w:cstheme="minorEastAsia"/>
                <w:i w:val="0"/>
                <w:iCs w:val="0"/>
                <w:color w:val="000000"/>
                <w:sz w:val="20"/>
                <w:szCs w:val="20"/>
                <w:u w:val="none"/>
                <w:lang w:val="en-US" w:eastAsia="zh-CN" w:bidi="ar"/>
              </w:rPr>
              <w:t xml:space="preserve">名称：路由器 、核心无线参数</w:t>
            </w:r>
            <w:r>
              <w:rPr>
                <w:rFonts w:hint="eastAsia" w:asciiTheme="minorEastAsia" w:hAnsiTheme="minorEastAsia" w:eastAsiaTheme="minorEastAsia" w:cstheme="minorEastAsia"/>
                <w:i w:val="0"/>
                <w:iCs w:val="0"/>
                <w:color w:val="000000"/>
                <w:sz w:val="20"/>
                <w:szCs w:val="20"/>
                <w:u w:val="none"/>
                <w:lang w:val="en-US" w:eastAsia="zh-CN" w:bidi="ar"/>
              </w:rPr>
              <w:br/>
            </w:r>
            <w:r>
              <w:rPr>
                <w:rFonts w:hint="eastAsia" w:asciiTheme="minorEastAsia" w:hAnsiTheme="minorEastAsia" w:eastAsiaTheme="minorEastAsia" w:cstheme="minorEastAsia"/>
                <w:i w:val="0"/>
                <w:iCs w:val="0"/>
                <w:color w:val="000000"/>
                <w:sz w:val="20"/>
                <w:szCs w:val="20"/>
                <w:u w:val="none"/>
                <w:lang w:val="en-US" w:eastAsia="zh-CN" w:bidi="ar"/>
              </w:rPr>
              <w:t xml:space="preserve">兼容HDMI-CEC、RS485、KNX、TCP/IP等18种协议，可集中管控LED屏、激光投影、专业音响、舞台灯光等12类设备，单系统最大接入设备128台，支持6个分区独立控制。控制响应延迟≤</w:t>
            </w:r>
            <w:r>
              <w:rPr>
                <w:rFonts w:hint="eastAsia" w:asciiTheme="minorEastAsia" w:hAnsiTheme="minorEastAsia" w:eastAsiaTheme="minorEastAsia" w:cstheme="minorEastAsia"/>
                <w:i w:val="0"/>
                <w:iCs w:val="0"/>
                <w:color w:val="000000"/>
                <w:sz w:val="20"/>
                <w:szCs w:val="20"/>
                <w:u w:val="none"/>
                <w:lang w:val="en-US" w:eastAsia="zh-CN" w:bidi="ar"/>
              </w:rPr>
              <w:t xml:space="preserve">50ms，多设备联动同步误差＜10ms，保障互动展项流畅运行。支持99组场景预设，场景切换时间≤1.5秒，适配展会、论坛等多元活动。主流型号支持Wi-Fi 6/7标准，双频并发总速率最高达6430Mbps，其中5GHz频段速率可达5764Mbps，适配高速宽带与低延迟需求；2.4GHz频段速率574Mbps，覆盖半径达15米。搭载OFDMA+MU-MIMO技术，可同时处理64台设备数据传输，避免多设备联网卡顿。配备AI优化“像素天线”与独立FEM，穿墙后速率仍能保持320-450Mbps。二、硬件与交互参数</w:t>
            </w:r>
            <w:r/>
          </w:p>
          <w:p>
            <w:pPr>
              <w:numPr>
                <w:ilvl w:val="0"/>
                <w:numId w:val="0"/>
              </w:num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lang w:val="en-US" w:eastAsia="zh-CN" w:bidi="ar"/>
              </w:rPr>
              <w:t xml:space="preserve">二、接口与硬件参数</w:t>
            </w:r>
            <w:r>
              <w:rPr>
                <w:rFonts w:hint="eastAsia" w:asciiTheme="minorEastAsia" w:hAnsiTheme="minorEastAsia" w:eastAsiaTheme="minorEastAsia" w:cstheme="minorEastAsia"/>
                <w:i w:val="0"/>
                <w:iCs w:val="0"/>
                <w:color w:val="000000"/>
                <w:sz w:val="20"/>
                <w:szCs w:val="20"/>
                <w:u w:val="none"/>
                <w:lang w:val="en-US" w:eastAsia="zh-CN" w:bidi="ar"/>
              </w:rPr>
              <w:br/>
            </w:r>
            <w:r>
              <w:rPr>
                <w:rFonts w:hint="eastAsia" w:asciiTheme="minorEastAsia" w:hAnsiTheme="minorEastAsia" w:eastAsiaTheme="minorEastAsia" w:cstheme="minorEastAsia"/>
                <w:i w:val="0"/>
                <w:iCs w:val="0"/>
                <w:color w:val="000000"/>
                <w:sz w:val="20"/>
                <w:szCs w:val="20"/>
                <w:u w:val="none"/>
                <w:lang w:val="en-US" w:eastAsia="zh-CN" w:bidi="ar"/>
              </w:rPr>
              <w:t xml:space="preserve">主控采用八核ARM Cortex-A76处理器，主频2.4GHz，搭配4GB DDR4内存+</w:t>
            </w:r>
            <w:r>
              <w:rPr>
                <w:rFonts w:hint="eastAsia" w:asciiTheme="minorEastAsia" w:hAnsiTheme="minorEastAsia" w:eastAsiaTheme="minorEastAsia" w:cstheme="minorEastAsia"/>
                <w:i w:val="0"/>
                <w:iCs w:val="0"/>
                <w:color w:val="000000"/>
                <w:sz w:val="20"/>
                <w:szCs w:val="20"/>
                <w:u w:val="none"/>
                <w:lang w:val="en-US" w:eastAsia="zh-CN" w:bidi="ar"/>
              </w:rPr>
              <w:t xml:space="preserve">64GB存储。接口含千兆网口×4、RS232/485串口×8、红外发射口×16、HDMI 2.1接口×4，兼容8K@30Hz信号。支持触摸平板、手机APP、语音、墙面面板四种控制方式，内置权限分级管理与设备故障报警功能。配备1个2.5G WAN/LAN自适应口+3个千兆以太网口，支持2000Mbps宽带接入，满足NAS搭建与高清文件传输。部分型号含专用游戏LAN口，内置网易UU等加速服务，游戏延迟显著降低。采用高性能处理芯片，搭配128MB-256MB内存，保障数据处理高效稳定，支持双WAN、负载均衡功能。</w:t>
            </w:r>
            <w:r/>
          </w:p>
        </w:tc>
        <w:tc>
          <w:tcPr>
            <w:shd w:val="clear" w:color="auto" w:fill="auto"/>
            <w:tcW w:w="982"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lang w:val="en-US" w:eastAsia="zh-CN" w:bidi="ar"/>
              </w:rPr>
              <w:t xml:space="preserve">台(套</w:t>
            </w:r>
            <w:r>
              <w:rPr>
                <w:rFonts w:hint="eastAsia" w:asciiTheme="minorEastAsia" w:hAnsiTheme="minorEastAsia" w:eastAsiaTheme="minorEastAsia" w:cstheme="minorEastAsia"/>
                <w:i w:val="0"/>
                <w:iCs w:val="0"/>
                <w:color w:val="000000"/>
                <w:sz w:val="20"/>
                <w:szCs w:val="20"/>
                <w:u w:val="none"/>
                <w:lang w:val="en-US" w:eastAsia="zh-CN" w:bidi="ar"/>
              </w:rPr>
              <w:br/>
            </w:r>
            <w:r>
              <w:rPr>
                <w:rFonts w:hint="eastAsia" w:asciiTheme="minorEastAsia" w:hAnsiTheme="minorEastAsia" w:eastAsiaTheme="minorEastAsia" w:cstheme="minorEastAsia"/>
                <w:i w:val="0"/>
                <w:iCs w:val="0"/>
                <w:color w:val="000000"/>
                <w:sz w:val="20"/>
                <w:szCs w:val="20"/>
                <w:u w:val="none"/>
                <w:lang w:val="en-US" w:eastAsia="zh-CN" w:bidi="ar"/>
              </w:rPr>
              <w:t xml:space="preserve">)</w:t>
            </w:r>
            <w:r/>
          </w:p>
        </w:tc>
        <w:tc>
          <w:tcPr>
            <w:shd w:val="clear" w:color="auto" w:fill="auto"/>
            <w:tcW w:w="971"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lang w:val="en-US" w:eastAsia="zh-CN" w:bidi="ar"/>
              </w:rPr>
              <w:t xml:space="preserve">3.00 </w:t>
            </w:r>
            <w:r/>
          </w:p>
        </w:tc>
      </w:tr>
      <w:tr>
        <w:trPr>
          <w:trHeight w:val="2313"/>
        </w:trPr>
        <w:tc>
          <w:tcPr>
            <w:shd w:val="clear" w:color="auto" w:fill="auto"/>
            <w:tcW w:w="749"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lang w:val="en-US" w:eastAsia="zh-CN" w:bidi="ar"/>
              </w:rPr>
              <w:t xml:space="preserve">15</w:t>
            </w:r>
            <w:r/>
          </w:p>
        </w:tc>
        <w:tc>
          <w:tcPr>
            <w:shd w:val="clear" w:color="auto" w:fill="auto"/>
            <w:tcW w:w="1344"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lang w:val="en-US" w:eastAsia="zh-CN" w:bidi="ar"/>
              </w:rPr>
              <w:t xml:space="preserve">交换机1</w:t>
            </w:r>
            <w:r/>
          </w:p>
        </w:tc>
        <w:tc>
          <w:tcPr>
            <w:shd w:val="clear" w:color="auto" w:fill="auto"/>
            <w:tcW w:w="4751"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lang w:val="en-US" w:eastAsia="zh-CN" w:bidi="ar"/>
              </w:rPr>
              <w:t xml:space="preserve">1、名称： 24口千兆</w:t>
            </w:r>
            <w:r>
              <w:rPr>
                <w:rFonts w:hint="eastAsia" w:asciiTheme="minorEastAsia" w:hAnsiTheme="minorEastAsia" w:eastAsiaTheme="minorEastAsia" w:cstheme="minorEastAsia"/>
                <w:i w:val="0"/>
                <w:iCs w:val="0"/>
                <w:color w:val="000000"/>
                <w:sz w:val="20"/>
                <w:szCs w:val="20"/>
                <w:u w:val="none"/>
                <w:lang w:val="en-US" w:eastAsia="zh-CN" w:bidi="ar"/>
              </w:rPr>
              <w:br/>
            </w:r>
            <w:r>
              <w:rPr>
                <w:rFonts w:hint="eastAsia" w:asciiTheme="minorEastAsia" w:hAnsiTheme="minorEastAsia" w:eastAsiaTheme="minorEastAsia" w:cstheme="minorEastAsia"/>
                <w:i w:val="0"/>
                <w:iCs w:val="0"/>
                <w:color w:val="000000"/>
                <w:sz w:val="20"/>
                <w:szCs w:val="20"/>
                <w:u w:val="none"/>
                <w:lang w:val="en-US" w:eastAsia="zh-CN" w:bidi="ar"/>
              </w:rPr>
              <w:t xml:space="preserve">交换机 核心交换参数 交换容量 672Gbps/6.72Tbps，包转发率 96/126Mpps，支持多种 VLAN 划分及 RIP 动态路由协议</w:t>
            </w:r>
            <w:r>
              <w:rPr>
                <w:rFonts w:hint="eastAsia" w:asciiTheme="minorEastAsia" w:hAnsiTheme="minorEastAsia" w:eastAsiaTheme="minorEastAsia" w:cstheme="minorEastAsia"/>
                <w:i w:val="0"/>
                <w:iCs w:val="0"/>
                <w:color w:val="000000"/>
                <w:sz w:val="20"/>
                <w:szCs w:val="20"/>
                <w:u w:val="none"/>
                <w:lang w:val="en-US" w:eastAsia="zh-CN" w:bidi="ar"/>
              </w:rPr>
              <w:br/>
            </w:r>
            <w:r>
              <w:rPr>
                <w:rFonts w:hint="eastAsia" w:asciiTheme="minorEastAsia" w:hAnsiTheme="minorEastAsia" w:eastAsiaTheme="minorEastAsia" w:cstheme="minorEastAsia"/>
                <w:i w:val="0"/>
                <w:iCs w:val="0"/>
                <w:color w:val="000000"/>
                <w:sz w:val="20"/>
                <w:szCs w:val="20"/>
                <w:u w:val="none"/>
                <w:lang w:val="en-US" w:eastAsia="zh-CN" w:bidi="ar"/>
              </w:rPr>
              <w:t xml:space="preserve">端口配置 24 个千兆 RJ45 端口（均支持 IEEE 802.3at/af 标准 PoE 供电，单端口最大 30W），4 个独立千兆 SFP 口，1 个 console 口；整机最大 PoE 供电功率 375W</w:t>
            </w:r>
            <w:r>
              <w:rPr>
                <w:rFonts w:hint="eastAsia" w:asciiTheme="minorEastAsia" w:hAnsiTheme="minorEastAsia" w:eastAsiaTheme="minorEastAsia" w:cstheme="minorEastAsia"/>
                <w:i w:val="0"/>
                <w:iCs w:val="0"/>
                <w:color w:val="000000"/>
                <w:sz w:val="20"/>
                <w:szCs w:val="20"/>
                <w:u w:val="none"/>
                <w:lang w:val="en-US" w:eastAsia="zh-CN" w:bidi="ar"/>
              </w:rPr>
              <w:br/>
            </w:r>
            <w:r>
              <w:rPr>
                <w:rFonts w:hint="eastAsia" w:asciiTheme="minorEastAsia" w:hAnsiTheme="minorEastAsia" w:eastAsiaTheme="minorEastAsia" w:cstheme="minorEastAsia"/>
                <w:i w:val="0"/>
                <w:iCs w:val="0"/>
                <w:color w:val="000000"/>
                <w:sz w:val="20"/>
                <w:szCs w:val="20"/>
                <w:u w:val="none"/>
                <w:lang w:val="en-US" w:eastAsia="zh-CN" w:bidi="ar"/>
              </w:rPr>
              <w:t xml:space="preserve">电气与物理参数 输入电源 220V 50Hz，非 PoE 供电功耗 31W，PoE 满载功耗 406W；尺寸 440mm×330mm×44mm，支持风扇智能调速</w:t>
            </w:r>
            <w:r>
              <w:rPr>
                <w:rFonts w:hint="eastAsia" w:asciiTheme="minorEastAsia" w:hAnsiTheme="minorEastAsia" w:eastAsiaTheme="minorEastAsia" w:cstheme="minorEastAsia"/>
                <w:i w:val="0"/>
                <w:iCs w:val="0"/>
                <w:color w:val="000000"/>
                <w:sz w:val="20"/>
                <w:szCs w:val="20"/>
                <w:u w:val="none"/>
                <w:lang w:val="en-US" w:eastAsia="zh-CN" w:bidi="ar"/>
              </w:rPr>
              <w:br/>
            </w:r>
            <w:r>
              <w:rPr>
                <w:rFonts w:hint="eastAsia" w:asciiTheme="minorEastAsia" w:hAnsiTheme="minorEastAsia" w:eastAsiaTheme="minorEastAsia" w:cstheme="minorEastAsia"/>
                <w:i w:val="0"/>
                <w:iCs w:val="0"/>
                <w:color w:val="000000"/>
                <w:sz w:val="20"/>
                <w:szCs w:val="20"/>
                <w:u w:val="none"/>
                <w:lang w:val="en-US" w:eastAsia="zh-CN" w:bidi="ar"/>
              </w:rPr>
              <w:t xml:space="preserve">核心特性 支持 IP - MAC - Port - VID 四元绑定、Dos 防护等安全功能，支持云平台远程管理和手机 APP 管理，还可通过 Web、Telnet 等方式管理</w:t>
            </w:r>
            <w:r/>
          </w:p>
        </w:tc>
        <w:tc>
          <w:tcPr>
            <w:shd w:val="clear" w:color="auto" w:fill="auto"/>
            <w:tcW w:w="982"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lang w:val="en-US" w:eastAsia="zh-CN" w:bidi="ar"/>
              </w:rPr>
              <w:t xml:space="preserve">台</w:t>
            </w:r>
            <w:r/>
          </w:p>
        </w:tc>
        <w:tc>
          <w:tcPr>
            <w:shd w:val="clear" w:color="auto" w:fill="auto"/>
            <w:tcW w:w="971"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lang w:val="en-US" w:eastAsia="zh-CN" w:bidi="ar"/>
              </w:rPr>
              <w:t xml:space="preserve">1.00 </w:t>
            </w:r>
            <w:r/>
          </w:p>
        </w:tc>
      </w:tr>
      <w:tr>
        <w:trPr>
          <w:trHeight w:val="171"/>
        </w:trPr>
        <w:tc>
          <w:tcPr>
            <w:shd w:val="clear" w:color="auto" w:fill="auto"/>
            <w:tcW w:w="749"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lang w:val="en-US" w:eastAsia="zh-CN" w:bidi="ar"/>
              </w:rPr>
              <w:t xml:space="preserve">16</w:t>
            </w:r>
            <w:r/>
          </w:p>
        </w:tc>
        <w:tc>
          <w:tcPr>
            <w:shd w:val="clear" w:color="auto" w:fill="auto"/>
            <w:tcW w:w="1344"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lang w:val="en-US" w:eastAsia="zh-CN" w:bidi="ar"/>
              </w:rPr>
              <w:t xml:space="preserve">监控摄像设备1</w:t>
            </w:r>
            <w:r/>
          </w:p>
        </w:tc>
        <w:tc>
          <w:tcPr>
            <w:shd w:val="clear" w:color="auto" w:fill="auto"/>
            <w:tcW w:w="4751"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lang w:val="en-US" w:eastAsia="zh-CN" w:bidi="ar"/>
              </w:rPr>
              <w:t xml:space="preserve">1、名称：  高清摄像头</w:t>
            </w:r>
            <w:r>
              <w:rPr>
                <w:rFonts w:hint="eastAsia" w:asciiTheme="minorEastAsia" w:hAnsiTheme="minorEastAsia" w:eastAsiaTheme="minorEastAsia" w:cstheme="minorEastAsia"/>
                <w:i w:val="0"/>
                <w:iCs w:val="0"/>
                <w:color w:val="000000"/>
                <w:sz w:val="20"/>
                <w:szCs w:val="20"/>
                <w:u w:val="none"/>
                <w:lang w:val="en-US" w:eastAsia="zh-CN" w:bidi="ar"/>
              </w:rPr>
              <w:br/>
            </w:r>
            <w:r>
              <w:rPr>
                <w:rFonts w:hint="eastAsia" w:asciiTheme="minorEastAsia" w:hAnsiTheme="minorEastAsia" w:eastAsiaTheme="minorEastAsia" w:cstheme="minorEastAsia"/>
                <w:i w:val="0"/>
                <w:iCs w:val="0"/>
                <w:color w:val="000000"/>
                <w:sz w:val="20"/>
                <w:szCs w:val="20"/>
                <w:u w:val="none"/>
                <w:lang w:val="en-US" w:eastAsia="zh-CN" w:bidi="ar"/>
              </w:rPr>
              <w:t xml:space="preserve">2、规格型号：T13-POE参数类别 具体规格</w:t>
            </w:r>
            <w:r>
              <w:rPr>
                <w:rFonts w:hint="eastAsia" w:asciiTheme="minorEastAsia" w:hAnsiTheme="minorEastAsia" w:eastAsiaTheme="minorEastAsia" w:cstheme="minorEastAsia"/>
                <w:i w:val="0"/>
                <w:iCs w:val="0"/>
                <w:color w:val="000000"/>
                <w:sz w:val="20"/>
                <w:szCs w:val="20"/>
                <w:u w:val="none"/>
                <w:lang w:val="en-US" w:eastAsia="zh-CN" w:bidi="ar"/>
              </w:rPr>
              <w:br/>
            </w:r>
            <w:r>
              <w:rPr>
                <w:rFonts w:hint="eastAsia" w:asciiTheme="minorEastAsia" w:hAnsiTheme="minorEastAsia" w:eastAsiaTheme="minorEastAsia" w:cstheme="minorEastAsia"/>
                <w:i w:val="0"/>
                <w:iCs w:val="0"/>
                <w:color w:val="000000"/>
                <w:sz w:val="20"/>
                <w:szCs w:val="20"/>
                <w:u w:val="none"/>
                <w:lang w:val="en-US" w:eastAsia="zh-CN" w:bidi="ar"/>
              </w:rPr>
              <w:t xml:space="preserve">核心成像参数 传感器类型：1/2.7 英寸逐行扫描 CMOS；</w:t>
            </w:r>
            <w:r>
              <w:rPr>
                <w:rFonts w:hint="eastAsia" w:asciiTheme="minorEastAsia" w:hAnsiTheme="minorEastAsia" w:eastAsiaTheme="minorEastAsia" w:cstheme="minorEastAsia"/>
                <w:i w:val="0"/>
                <w:iCs w:val="0"/>
                <w:color w:val="000000"/>
                <w:sz w:val="20"/>
                <w:szCs w:val="20"/>
                <w:u w:val="none"/>
                <w:lang w:val="en-US" w:eastAsia="zh-CN" w:bidi="ar"/>
              </w:rPr>
              <w:br/>
            </w:r>
            <w:r>
              <w:rPr>
                <w:rFonts w:hint="eastAsia" w:asciiTheme="minorEastAsia" w:hAnsiTheme="minorEastAsia" w:eastAsiaTheme="minorEastAsia" w:cstheme="minorEastAsia"/>
                <w:i w:val="0"/>
                <w:iCs w:val="0"/>
                <w:color w:val="000000"/>
                <w:sz w:val="20"/>
                <w:szCs w:val="20"/>
                <w:u w:val="none"/>
                <w:lang w:val="en-US" w:eastAsia="zh-CN" w:bidi="ar"/>
              </w:rPr>
              <w:t xml:space="preserve">最高分辨率：2304×1296（300 万像素）；</w:t>
            </w:r>
            <w:r>
              <w:rPr>
                <w:rFonts w:hint="eastAsia" w:asciiTheme="minorEastAsia" w:hAnsiTheme="minorEastAsia" w:eastAsiaTheme="minorEastAsia" w:cstheme="minorEastAsia"/>
                <w:i w:val="0"/>
                <w:iCs w:val="0"/>
                <w:color w:val="000000"/>
                <w:sz w:val="20"/>
                <w:szCs w:val="20"/>
                <w:u w:val="none"/>
                <w:lang w:val="en-US" w:eastAsia="zh-CN" w:bidi="ar"/>
              </w:rPr>
              <w:br/>
            </w:r>
            <w:r>
              <w:rPr>
                <w:rFonts w:hint="eastAsia" w:asciiTheme="minorEastAsia" w:hAnsiTheme="minorEastAsia" w:eastAsiaTheme="minorEastAsia" w:cstheme="minorEastAsia"/>
                <w:i w:val="0"/>
                <w:iCs w:val="0"/>
                <w:color w:val="000000"/>
                <w:sz w:val="20"/>
                <w:szCs w:val="20"/>
                <w:u w:val="none"/>
                <w:lang w:val="en-US" w:eastAsia="zh-CN" w:bidi="ar"/>
              </w:rPr>
              <w:t xml:space="preserve">最低照度：彩色 0.01Lux@（F1.2，AGC ON），红外开启时 0Lux；</w:t>
            </w:r>
            <w:r>
              <w:rPr>
                <w:rFonts w:hint="eastAsia" w:asciiTheme="minorEastAsia" w:hAnsiTheme="minorEastAsia" w:eastAsiaTheme="minorEastAsia" w:cstheme="minorEastAsia"/>
                <w:i w:val="0"/>
                <w:iCs w:val="0"/>
                <w:color w:val="000000"/>
                <w:sz w:val="20"/>
                <w:szCs w:val="20"/>
                <w:u w:val="none"/>
                <w:lang w:val="en-US" w:eastAsia="zh-CN" w:bidi="ar"/>
              </w:rPr>
              <w:br/>
            </w:r>
            <w:r>
              <w:rPr>
                <w:rFonts w:hint="eastAsia" w:asciiTheme="minorEastAsia" w:hAnsiTheme="minorEastAsia" w:eastAsiaTheme="minorEastAsia" w:cstheme="minorEastAsia"/>
                <w:i w:val="0"/>
                <w:iCs w:val="0"/>
                <w:color w:val="000000"/>
                <w:sz w:val="20"/>
                <w:szCs w:val="20"/>
                <w:u w:val="none"/>
                <w:lang w:val="en-US" w:eastAsia="zh-CN" w:bidi="ar"/>
              </w:rPr>
              <w:t xml:space="preserve">快门范围：1/3s - 1/100000s</w:t>
            </w:r>
            <w:r>
              <w:rPr>
                <w:rFonts w:hint="eastAsia" w:asciiTheme="minorEastAsia" w:hAnsiTheme="minorEastAsia" w:eastAsiaTheme="minorEastAsia" w:cstheme="minorEastAsia"/>
                <w:i w:val="0"/>
                <w:iCs w:val="0"/>
                <w:color w:val="000000"/>
                <w:sz w:val="20"/>
                <w:szCs w:val="20"/>
                <w:u w:val="none"/>
                <w:lang w:val="en-US" w:eastAsia="zh-CN" w:bidi="ar"/>
              </w:rPr>
              <w:br/>
            </w:r>
            <w:r>
              <w:rPr>
                <w:rFonts w:hint="eastAsia" w:asciiTheme="minorEastAsia" w:hAnsiTheme="minorEastAsia" w:eastAsiaTheme="minorEastAsia" w:cstheme="minorEastAsia"/>
                <w:i w:val="0"/>
                <w:iCs w:val="0"/>
                <w:color w:val="000000"/>
                <w:sz w:val="20"/>
                <w:szCs w:val="20"/>
                <w:u w:val="none"/>
                <w:lang w:val="en-US" w:eastAsia="zh-CN" w:bidi="ar"/>
              </w:rPr>
              <w:t xml:space="preserve">视频编码与帧率 主码流、子码流均支持 H.265/H.264 压缩标准；</w:t>
            </w:r>
            <w:r>
              <w:rPr>
                <w:rFonts w:hint="eastAsia" w:asciiTheme="minorEastAsia" w:hAnsiTheme="minorEastAsia" w:eastAsiaTheme="minorEastAsia" w:cstheme="minorEastAsia"/>
                <w:i w:val="0"/>
                <w:iCs w:val="0"/>
                <w:color w:val="000000"/>
                <w:sz w:val="20"/>
                <w:szCs w:val="20"/>
                <w:u w:val="none"/>
                <w:lang w:val="en-US" w:eastAsia="zh-CN" w:bidi="ar"/>
              </w:rPr>
              <w:br/>
            </w:r>
            <w:r>
              <w:rPr>
                <w:rFonts w:hint="eastAsia" w:asciiTheme="minorEastAsia" w:hAnsiTheme="minorEastAsia" w:eastAsiaTheme="minorEastAsia" w:cstheme="minorEastAsia"/>
                <w:i w:val="0"/>
                <w:iCs w:val="0"/>
                <w:color w:val="000000"/>
                <w:sz w:val="20"/>
                <w:szCs w:val="20"/>
                <w:u w:val="none"/>
                <w:lang w:val="en-US" w:eastAsia="zh-CN" w:bidi="ar"/>
              </w:rPr>
              <w:t xml:space="preserve">50Hz 场景下，主码流 25fps（分辨率可选 2304×1296、1920×1080 等），子码流 25fps（分辨率可选 640×480、640×360）；</w:t>
            </w:r>
            <w:r>
              <w:rPr>
                <w:rFonts w:hint="eastAsia" w:asciiTheme="minorEastAsia" w:hAnsiTheme="minorEastAsia" w:eastAsiaTheme="minorEastAsia" w:cstheme="minorEastAsia"/>
                <w:i w:val="0"/>
                <w:iCs w:val="0"/>
                <w:color w:val="000000"/>
                <w:sz w:val="20"/>
                <w:szCs w:val="20"/>
                <w:u w:val="none"/>
                <w:lang w:val="en-US" w:eastAsia="zh-CN" w:bidi="ar"/>
              </w:rPr>
              <w:br/>
            </w:r>
            <w:r>
              <w:rPr>
                <w:rFonts w:hint="eastAsia" w:asciiTheme="minorEastAsia" w:hAnsiTheme="minorEastAsia" w:eastAsiaTheme="minorEastAsia" w:cstheme="minorEastAsia"/>
                <w:i w:val="0"/>
                <w:iCs w:val="0"/>
                <w:color w:val="000000"/>
                <w:sz w:val="20"/>
                <w:szCs w:val="20"/>
                <w:u w:val="none"/>
                <w:lang w:val="en-US" w:eastAsia="zh-CN" w:bidi="ar"/>
              </w:rPr>
              <w:t xml:space="preserve">视频压缩码率 32Kbps - 8Mbps，支持定码率和变码率控制</w:t>
            </w:r>
            <w:r>
              <w:rPr>
                <w:rFonts w:hint="eastAsia" w:asciiTheme="minorEastAsia" w:hAnsiTheme="minorEastAsia" w:eastAsiaTheme="minorEastAsia" w:cstheme="minorEastAsia"/>
                <w:i w:val="0"/>
                <w:iCs w:val="0"/>
                <w:color w:val="000000"/>
                <w:sz w:val="20"/>
                <w:szCs w:val="20"/>
                <w:u w:val="none"/>
                <w:lang w:val="en-US" w:eastAsia="zh-CN" w:bidi="ar"/>
              </w:rPr>
              <w:br/>
            </w:r>
            <w:r>
              <w:rPr>
                <w:rFonts w:hint="eastAsia" w:asciiTheme="minorEastAsia" w:hAnsiTheme="minorEastAsia" w:eastAsiaTheme="minorEastAsia" w:cstheme="minorEastAsia"/>
                <w:i w:val="0"/>
                <w:iCs w:val="0"/>
                <w:color w:val="000000"/>
                <w:sz w:val="20"/>
                <w:szCs w:val="20"/>
                <w:u w:val="none"/>
                <w:lang w:val="en-US" w:eastAsia="zh-CN" w:bidi="ar"/>
              </w:rPr>
              <w:t xml:space="preserve">镜头与补光 镜头焦距可选 2.8mm、4mm、6mm、8mm，对应水平视场角分别为 111°、84°、58°、42°，镜头接口为 M12；</w:t>
            </w:r>
            <w:r>
              <w:rPr>
                <w:rFonts w:hint="eastAsia" w:asciiTheme="minorEastAsia" w:hAnsiTheme="minorEastAsia" w:eastAsiaTheme="minorEastAsia" w:cstheme="minorEastAsia"/>
                <w:i w:val="0"/>
                <w:iCs w:val="0"/>
                <w:color w:val="000000"/>
                <w:sz w:val="20"/>
                <w:szCs w:val="20"/>
                <w:u w:val="none"/>
                <w:lang w:val="en-US" w:eastAsia="zh-CN" w:bidi="ar"/>
              </w:rPr>
              <w:br/>
            </w:r>
            <w:r>
              <w:rPr>
                <w:rFonts w:hint="eastAsia" w:asciiTheme="minorEastAsia" w:hAnsiTheme="minorEastAsia" w:eastAsiaTheme="minorEastAsia" w:cstheme="minorEastAsia"/>
                <w:i w:val="0"/>
                <w:iCs w:val="0"/>
                <w:color w:val="000000"/>
                <w:sz w:val="20"/>
                <w:szCs w:val="20"/>
                <w:u w:val="none"/>
                <w:lang w:val="en-US" w:eastAsia="zh-CN" w:bidi="ar"/>
              </w:rPr>
              <w:t xml:space="preserve">支持白光、红外双补光，红外最远 30 米，白光最远 20 米；</w:t>
            </w:r>
            <w:r>
              <w:rPr>
                <w:rFonts w:hint="eastAsia" w:asciiTheme="minorEastAsia" w:hAnsiTheme="minorEastAsia" w:eastAsiaTheme="minorEastAsia" w:cstheme="minorEastAsia"/>
                <w:i w:val="0"/>
                <w:iCs w:val="0"/>
                <w:color w:val="000000"/>
                <w:sz w:val="20"/>
                <w:szCs w:val="20"/>
                <w:u w:val="none"/>
                <w:lang w:val="en-US" w:eastAsia="zh-CN" w:bidi="ar"/>
              </w:rPr>
              <w:br/>
            </w:r>
            <w:r>
              <w:rPr>
                <w:rFonts w:hint="eastAsia" w:asciiTheme="minorEastAsia" w:hAnsiTheme="minorEastAsia" w:eastAsiaTheme="minorEastAsia" w:cstheme="minorEastAsia"/>
                <w:i w:val="0"/>
                <w:iCs w:val="0"/>
                <w:color w:val="000000"/>
                <w:sz w:val="20"/>
                <w:szCs w:val="20"/>
                <w:u w:val="none"/>
                <w:lang w:val="en-US" w:eastAsia="zh-CN" w:bidi="ar"/>
              </w:rPr>
              <w:t xml:space="preserve">支持 smartIR，避免近距离红外过曝</w:t>
            </w:r>
            <w:r>
              <w:rPr>
                <w:rFonts w:hint="eastAsia" w:asciiTheme="minorEastAsia" w:hAnsiTheme="minorEastAsia" w:eastAsiaTheme="minorEastAsia" w:cstheme="minorEastAsia"/>
                <w:i w:val="0"/>
                <w:iCs w:val="0"/>
                <w:color w:val="000000"/>
                <w:sz w:val="20"/>
                <w:szCs w:val="20"/>
                <w:u w:val="none"/>
                <w:lang w:val="en-US" w:eastAsia="zh-CN" w:bidi="ar"/>
              </w:rPr>
              <w:br/>
            </w:r>
            <w:r>
              <w:rPr>
                <w:rFonts w:hint="eastAsia" w:asciiTheme="minorEastAsia" w:hAnsiTheme="minorEastAsia" w:eastAsiaTheme="minorEastAsia" w:cstheme="minorEastAsia"/>
                <w:i w:val="0"/>
                <w:iCs w:val="0"/>
                <w:color w:val="000000"/>
                <w:sz w:val="20"/>
                <w:szCs w:val="20"/>
                <w:u w:val="none"/>
                <w:lang w:val="en-US" w:eastAsia="zh-CN" w:bidi="ar"/>
              </w:rPr>
              <w:t xml:space="preserve">音频参数 内置 1 个麦克风；</w:t>
            </w:r>
            <w:r>
              <w:rPr>
                <w:rFonts w:hint="eastAsia" w:asciiTheme="minorEastAsia" w:hAnsiTheme="minorEastAsia" w:eastAsiaTheme="minorEastAsia" w:cstheme="minorEastAsia"/>
                <w:i w:val="0"/>
                <w:iCs w:val="0"/>
                <w:color w:val="000000"/>
                <w:sz w:val="20"/>
                <w:szCs w:val="20"/>
                <w:u w:val="none"/>
                <w:lang w:val="en-US" w:eastAsia="zh-CN" w:bidi="ar"/>
              </w:rPr>
              <w:br/>
            </w:r>
            <w:r>
              <w:rPr>
                <w:rFonts w:hint="eastAsia" w:asciiTheme="minorEastAsia" w:hAnsiTheme="minorEastAsia" w:eastAsiaTheme="minorEastAsia" w:cstheme="minorEastAsia"/>
                <w:i w:val="0"/>
                <w:iCs w:val="0"/>
                <w:color w:val="000000"/>
                <w:sz w:val="20"/>
                <w:szCs w:val="20"/>
                <w:u w:val="none"/>
                <w:lang w:val="en-US" w:eastAsia="zh-CN" w:bidi="ar"/>
              </w:rPr>
              <w:t xml:space="preserve">音频压缩标准为 G.711alaw/AAC - LC，编码码率 64Kbps（G.711alaw）、16 - 64Kbps（AAC - LC）；</w:t>
            </w:r>
            <w:r>
              <w:rPr>
                <w:rFonts w:hint="eastAsia" w:asciiTheme="minorEastAsia" w:hAnsiTheme="minorEastAsia" w:eastAsiaTheme="minorEastAsia" w:cstheme="minorEastAsia"/>
                <w:i w:val="0"/>
                <w:iCs w:val="0"/>
                <w:color w:val="000000"/>
                <w:sz w:val="20"/>
                <w:szCs w:val="20"/>
                <w:u w:val="none"/>
                <w:lang w:val="en-US" w:eastAsia="zh-CN" w:bidi="ar"/>
              </w:rPr>
              <w:br/>
            </w:r>
            <w:r>
              <w:rPr>
                <w:rFonts w:hint="eastAsia" w:asciiTheme="minorEastAsia" w:hAnsiTheme="minorEastAsia" w:eastAsiaTheme="minorEastAsia" w:cstheme="minorEastAsia"/>
                <w:i w:val="0"/>
                <w:iCs w:val="0"/>
                <w:color w:val="000000"/>
                <w:sz w:val="20"/>
                <w:szCs w:val="20"/>
                <w:u w:val="none"/>
                <w:lang w:val="en-US" w:eastAsia="zh-CN" w:bidi="ar"/>
              </w:rPr>
              <w:t xml:space="preserve">支持音频环境噪声过滤，采样率可选 8kHz/16kHz</w:t>
            </w:r>
            <w:r>
              <w:rPr>
                <w:rFonts w:hint="eastAsia" w:asciiTheme="minorEastAsia" w:hAnsiTheme="minorEastAsia" w:eastAsiaTheme="minorEastAsia" w:cstheme="minorEastAsia"/>
                <w:i w:val="0"/>
                <w:iCs w:val="0"/>
                <w:color w:val="000000"/>
                <w:sz w:val="20"/>
                <w:szCs w:val="20"/>
                <w:u w:val="none"/>
                <w:lang w:val="en-US" w:eastAsia="zh-CN" w:bidi="ar"/>
              </w:rPr>
              <w:br/>
            </w:r>
            <w:r>
              <w:rPr>
                <w:rFonts w:hint="eastAsia" w:asciiTheme="minorEastAsia" w:hAnsiTheme="minorEastAsia" w:eastAsiaTheme="minorEastAsia" w:cstheme="minorEastAsia"/>
                <w:i w:val="0"/>
                <w:iCs w:val="0"/>
                <w:color w:val="000000"/>
                <w:sz w:val="20"/>
                <w:szCs w:val="20"/>
                <w:u w:val="none"/>
                <w:lang w:val="en-US" w:eastAsia="zh-CN" w:bidi="ar"/>
              </w:rPr>
              <w:t xml:space="preserve">网络与接口 1 个 RJ45 10M/100M 自适应以太网口；</w:t>
            </w:r>
            <w:r>
              <w:rPr>
                <w:rFonts w:hint="eastAsia" w:asciiTheme="minorEastAsia" w:hAnsiTheme="minorEastAsia" w:eastAsiaTheme="minorEastAsia" w:cstheme="minorEastAsia"/>
                <w:i w:val="0"/>
                <w:iCs w:val="0"/>
                <w:color w:val="000000"/>
                <w:sz w:val="20"/>
                <w:szCs w:val="20"/>
                <w:u w:val="none"/>
                <w:lang w:val="en-US" w:eastAsia="zh-CN" w:bidi="ar"/>
              </w:rPr>
              <w:br/>
            </w:r>
            <w:r>
              <w:rPr>
                <w:rFonts w:hint="eastAsia" w:asciiTheme="minorEastAsia" w:hAnsiTheme="minorEastAsia" w:eastAsiaTheme="minorEastAsia" w:cstheme="minorEastAsia"/>
                <w:i w:val="0"/>
                <w:iCs w:val="0"/>
                <w:color w:val="000000"/>
                <w:sz w:val="20"/>
                <w:szCs w:val="20"/>
                <w:u w:val="none"/>
                <w:lang w:val="en-US" w:eastAsia="zh-CN" w:bidi="ar"/>
              </w:rPr>
              <w:t xml:space="preserve">支持 TCP/IP、HTTP、DHCP 等多种网络协议，兼容 GB28181 接口协议；</w:t>
            </w:r>
            <w:r>
              <w:rPr>
                <w:rFonts w:hint="eastAsia" w:asciiTheme="minorEastAsia" w:hAnsiTheme="minorEastAsia" w:eastAsiaTheme="minorEastAsia" w:cstheme="minorEastAsia"/>
                <w:i w:val="0"/>
                <w:iCs w:val="0"/>
                <w:color w:val="000000"/>
                <w:sz w:val="20"/>
                <w:szCs w:val="20"/>
                <w:u w:val="none"/>
                <w:lang w:val="en-US" w:eastAsia="zh-CN" w:bidi="ar"/>
              </w:rPr>
              <w:br/>
            </w:r>
            <w:r>
              <w:rPr>
                <w:rFonts w:hint="eastAsia" w:asciiTheme="minorEastAsia" w:hAnsiTheme="minorEastAsia" w:eastAsiaTheme="minorEastAsia" w:cstheme="minorEastAsia"/>
                <w:i w:val="0"/>
                <w:iCs w:val="0"/>
                <w:color w:val="000000"/>
                <w:sz w:val="20"/>
                <w:szCs w:val="20"/>
                <w:u w:val="none"/>
                <w:lang w:val="en-US" w:eastAsia="zh-CN" w:bidi="ar"/>
              </w:rPr>
              <w:t xml:space="preserve">最多支持 6 路同时预览，可管理 32 个分级权限用户</w:t>
            </w:r>
            <w:r>
              <w:rPr>
                <w:rFonts w:hint="eastAsia" w:asciiTheme="minorEastAsia" w:hAnsiTheme="minorEastAsia" w:eastAsiaTheme="minorEastAsia" w:cstheme="minorEastAsia"/>
                <w:i w:val="0"/>
                <w:iCs w:val="0"/>
                <w:color w:val="000000"/>
                <w:sz w:val="20"/>
                <w:szCs w:val="20"/>
                <w:u w:val="none"/>
                <w:lang w:val="en-US" w:eastAsia="zh-CN" w:bidi="ar"/>
              </w:rPr>
              <w:br/>
            </w:r>
            <w:r>
              <w:rPr>
                <w:rFonts w:hint="eastAsia" w:asciiTheme="minorEastAsia" w:hAnsiTheme="minorEastAsia" w:eastAsiaTheme="minorEastAsia" w:cstheme="minorEastAsia"/>
                <w:i w:val="0"/>
                <w:iCs w:val="0"/>
                <w:color w:val="000000"/>
                <w:sz w:val="20"/>
                <w:szCs w:val="20"/>
                <w:u w:val="none"/>
                <w:lang w:val="en-US" w:eastAsia="zh-CN" w:bidi="ar"/>
              </w:rPr>
              <w:t xml:space="preserve">供电与功耗 支持 DC12V 供电（±25% 宽电压，防反接保护）和 IEEE 802.3af 标准 PoE 供电（CLASS 3）；</w:t>
            </w:r>
            <w:r>
              <w:rPr>
                <w:rFonts w:hint="eastAsia" w:asciiTheme="minorEastAsia" w:hAnsiTheme="minorEastAsia" w:eastAsiaTheme="minorEastAsia" w:cstheme="minorEastAsia"/>
                <w:i w:val="0"/>
                <w:iCs w:val="0"/>
                <w:color w:val="000000"/>
                <w:sz w:val="20"/>
                <w:szCs w:val="20"/>
                <w:u w:val="none"/>
                <w:lang w:val="en-US" w:eastAsia="zh-CN" w:bidi="ar"/>
              </w:rPr>
              <w:br/>
            </w:r>
            <w:r>
              <w:rPr>
                <w:rFonts w:hint="eastAsia" w:asciiTheme="minorEastAsia" w:hAnsiTheme="minorEastAsia" w:eastAsiaTheme="minorEastAsia" w:cstheme="minorEastAsia"/>
                <w:i w:val="0"/>
                <w:iCs w:val="0"/>
                <w:color w:val="000000"/>
                <w:sz w:val="20"/>
                <w:szCs w:val="20"/>
                <w:u w:val="none"/>
                <w:lang w:val="en-US" w:eastAsia="zh-CN" w:bidi="ar"/>
              </w:rPr>
              <w:t xml:space="preserve">DC 供电最大功耗 5W，PoE 供电最大功耗 6.5W</w:t>
            </w:r>
            <w:r>
              <w:rPr>
                <w:rFonts w:hint="eastAsia" w:asciiTheme="minorEastAsia" w:hAnsiTheme="minorEastAsia" w:eastAsiaTheme="minorEastAsia" w:cstheme="minorEastAsia"/>
                <w:i w:val="0"/>
                <w:iCs w:val="0"/>
                <w:color w:val="000000"/>
                <w:sz w:val="20"/>
                <w:szCs w:val="20"/>
                <w:u w:val="none"/>
                <w:lang w:val="en-US" w:eastAsia="zh-CN" w:bidi="ar"/>
              </w:rPr>
              <w:br/>
            </w:r>
            <w:r>
              <w:rPr>
                <w:rFonts w:hint="eastAsia" w:asciiTheme="minorEastAsia" w:hAnsiTheme="minorEastAsia" w:eastAsiaTheme="minorEastAsia" w:cstheme="minorEastAsia"/>
                <w:i w:val="0"/>
                <w:iCs w:val="0"/>
                <w:color w:val="000000"/>
                <w:sz w:val="20"/>
                <w:szCs w:val="20"/>
                <w:u w:val="none"/>
                <w:lang w:val="en-US" w:eastAsia="zh-CN" w:bidi="ar"/>
              </w:rPr>
              <w:t xml:space="preserve">物理与环境参数 机身尺寸为 Φ110.0×92.9mm，重量 285g；</w:t>
            </w:r>
            <w:r>
              <w:rPr>
                <w:rFonts w:hint="eastAsia" w:asciiTheme="minorEastAsia" w:hAnsiTheme="minorEastAsia" w:eastAsiaTheme="minorEastAsia" w:cstheme="minorEastAsia"/>
                <w:i w:val="0"/>
                <w:iCs w:val="0"/>
                <w:color w:val="000000"/>
                <w:sz w:val="20"/>
                <w:szCs w:val="20"/>
                <w:u w:val="none"/>
                <w:lang w:val="en-US" w:eastAsia="zh-CN" w:bidi="ar"/>
              </w:rPr>
              <w:br/>
            </w:r>
            <w:r>
              <w:rPr>
                <w:rFonts w:hint="eastAsia" w:asciiTheme="minorEastAsia" w:hAnsiTheme="minorEastAsia" w:eastAsiaTheme="minorEastAsia" w:cstheme="minorEastAsia"/>
                <w:i w:val="0"/>
                <w:iCs w:val="0"/>
                <w:color w:val="000000"/>
                <w:sz w:val="20"/>
                <w:szCs w:val="20"/>
                <w:u w:val="none"/>
                <w:lang w:val="en-US" w:eastAsia="zh-CN" w:bidi="ar"/>
              </w:rPr>
              <w:t xml:space="preserve">防护等级 IP67，防尘防水；</w:t>
            </w:r>
            <w:r>
              <w:rPr>
                <w:rFonts w:hint="eastAsia" w:asciiTheme="minorEastAsia" w:hAnsiTheme="minorEastAsia" w:eastAsiaTheme="minorEastAsia" w:cstheme="minorEastAsia"/>
                <w:i w:val="0"/>
                <w:iCs w:val="0"/>
                <w:color w:val="000000"/>
                <w:sz w:val="20"/>
                <w:szCs w:val="20"/>
                <w:u w:val="none"/>
                <w:lang w:val="en-US" w:eastAsia="zh-CN" w:bidi="ar"/>
              </w:rPr>
              <w:br/>
            </w:r>
            <w:r>
              <w:rPr>
                <w:rFonts w:hint="eastAsia" w:asciiTheme="minorEastAsia" w:hAnsiTheme="minorEastAsia" w:eastAsiaTheme="minorEastAsia" w:cstheme="minorEastAsia"/>
                <w:i w:val="0"/>
                <w:iCs w:val="0"/>
                <w:color w:val="000000"/>
                <w:sz w:val="20"/>
                <w:szCs w:val="20"/>
                <w:u w:val="none"/>
                <w:lang w:val="en-US" w:eastAsia="zh-CN" w:bidi="ar"/>
              </w:rPr>
              <w:t xml:space="preserve">工作及存储温湿度均为 - 30°C - 60°C，湿度＜95%（无凝结）</w:t>
            </w:r>
            <w:r>
              <w:rPr>
                <w:rFonts w:hint="eastAsia" w:asciiTheme="minorEastAsia" w:hAnsiTheme="minorEastAsia" w:eastAsiaTheme="minorEastAsia" w:cstheme="minorEastAsia"/>
                <w:i w:val="0"/>
                <w:iCs w:val="0"/>
                <w:color w:val="000000"/>
                <w:sz w:val="20"/>
                <w:szCs w:val="20"/>
                <w:u w:val="none"/>
                <w:lang w:val="en-US" w:eastAsia="zh-CN" w:bidi="ar"/>
              </w:rPr>
              <w:br/>
            </w:r>
            <w:r>
              <w:rPr>
                <w:rFonts w:hint="eastAsia" w:asciiTheme="minorEastAsia" w:hAnsiTheme="minorEastAsia" w:eastAsiaTheme="minorEastAsia" w:cstheme="minorEastAsia"/>
                <w:i w:val="0"/>
                <w:iCs w:val="0"/>
                <w:color w:val="000000"/>
                <w:sz w:val="20"/>
                <w:szCs w:val="20"/>
                <w:u w:val="none"/>
                <w:lang w:val="en-US" w:eastAsia="zh-CN" w:bidi="ar"/>
              </w:rPr>
              <w:t xml:space="preserve">特色功能 支持 ICR 红外滤片式日夜切换，可手动、自动或定时切换模式；</w:t>
            </w:r>
            <w:r>
              <w:rPr>
                <w:rFonts w:hint="eastAsia" w:asciiTheme="minorEastAsia" w:hAnsiTheme="minorEastAsia" w:eastAsiaTheme="minorEastAsia" w:cstheme="minorEastAsia"/>
                <w:i w:val="0"/>
                <w:iCs w:val="0"/>
                <w:color w:val="000000"/>
                <w:sz w:val="20"/>
                <w:szCs w:val="20"/>
                <w:u w:val="none"/>
                <w:lang w:val="en-US" w:eastAsia="zh-CN" w:bidi="ar"/>
              </w:rPr>
              <w:br/>
            </w:r>
            <w:r>
              <w:rPr>
                <w:rFonts w:hint="eastAsia" w:asciiTheme="minorEastAsia" w:hAnsiTheme="minorEastAsia" w:eastAsiaTheme="minorEastAsia" w:cstheme="minorEastAsia"/>
                <w:i w:val="0"/>
                <w:iCs w:val="0"/>
                <w:color w:val="000000"/>
                <w:sz w:val="20"/>
                <w:szCs w:val="20"/>
                <w:u w:val="none"/>
                <w:lang w:val="en-US" w:eastAsia="zh-CN" w:bidi="ar"/>
              </w:rPr>
              <w:t xml:space="preserve">具备背光补偿、强光抑制、3D 数字降噪等图像增强功能；</w:t>
            </w:r>
            <w:r>
              <w:rPr>
                <w:rFonts w:hint="eastAsia" w:asciiTheme="minorEastAsia" w:hAnsiTheme="minorEastAsia" w:eastAsiaTheme="minorEastAsia" w:cstheme="minorEastAsia"/>
                <w:i w:val="0"/>
                <w:iCs w:val="0"/>
                <w:color w:val="000000"/>
                <w:sz w:val="20"/>
                <w:szCs w:val="20"/>
                <w:u w:val="none"/>
                <w:lang w:val="en-US" w:eastAsia="zh-CN" w:bidi="ar"/>
              </w:rPr>
              <w:br/>
            </w:r>
            <w:r>
              <w:rPr>
                <w:rFonts w:hint="eastAsia" w:asciiTheme="minorEastAsia" w:hAnsiTheme="minorEastAsia" w:eastAsiaTheme="minorEastAsia" w:cstheme="minorEastAsia"/>
                <w:i w:val="0"/>
                <w:iCs w:val="0"/>
                <w:color w:val="000000"/>
                <w:sz w:val="20"/>
                <w:szCs w:val="20"/>
                <w:u w:val="none"/>
                <w:lang w:val="en-US" w:eastAsia="zh-CN" w:bidi="ar"/>
              </w:rPr>
              <w:t xml:space="preserve">支持移动侦测（含人形检测），可通过客户端调节图像饱和度、亮度等参数；</w:t>
            </w:r>
            <w:r>
              <w:rPr>
                <w:rFonts w:hint="eastAsia" w:asciiTheme="minorEastAsia" w:hAnsiTheme="minorEastAsia" w:eastAsiaTheme="minorEastAsia" w:cstheme="minorEastAsia"/>
                <w:i w:val="0"/>
                <w:iCs w:val="0"/>
                <w:color w:val="000000"/>
                <w:sz w:val="20"/>
                <w:szCs w:val="20"/>
                <w:u w:val="none"/>
                <w:lang w:val="en-US" w:eastAsia="zh-CN" w:bidi="ar"/>
              </w:rPr>
              <w:br/>
            </w:r>
            <w:r>
              <w:rPr>
                <w:rFonts w:hint="eastAsia" w:asciiTheme="minorEastAsia" w:hAnsiTheme="minorEastAsia" w:eastAsiaTheme="minorEastAsia" w:cstheme="minorEastAsia"/>
                <w:i w:val="0"/>
                <w:iCs w:val="0"/>
                <w:color w:val="000000"/>
                <w:sz w:val="20"/>
                <w:szCs w:val="20"/>
                <w:u w:val="none"/>
                <w:lang w:val="en-US" w:eastAsia="zh-CN" w:bidi="ar"/>
              </w:rPr>
              <w:t xml:space="preserve">支持心跳检测、密码保护、水印技术等安全功能</w:t>
            </w:r>
            <w:r/>
          </w:p>
        </w:tc>
        <w:tc>
          <w:tcPr>
            <w:shd w:val="clear" w:color="auto" w:fill="auto"/>
            <w:tcW w:w="982"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lang w:val="en-US" w:eastAsia="zh-CN" w:bidi="ar"/>
              </w:rPr>
              <w:t xml:space="preserve">台</w:t>
            </w:r>
            <w:r/>
          </w:p>
        </w:tc>
        <w:tc>
          <w:tcPr>
            <w:shd w:val="clear" w:color="auto" w:fill="auto"/>
            <w:tcW w:w="971"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lang w:val="en-US" w:eastAsia="zh-CN" w:bidi="ar"/>
              </w:rPr>
              <w:t xml:space="preserve">8.00 </w:t>
            </w:r>
            <w:r/>
          </w:p>
        </w:tc>
      </w:tr>
      <w:tr>
        <w:trPr>
          <w:trHeight w:val="2643"/>
        </w:trPr>
        <w:tc>
          <w:tcPr>
            <w:shd w:val="clear" w:color="auto" w:fill="auto"/>
            <w:tcW w:w="749"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lang w:val="en-US" w:eastAsia="zh-CN" w:bidi="ar"/>
              </w:rPr>
              <w:t xml:space="preserve">17</w:t>
            </w:r>
            <w:r/>
          </w:p>
        </w:tc>
        <w:tc>
          <w:tcPr>
            <w:shd w:val="clear" w:color="auto" w:fill="auto"/>
            <w:tcW w:w="1344"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lang w:val="en-US" w:eastAsia="zh-CN" w:bidi="ar"/>
              </w:rPr>
              <w:t xml:space="preserve">交换机2</w:t>
            </w:r>
            <w:r/>
          </w:p>
        </w:tc>
        <w:tc>
          <w:tcPr>
            <w:shd w:val="clear" w:color="auto" w:fill="auto"/>
            <w:tcW w:w="4751"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lang w:val="en-US" w:eastAsia="zh-CN" w:bidi="ar"/>
              </w:rPr>
              <w:t xml:space="preserve">1、名称：POE交换机</w:t>
            </w:r>
            <w:r>
              <w:rPr>
                <w:rFonts w:hint="eastAsia" w:asciiTheme="minorEastAsia" w:hAnsiTheme="minorEastAsia" w:eastAsiaTheme="minorEastAsia" w:cstheme="minorEastAsia"/>
                <w:i w:val="0"/>
                <w:iCs w:val="0"/>
                <w:color w:val="000000"/>
                <w:sz w:val="20"/>
                <w:szCs w:val="20"/>
                <w:u w:val="none"/>
                <w:lang w:val="en-US" w:eastAsia="zh-CN" w:bidi="ar"/>
              </w:rPr>
              <w:br/>
            </w:r>
            <w:r>
              <w:rPr>
                <w:rFonts w:hint="eastAsia" w:asciiTheme="minorEastAsia" w:hAnsiTheme="minorEastAsia" w:eastAsiaTheme="minorEastAsia" w:cstheme="minorEastAsia"/>
                <w:i w:val="0"/>
                <w:iCs w:val="0"/>
                <w:color w:val="000000"/>
                <w:sz w:val="20"/>
                <w:szCs w:val="20"/>
                <w:u w:val="none"/>
                <w:lang w:val="en-US" w:eastAsia="zh-CN" w:bidi="ar"/>
              </w:rPr>
              <w:t xml:space="preserve">2、8口 参数类别 具体规格</w:t>
            </w:r>
            <w:r>
              <w:rPr>
                <w:rFonts w:hint="eastAsia" w:asciiTheme="minorEastAsia" w:hAnsiTheme="minorEastAsia" w:eastAsiaTheme="minorEastAsia" w:cstheme="minorEastAsia"/>
                <w:i w:val="0"/>
                <w:iCs w:val="0"/>
                <w:color w:val="000000"/>
                <w:sz w:val="20"/>
                <w:szCs w:val="20"/>
                <w:u w:val="none"/>
                <w:lang w:val="en-US" w:eastAsia="zh-CN" w:bidi="ar"/>
              </w:rPr>
              <w:br/>
            </w:r>
            <w:r>
              <w:rPr>
                <w:rFonts w:hint="eastAsia" w:asciiTheme="minorEastAsia" w:hAnsiTheme="minorEastAsia" w:eastAsiaTheme="minorEastAsia" w:cstheme="minorEastAsia"/>
                <w:i w:val="0"/>
                <w:iCs w:val="0"/>
                <w:color w:val="000000"/>
                <w:sz w:val="20"/>
                <w:szCs w:val="20"/>
                <w:u w:val="none"/>
                <w:lang w:val="en-US" w:eastAsia="zh-CN" w:bidi="ar"/>
              </w:rPr>
              <w:t xml:space="preserve">端口配置 8 个千兆电口，2 个 SFP 千兆光口插槽</w:t>
            </w:r>
            <w:r>
              <w:rPr>
                <w:rFonts w:hint="eastAsia" w:asciiTheme="minorEastAsia" w:hAnsiTheme="minorEastAsia" w:eastAsiaTheme="minorEastAsia" w:cstheme="minorEastAsia"/>
                <w:i w:val="0"/>
                <w:iCs w:val="0"/>
                <w:color w:val="000000"/>
                <w:sz w:val="20"/>
                <w:szCs w:val="20"/>
                <w:u w:val="none"/>
                <w:lang w:val="en-US" w:eastAsia="zh-CN" w:bidi="ar"/>
              </w:rPr>
              <w:br/>
            </w:r>
            <w:r>
              <w:rPr>
                <w:rFonts w:hint="eastAsia" w:asciiTheme="minorEastAsia" w:hAnsiTheme="minorEastAsia" w:eastAsiaTheme="minorEastAsia" w:cstheme="minorEastAsia"/>
                <w:i w:val="0"/>
                <w:iCs w:val="0"/>
                <w:color w:val="000000"/>
                <w:sz w:val="20"/>
                <w:szCs w:val="20"/>
                <w:u w:val="none"/>
                <w:lang w:val="en-US" w:eastAsia="zh-CN" w:bidi="ar"/>
              </w:rPr>
              <w:t xml:space="preserve">核心性能 整机交换容量 336Gbps，整机包转发率 56Mpps，MAC 表容量 8000 条</w:t>
            </w:r>
            <w:r>
              <w:rPr>
                <w:rFonts w:hint="eastAsia" w:asciiTheme="minorEastAsia" w:hAnsiTheme="minorEastAsia" w:eastAsiaTheme="minorEastAsia" w:cstheme="minorEastAsia"/>
                <w:i w:val="0"/>
                <w:iCs w:val="0"/>
                <w:color w:val="000000"/>
                <w:sz w:val="20"/>
                <w:szCs w:val="20"/>
                <w:u w:val="none"/>
                <w:lang w:val="en-US" w:eastAsia="zh-CN" w:bidi="ar"/>
              </w:rPr>
              <w:br/>
            </w:r>
            <w:r>
              <w:rPr>
                <w:rFonts w:hint="eastAsia" w:asciiTheme="minorEastAsia" w:hAnsiTheme="minorEastAsia" w:eastAsiaTheme="minorEastAsia" w:cstheme="minorEastAsia"/>
                <w:i w:val="0"/>
                <w:iCs w:val="0"/>
                <w:color w:val="000000"/>
                <w:sz w:val="20"/>
                <w:szCs w:val="20"/>
                <w:u w:val="none"/>
                <w:lang w:val="en-US" w:eastAsia="zh-CN" w:bidi="ar"/>
              </w:rPr>
              <w:t xml:space="preserve">PoE 供电 整机最大 PoE 输出功率 125W，单端口最大输出功率 30W，支持 PoE/PoE+</w:t>
            </w:r>
            <w:r>
              <w:rPr>
                <w:rFonts w:hint="eastAsia" w:asciiTheme="minorEastAsia" w:hAnsiTheme="minorEastAsia" w:eastAsiaTheme="minorEastAsia" w:cstheme="minorEastAsia"/>
                <w:i w:val="0"/>
                <w:iCs w:val="0"/>
                <w:color w:val="000000"/>
                <w:sz w:val="20"/>
                <w:szCs w:val="20"/>
                <w:u w:val="none"/>
                <w:lang w:val="en-US" w:eastAsia="zh-CN" w:bidi="ar"/>
              </w:rPr>
              <w:br/>
            </w:r>
            <w:r>
              <w:rPr>
                <w:rFonts w:hint="eastAsia" w:asciiTheme="minorEastAsia" w:hAnsiTheme="minorEastAsia" w:eastAsiaTheme="minorEastAsia" w:cstheme="minorEastAsia"/>
                <w:i w:val="0"/>
                <w:iCs w:val="0"/>
                <w:color w:val="000000"/>
                <w:sz w:val="20"/>
                <w:szCs w:val="20"/>
                <w:u w:val="none"/>
                <w:lang w:val="en-US" w:eastAsia="zh-CN" w:bidi="ar"/>
              </w:rPr>
              <w:t xml:space="preserve">物理与功耗 尺寸 300mm×220mm×43.6mm，重量 2.033kg；不带 PoE 负载功耗 11W，PoE 满载功耗 145W</w:t>
            </w:r>
            <w:r>
              <w:rPr>
                <w:rFonts w:hint="eastAsia" w:asciiTheme="minorEastAsia" w:hAnsiTheme="minorEastAsia" w:eastAsiaTheme="minorEastAsia" w:cstheme="minorEastAsia"/>
                <w:i w:val="0"/>
                <w:iCs w:val="0"/>
                <w:color w:val="000000"/>
                <w:sz w:val="20"/>
                <w:szCs w:val="20"/>
                <w:u w:val="none"/>
                <w:lang w:val="en-US" w:eastAsia="zh-CN" w:bidi="ar"/>
              </w:rPr>
              <w:br/>
            </w:r>
            <w:r>
              <w:rPr>
                <w:rFonts w:hint="eastAsia" w:asciiTheme="minorEastAsia" w:hAnsiTheme="minorEastAsia" w:eastAsiaTheme="minorEastAsia" w:cstheme="minorEastAsia"/>
                <w:i w:val="0"/>
                <w:iCs w:val="0"/>
                <w:color w:val="000000"/>
                <w:sz w:val="20"/>
                <w:szCs w:val="20"/>
                <w:u w:val="none"/>
                <w:lang w:val="en-US" w:eastAsia="zh-CN" w:bidi="ar"/>
              </w:rPr>
              <w:t xml:space="preserve">防护与环境 业务接口和电源接口防雷等级达共模 ±6kV；工作温度 0°C - 50°C，湿度 10% - 90% RH（无凝结）</w:t>
            </w:r>
            <w:r>
              <w:rPr>
                <w:rFonts w:hint="eastAsia" w:asciiTheme="minorEastAsia" w:hAnsiTheme="minorEastAsia" w:eastAsiaTheme="minorEastAsia" w:cstheme="minorEastAsia"/>
                <w:i w:val="0"/>
                <w:iCs w:val="0"/>
                <w:color w:val="000000"/>
                <w:sz w:val="20"/>
                <w:szCs w:val="20"/>
                <w:u w:val="none"/>
                <w:lang w:val="en-US" w:eastAsia="zh-CN" w:bidi="ar"/>
              </w:rPr>
              <w:br/>
            </w:r>
            <w:r>
              <w:rPr>
                <w:rFonts w:hint="eastAsia" w:asciiTheme="minorEastAsia" w:hAnsiTheme="minorEastAsia" w:eastAsiaTheme="minorEastAsia" w:cstheme="minorEastAsia"/>
                <w:i w:val="0"/>
                <w:iCs w:val="0"/>
                <w:color w:val="000000"/>
                <w:sz w:val="20"/>
                <w:szCs w:val="20"/>
                <w:u w:val="none"/>
                <w:lang w:val="en-US" w:eastAsia="zh-CN" w:bidi="ar"/>
              </w:rPr>
              <w:t xml:space="preserve">特色功能 支持睿易 APP、MACC 云平台远程管理，支持 4094 个 VLAN，具备端口镜像、链路聚合等功能</w:t>
            </w:r>
            <w:r/>
          </w:p>
        </w:tc>
        <w:tc>
          <w:tcPr>
            <w:shd w:val="clear" w:color="auto" w:fill="auto"/>
            <w:tcW w:w="982"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lang w:val="en-US" w:eastAsia="zh-CN" w:bidi="ar"/>
              </w:rPr>
              <w:t xml:space="preserve">台</w:t>
            </w:r>
            <w:r/>
          </w:p>
        </w:tc>
        <w:tc>
          <w:tcPr>
            <w:shd w:val="clear" w:color="auto" w:fill="auto"/>
            <w:tcW w:w="971"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lang w:val="en-US" w:eastAsia="zh-CN" w:bidi="ar"/>
              </w:rPr>
              <w:t xml:space="preserve">1.00 </w:t>
            </w:r>
            <w:r/>
          </w:p>
        </w:tc>
      </w:tr>
      <w:tr>
        <w:trPr>
          <w:trHeight w:val="3962"/>
        </w:trPr>
        <w:tc>
          <w:tcPr>
            <w:shd w:val="clear" w:color="auto" w:fill="auto"/>
            <w:tcW w:w="749"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lang w:val="en-US" w:eastAsia="zh-CN" w:bidi="ar"/>
              </w:rPr>
              <w:t xml:space="preserve">18</w:t>
            </w:r>
            <w:r/>
          </w:p>
        </w:tc>
        <w:tc>
          <w:tcPr>
            <w:shd w:val="clear" w:color="auto" w:fill="auto"/>
            <w:tcW w:w="1344"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lang w:val="en-US" w:eastAsia="zh-CN" w:bidi="ar"/>
              </w:rPr>
              <w:t xml:space="preserve">双绞线缆1</w:t>
            </w:r>
            <w:r/>
          </w:p>
        </w:tc>
        <w:tc>
          <w:tcPr>
            <w:shd w:val="clear" w:color="auto" w:fill="auto"/>
            <w:tcW w:w="4751"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lang w:val="en-US" w:eastAsia="zh-CN" w:bidi="ar"/>
              </w:rPr>
              <w:t xml:space="preserve">1、名称：超五类网线</w:t>
            </w:r>
            <w:r>
              <w:rPr>
                <w:rFonts w:hint="eastAsia" w:asciiTheme="minorEastAsia" w:hAnsiTheme="minorEastAsia" w:eastAsiaTheme="minorEastAsia" w:cstheme="minorEastAsia"/>
                <w:i w:val="0"/>
                <w:iCs w:val="0"/>
                <w:color w:val="000000"/>
                <w:sz w:val="20"/>
                <w:szCs w:val="20"/>
                <w:u w:val="none"/>
                <w:lang w:val="en-US" w:eastAsia="zh-CN" w:bidi="ar"/>
              </w:rPr>
              <w:br/>
            </w:r>
            <w:r>
              <w:rPr>
                <w:rFonts w:hint="eastAsia" w:asciiTheme="minorEastAsia" w:hAnsiTheme="minorEastAsia" w:eastAsiaTheme="minorEastAsia" w:cstheme="minorEastAsia"/>
                <w:i w:val="0"/>
                <w:iCs w:val="0"/>
                <w:color w:val="000000"/>
                <w:sz w:val="20"/>
                <w:szCs w:val="20"/>
                <w:u w:val="none"/>
                <w:lang w:val="en-US" w:eastAsia="zh-CN" w:bidi="ar"/>
              </w:rPr>
              <w:t xml:space="preserve">2、含水晶头卡接 超五类网线（CAT5E）是办公、监控、家居组网的主流选择，核心满足千兆以太网传输需求，以下是其通用标准规格及关键参数（符合 TIA/EIA-568-C.2 标准）：</w:t>
            </w:r>
            <w:r>
              <w:rPr>
                <w:rFonts w:hint="eastAsia" w:asciiTheme="minorEastAsia" w:hAnsiTheme="minorEastAsia" w:eastAsiaTheme="minorEastAsia" w:cstheme="minorEastAsia"/>
                <w:i w:val="0"/>
                <w:iCs w:val="0"/>
                <w:color w:val="000000"/>
                <w:sz w:val="20"/>
                <w:szCs w:val="20"/>
                <w:u w:val="none"/>
                <w:lang w:val="en-US" w:eastAsia="zh-CN" w:bidi="ar"/>
              </w:rPr>
              <w:br/>
            </w:r>
            <w:r>
              <w:rPr>
                <w:rFonts w:hint="eastAsia" w:asciiTheme="minorEastAsia" w:hAnsiTheme="minorEastAsia" w:eastAsiaTheme="minorEastAsia" w:cstheme="minorEastAsia"/>
                <w:i w:val="0"/>
                <w:iCs w:val="0"/>
                <w:color w:val="000000"/>
                <w:sz w:val="20"/>
                <w:szCs w:val="20"/>
                <w:u w:val="none"/>
                <w:lang w:val="en-US" w:eastAsia="zh-CN" w:bidi="ar"/>
              </w:rPr>
              <w:t xml:space="preserve">一、核心传输参数</w:t>
            </w:r>
            <w:r>
              <w:rPr>
                <w:rFonts w:hint="eastAsia" w:asciiTheme="minorEastAsia" w:hAnsiTheme="minorEastAsia" w:eastAsiaTheme="minorEastAsia" w:cstheme="minorEastAsia"/>
                <w:i w:val="0"/>
                <w:iCs w:val="0"/>
                <w:color w:val="000000"/>
                <w:sz w:val="20"/>
                <w:szCs w:val="20"/>
                <w:u w:val="none"/>
                <w:lang w:val="en-US" w:eastAsia="zh-CN" w:bidi="ar"/>
              </w:rPr>
              <w:br/>
            </w:r>
            <w:r>
              <w:rPr>
                <w:rFonts w:hint="eastAsia" w:asciiTheme="minorEastAsia" w:hAnsiTheme="minorEastAsia" w:eastAsiaTheme="minorEastAsia" w:cstheme="minorEastAsia"/>
                <w:i w:val="0"/>
                <w:iCs w:val="0"/>
                <w:color w:val="000000"/>
                <w:sz w:val="20"/>
                <w:szCs w:val="20"/>
                <w:u w:val="none"/>
                <w:lang w:val="en-US" w:eastAsia="zh-CN" w:bidi="ar"/>
              </w:rPr>
              <w:t xml:space="preserve">传输频率：最高支持 100MHz，满足千兆以太网（1000Base-T）传输要求。</w:t>
            </w:r>
            <w:r>
              <w:rPr>
                <w:rFonts w:hint="eastAsia" w:asciiTheme="minorEastAsia" w:hAnsiTheme="minorEastAsia" w:eastAsiaTheme="minorEastAsia" w:cstheme="minorEastAsia"/>
                <w:i w:val="0"/>
                <w:iCs w:val="0"/>
                <w:color w:val="000000"/>
                <w:sz w:val="20"/>
                <w:szCs w:val="20"/>
                <w:u w:val="none"/>
                <w:lang w:val="en-US" w:eastAsia="zh-CN" w:bidi="ar"/>
              </w:rPr>
              <w:br/>
            </w:r>
            <w:r>
              <w:rPr>
                <w:rFonts w:hint="eastAsia" w:asciiTheme="minorEastAsia" w:hAnsiTheme="minorEastAsia" w:eastAsiaTheme="minorEastAsia" w:cstheme="minorEastAsia"/>
                <w:i w:val="0"/>
                <w:iCs w:val="0"/>
                <w:color w:val="000000"/>
                <w:sz w:val="20"/>
                <w:szCs w:val="20"/>
                <w:u w:val="none"/>
                <w:lang w:val="en-US" w:eastAsia="zh-CN" w:bidi="ar"/>
              </w:rPr>
              <w:t xml:space="preserve">传输速率：在 100 米范围内，最大传输速率 1000Mbps（千兆），支持 10/100/1000M 自适应。</w:t>
            </w:r>
            <w:r>
              <w:rPr>
                <w:rFonts w:hint="eastAsia" w:asciiTheme="minorEastAsia" w:hAnsiTheme="minorEastAsia" w:eastAsiaTheme="minorEastAsia" w:cstheme="minorEastAsia"/>
                <w:i w:val="0"/>
                <w:iCs w:val="0"/>
                <w:color w:val="000000"/>
                <w:sz w:val="20"/>
                <w:szCs w:val="20"/>
                <w:u w:val="none"/>
                <w:lang w:val="en-US" w:eastAsia="zh-CN" w:bidi="ar"/>
              </w:rPr>
              <w:br/>
            </w:r>
            <w:r>
              <w:rPr>
                <w:rFonts w:hint="eastAsia" w:asciiTheme="minorEastAsia" w:hAnsiTheme="minorEastAsia" w:eastAsiaTheme="minorEastAsia" w:cstheme="minorEastAsia"/>
                <w:i w:val="0"/>
                <w:iCs w:val="0"/>
                <w:color w:val="000000"/>
                <w:sz w:val="20"/>
                <w:szCs w:val="20"/>
                <w:u w:val="none"/>
                <w:lang w:val="en-US" w:eastAsia="zh-CN" w:bidi="ar"/>
              </w:rPr>
              <w:t xml:space="preserve">衰减性能：100MHz 时，每 100 米衰减≤24dB（24AWG 线规），确保远距离信号稳定。</w:t>
            </w:r>
            <w:r>
              <w:rPr>
                <w:rFonts w:hint="eastAsia" w:asciiTheme="minorEastAsia" w:hAnsiTheme="minorEastAsia" w:eastAsiaTheme="minorEastAsia" w:cstheme="minorEastAsia"/>
                <w:i w:val="0"/>
                <w:iCs w:val="0"/>
                <w:color w:val="000000"/>
                <w:sz w:val="20"/>
                <w:szCs w:val="20"/>
                <w:u w:val="none"/>
                <w:lang w:val="en-US" w:eastAsia="zh-CN" w:bidi="ar"/>
              </w:rPr>
              <w:br/>
            </w:r>
            <w:r>
              <w:rPr>
                <w:rFonts w:hint="eastAsia" w:asciiTheme="minorEastAsia" w:hAnsiTheme="minorEastAsia" w:eastAsiaTheme="minorEastAsia" w:cstheme="minorEastAsia"/>
                <w:i w:val="0"/>
                <w:iCs w:val="0"/>
                <w:color w:val="000000"/>
                <w:sz w:val="20"/>
                <w:szCs w:val="20"/>
                <w:u w:val="none"/>
                <w:lang w:val="en-US" w:eastAsia="zh-CN" w:bidi="ar"/>
              </w:rPr>
              <w:t xml:space="preserve">串扰抑制：近端串扰（NEXT）≥35dB，远端串扰（FEXT）≥28dB，减少信号干扰。</w:t>
            </w:r>
            <w:r>
              <w:rPr>
                <w:rFonts w:hint="eastAsia" w:asciiTheme="minorEastAsia" w:hAnsiTheme="minorEastAsia" w:eastAsiaTheme="minorEastAsia" w:cstheme="minorEastAsia"/>
                <w:i w:val="0"/>
                <w:iCs w:val="0"/>
                <w:color w:val="000000"/>
                <w:sz w:val="20"/>
                <w:szCs w:val="20"/>
                <w:u w:val="none"/>
                <w:lang w:val="en-US" w:eastAsia="zh-CN" w:bidi="ar"/>
              </w:rPr>
              <w:br/>
            </w:r>
            <w:r>
              <w:rPr>
                <w:rFonts w:hint="eastAsia" w:asciiTheme="minorEastAsia" w:hAnsiTheme="minorEastAsia" w:eastAsiaTheme="minorEastAsia" w:cstheme="minorEastAsia"/>
                <w:i w:val="0"/>
                <w:iCs w:val="0"/>
                <w:color w:val="000000"/>
                <w:sz w:val="20"/>
                <w:szCs w:val="20"/>
                <w:u w:val="none"/>
                <w:lang w:val="en-US" w:eastAsia="zh-CN" w:bidi="ar"/>
              </w:rPr>
              <w:t xml:space="preserve">回波损耗：≥10dB（100MHz），降低信号反射对传输质量的影响。</w:t>
            </w:r>
            <w:r>
              <w:rPr>
                <w:rFonts w:hint="eastAsia" w:asciiTheme="minorEastAsia" w:hAnsiTheme="minorEastAsia" w:eastAsiaTheme="minorEastAsia" w:cstheme="minorEastAsia"/>
                <w:i w:val="0"/>
                <w:iCs w:val="0"/>
                <w:color w:val="000000"/>
                <w:sz w:val="20"/>
                <w:szCs w:val="20"/>
                <w:u w:val="none"/>
                <w:lang w:val="en-US" w:eastAsia="zh-CN" w:bidi="ar"/>
              </w:rPr>
              <w:br/>
            </w:r>
            <w:r>
              <w:rPr>
                <w:rFonts w:hint="eastAsia" w:asciiTheme="minorEastAsia" w:hAnsiTheme="minorEastAsia" w:eastAsiaTheme="minorEastAsia" w:cstheme="minorEastAsia"/>
                <w:i w:val="0"/>
                <w:iCs w:val="0"/>
                <w:color w:val="000000"/>
                <w:sz w:val="20"/>
                <w:szCs w:val="20"/>
                <w:u w:val="none"/>
                <w:lang w:val="en-US" w:eastAsia="zh-CN" w:bidi="ar"/>
              </w:rPr>
              <w:t xml:space="preserve">二、物理结构参数</w:t>
            </w:r>
            <w:r>
              <w:rPr>
                <w:rFonts w:hint="eastAsia" w:asciiTheme="minorEastAsia" w:hAnsiTheme="minorEastAsia" w:eastAsiaTheme="minorEastAsia" w:cstheme="minorEastAsia"/>
                <w:i w:val="0"/>
                <w:iCs w:val="0"/>
                <w:color w:val="000000"/>
                <w:sz w:val="20"/>
                <w:szCs w:val="20"/>
                <w:u w:val="none"/>
                <w:lang w:val="en-US" w:eastAsia="zh-CN" w:bidi="ar"/>
              </w:rPr>
              <w:br/>
            </w:r>
            <w:r>
              <w:rPr>
                <w:rFonts w:hint="eastAsia" w:asciiTheme="minorEastAsia" w:hAnsiTheme="minorEastAsia" w:eastAsiaTheme="minorEastAsia" w:cstheme="minorEastAsia"/>
                <w:i w:val="0"/>
                <w:iCs w:val="0"/>
                <w:color w:val="000000"/>
                <w:sz w:val="20"/>
                <w:szCs w:val="20"/>
                <w:u w:val="none"/>
                <w:lang w:val="en-US" w:eastAsia="zh-CN" w:bidi="ar"/>
              </w:rPr>
              <w:t xml:space="preserve">导体规格：单根导体为 24AWG（0.511mm 线径），材质多为无氧铜（纯度≥99.9%），部分经济型为铜包铝（CCA）。</w:t>
            </w:r>
            <w:r>
              <w:rPr>
                <w:rFonts w:hint="eastAsia" w:asciiTheme="minorEastAsia" w:hAnsiTheme="minorEastAsia" w:eastAsiaTheme="minorEastAsia" w:cstheme="minorEastAsia"/>
                <w:i w:val="0"/>
                <w:iCs w:val="0"/>
                <w:color w:val="000000"/>
                <w:sz w:val="20"/>
                <w:szCs w:val="20"/>
                <w:u w:val="none"/>
                <w:lang w:val="en-US" w:eastAsia="zh-CN" w:bidi="ar"/>
              </w:rPr>
              <w:br/>
            </w:r>
            <w:r>
              <w:rPr>
                <w:rFonts w:hint="eastAsia" w:asciiTheme="minorEastAsia" w:hAnsiTheme="minorEastAsia" w:eastAsiaTheme="minorEastAsia" w:cstheme="minorEastAsia"/>
                <w:i w:val="0"/>
                <w:iCs w:val="0"/>
                <w:color w:val="000000"/>
                <w:sz w:val="20"/>
                <w:szCs w:val="20"/>
                <w:u w:val="none"/>
                <w:lang w:val="en-US" w:eastAsia="zh-CN" w:bidi="ar"/>
              </w:rPr>
              <w:t xml:space="preserve">线对结构：4 对双绞铜线，每对绞距不同（约 10-14mm），绞合密度≥1.5 绞 / 厘米，增强抗干扰能力。</w:t>
            </w:r>
            <w:r>
              <w:rPr>
                <w:rFonts w:hint="eastAsia" w:asciiTheme="minorEastAsia" w:hAnsiTheme="minorEastAsia" w:eastAsiaTheme="minorEastAsia" w:cstheme="minorEastAsia"/>
                <w:i w:val="0"/>
                <w:iCs w:val="0"/>
                <w:color w:val="000000"/>
                <w:sz w:val="20"/>
                <w:szCs w:val="20"/>
                <w:u w:val="none"/>
                <w:lang w:val="en-US" w:eastAsia="zh-CN" w:bidi="ar"/>
              </w:rPr>
              <w:br/>
            </w:r>
            <w:r>
              <w:rPr>
                <w:rFonts w:hint="eastAsia" w:asciiTheme="minorEastAsia" w:hAnsiTheme="minorEastAsia" w:eastAsiaTheme="minorEastAsia" w:cstheme="minorEastAsia"/>
                <w:i w:val="0"/>
                <w:iCs w:val="0"/>
                <w:color w:val="000000"/>
                <w:sz w:val="20"/>
                <w:szCs w:val="20"/>
                <w:u w:val="none"/>
                <w:lang w:val="en-US" w:eastAsia="zh-CN" w:bidi="ar"/>
              </w:rPr>
              <w:t xml:space="preserve">绝缘层：采用 HDPE（高密度聚乙烯）材质，绝缘层厚度≥0.2mm，单根线芯直径（导体 + 绝缘）约 0.91mm。</w:t>
            </w:r>
            <w:r>
              <w:rPr>
                <w:rFonts w:hint="eastAsia" w:asciiTheme="minorEastAsia" w:hAnsiTheme="minorEastAsia" w:eastAsiaTheme="minorEastAsia" w:cstheme="minorEastAsia"/>
                <w:i w:val="0"/>
                <w:iCs w:val="0"/>
                <w:color w:val="000000"/>
                <w:sz w:val="20"/>
                <w:szCs w:val="20"/>
                <w:u w:val="none"/>
                <w:lang w:val="en-US" w:eastAsia="zh-CN" w:bidi="ar"/>
              </w:rPr>
              <w:br/>
            </w:r>
            <w:r>
              <w:rPr>
                <w:rFonts w:hint="eastAsia" w:asciiTheme="minorEastAsia" w:hAnsiTheme="minorEastAsia" w:eastAsiaTheme="minorEastAsia" w:cstheme="minorEastAsia"/>
                <w:i w:val="0"/>
                <w:iCs w:val="0"/>
                <w:color w:val="000000"/>
                <w:sz w:val="20"/>
                <w:szCs w:val="20"/>
                <w:u w:val="none"/>
                <w:lang w:val="en-US" w:eastAsia="zh-CN" w:bidi="ar"/>
              </w:rPr>
              <w:t xml:space="preserve">护套规格：</w:t>
            </w:r>
            <w:r>
              <w:rPr>
                <w:rFonts w:hint="eastAsia" w:asciiTheme="minorEastAsia" w:hAnsiTheme="minorEastAsia" w:eastAsiaTheme="minorEastAsia" w:cstheme="minorEastAsia"/>
                <w:i w:val="0"/>
                <w:iCs w:val="0"/>
                <w:color w:val="000000"/>
                <w:sz w:val="20"/>
                <w:szCs w:val="20"/>
                <w:u w:val="none"/>
                <w:lang w:val="en-US" w:eastAsia="zh-CN" w:bidi="ar"/>
              </w:rPr>
              <w:br/>
            </w:r>
            <w:r>
              <w:rPr>
                <w:rFonts w:hint="eastAsia" w:asciiTheme="minorEastAsia" w:hAnsiTheme="minorEastAsia" w:eastAsiaTheme="minorEastAsia" w:cstheme="minorEastAsia"/>
                <w:i w:val="0"/>
                <w:iCs w:val="0"/>
                <w:color w:val="000000"/>
                <w:sz w:val="20"/>
                <w:szCs w:val="20"/>
                <w:u w:val="none"/>
                <w:lang w:val="en-US" w:eastAsia="zh-CN" w:bidi="ar"/>
              </w:rPr>
              <w:t xml:space="preserve">材质：PVC（聚氯乙烯）或 LSZH（低烟无卤），PVC 护套阻燃等级多为 CM（通用型），LSZH 更环保。</w:t>
            </w:r>
            <w:r>
              <w:rPr>
                <w:rFonts w:hint="eastAsia" w:asciiTheme="minorEastAsia" w:hAnsiTheme="minorEastAsia" w:eastAsiaTheme="minorEastAsia" w:cstheme="minorEastAsia"/>
                <w:i w:val="0"/>
                <w:iCs w:val="0"/>
                <w:color w:val="000000"/>
                <w:sz w:val="20"/>
                <w:szCs w:val="20"/>
                <w:u w:val="none"/>
                <w:lang w:val="en-US" w:eastAsia="zh-CN" w:bidi="ar"/>
              </w:rPr>
              <w:br/>
            </w:r>
            <w:r>
              <w:rPr>
                <w:rFonts w:hint="eastAsia" w:asciiTheme="minorEastAsia" w:hAnsiTheme="minorEastAsia" w:eastAsiaTheme="minorEastAsia" w:cstheme="minorEastAsia"/>
                <w:i w:val="0"/>
                <w:iCs w:val="0"/>
                <w:color w:val="000000"/>
                <w:sz w:val="20"/>
                <w:szCs w:val="20"/>
                <w:u w:val="none"/>
                <w:lang w:val="en-US" w:eastAsia="zh-CN" w:bidi="ar"/>
              </w:rPr>
              <w:t xml:space="preserve">外径：非屏蔽（UTP）款约 5.0-5.5mm，屏蔽（STP/FTP）款约 6.0-7.0mm。</w:t>
            </w:r>
            <w:r>
              <w:rPr>
                <w:rFonts w:hint="eastAsia" w:asciiTheme="minorEastAsia" w:hAnsiTheme="minorEastAsia" w:eastAsiaTheme="minorEastAsia" w:cstheme="minorEastAsia"/>
                <w:i w:val="0"/>
                <w:iCs w:val="0"/>
                <w:color w:val="000000"/>
                <w:sz w:val="20"/>
                <w:szCs w:val="20"/>
                <w:u w:val="none"/>
                <w:lang w:val="en-US" w:eastAsia="zh-CN" w:bidi="ar"/>
              </w:rPr>
              <w:br/>
            </w:r>
            <w:r>
              <w:rPr>
                <w:rFonts w:hint="eastAsia" w:asciiTheme="minorEastAsia" w:hAnsiTheme="minorEastAsia" w:eastAsiaTheme="minorEastAsia" w:cstheme="minorEastAsia"/>
                <w:i w:val="0"/>
                <w:iCs w:val="0"/>
                <w:color w:val="000000"/>
                <w:sz w:val="20"/>
                <w:szCs w:val="20"/>
                <w:u w:val="none"/>
                <w:lang w:val="en-US" w:eastAsia="zh-CN" w:bidi="ar"/>
              </w:rPr>
              <w:t xml:space="preserve">屏蔽类型：</w:t>
            </w:r>
            <w:r>
              <w:rPr>
                <w:rFonts w:hint="eastAsia" w:asciiTheme="minorEastAsia" w:hAnsiTheme="minorEastAsia" w:eastAsiaTheme="minorEastAsia" w:cstheme="minorEastAsia"/>
                <w:i w:val="0"/>
                <w:iCs w:val="0"/>
                <w:color w:val="000000"/>
                <w:sz w:val="20"/>
                <w:szCs w:val="20"/>
                <w:u w:val="none"/>
                <w:lang w:val="en-US" w:eastAsia="zh-CN" w:bidi="ar"/>
              </w:rPr>
              <w:br/>
            </w:r>
            <w:r>
              <w:rPr>
                <w:rFonts w:hint="eastAsia" w:asciiTheme="minorEastAsia" w:hAnsiTheme="minorEastAsia" w:eastAsiaTheme="minorEastAsia" w:cstheme="minorEastAsia"/>
                <w:i w:val="0"/>
                <w:iCs w:val="0"/>
                <w:color w:val="000000"/>
                <w:sz w:val="20"/>
                <w:szCs w:val="20"/>
                <w:u w:val="none"/>
                <w:lang w:val="en-US" w:eastAsia="zh-CN" w:bidi="ar"/>
              </w:rPr>
              <w:t xml:space="preserve">非屏蔽（UTP）：无屏蔽层，成本低、柔韧性好，适合普通环境。</w:t>
            </w:r>
            <w:r>
              <w:rPr>
                <w:rFonts w:hint="eastAsia" w:asciiTheme="minorEastAsia" w:hAnsiTheme="minorEastAsia" w:eastAsiaTheme="minorEastAsia" w:cstheme="minorEastAsia"/>
                <w:i w:val="0"/>
                <w:iCs w:val="0"/>
                <w:color w:val="000000"/>
                <w:sz w:val="20"/>
                <w:szCs w:val="20"/>
                <w:u w:val="none"/>
                <w:lang w:val="en-US" w:eastAsia="zh-CN" w:bidi="ar"/>
              </w:rPr>
              <w:br/>
            </w:r>
            <w:r>
              <w:rPr>
                <w:rFonts w:hint="eastAsia" w:asciiTheme="minorEastAsia" w:hAnsiTheme="minorEastAsia" w:eastAsiaTheme="minorEastAsia" w:cstheme="minorEastAsia"/>
                <w:i w:val="0"/>
                <w:iCs w:val="0"/>
                <w:color w:val="000000"/>
                <w:sz w:val="20"/>
                <w:szCs w:val="20"/>
                <w:u w:val="none"/>
                <w:lang w:val="en-US" w:eastAsia="zh-CN" w:bidi="ar"/>
              </w:rPr>
              <w:t xml:space="preserve">屏蔽（FTP/STP）：FTP 带铝箔屏蔽，STP 带铝箔 + 编织网屏蔽，抗干扰更强，适配强电磁环境。</w:t>
            </w:r>
            <w:r>
              <w:rPr>
                <w:rFonts w:hint="eastAsia" w:asciiTheme="minorEastAsia" w:hAnsiTheme="minorEastAsia" w:eastAsiaTheme="minorEastAsia" w:cstheme="minorEastAsia"/>
                <w:i w:val="0"/>
                <w:iCs w:val="0"/>
                <w:color w:val="000000"/>
                <w:sz w:val="20"/>
                <w:szCs w:val="20"/>
                <w:u w:val="none"/>
                <w:lang w:val="en-US" w:eastAsia="zh-CN" w:bidi="ar"/>
              </w:rPr>
              <w:br/>
            </w:r>
            <w:r>
              <w:rPr>
                <w:rFonts w:hint="eastAsia" w:asciiTheme="minorEastAsia" w:hAnsiTheme="minorEastAsia" w:eastAsiaTheme="minorEastAsia" w:cstheme="minorEastAsia"/>
                <w:i w:val="0"/>
                <w:iCs w:val="0"/>
                <w:color w:val="000000"/>
                <w:sz w:val="20"/>
                <w:szCs w:val="20"/>
                <w:u w:val="none"/>
                <w:lang w:val="en-US" w:eastAsia="zh-CN" w:bidi="ar"/>
              </w:rPr>
              <w:t xml:space="preserve">三、使用与环境参数</w:t>
            </w:r>
            <w:r>
              <w:rPr>
                <w:rFonts w:hint="eastAsia" w:asciiTheme="minorEastAsia" w:hAnsiTheme="minorEastAsia" w:eastAsiaTheme="minorEastAsia" w:cstheme="minorEastAsia"/>
                <w:i w:val="0"/>
                <w:iCs w:val="0"/>
                <w:color w:val="000000"/>
                <w:sz w:val="20"/>
                <w:szCs w:val="20"/>
                <w:u w:val="none"/>
                <w:lang w:val="en-US" w:eastAsia="zh-CN" w:bidi="ar"/>
              </w:rPr>
              <w:br/>
            </w:r>
            <w:r>
              <w:rPr>
                <w:rFonts w:hint="eastAsia" w:asciiTheme="minorEastAsia" w:hAnsiTheme="minorEastAsia" w:eastAsiaTheme="minorEastAsia" w:cstheme="minorEastAsia"/>
                <w:i w:val="0"/>
                <w:iCs w:val="0"/>
                <w:color w:val="000000"/>
                <w:sz w:val="20"/>
                <w:szCs w:val="20"/>
                <w:u w:val="none"/>
                <w:lang w:val="en-US" w:eastAsia="zh-CN" w:bidi="ar"/>
              </w:rPr>
              <w:t xml:space="preserve">传输距离：最大推荐传输距离 100 米（千兆速率下），超出后信号衰减明显。</w:t>
            </w:r>
            <w:r>
              <w:rPr>
                <w:rFonts w:hint="eastAsia" w:asciiTheme="minorEastAsia" w:hAnsiTheme="minorEastAsia" w:eastAsiaTheme="minorEastAsia" w:cstheme="minorEastAsia"/>
                <w:i w:val="0"/>
                <w:iCs w:val="0"/>
                <w:color w:val="000000"/>
                <w:sz w:val="20"/>
                <w:szCs w:val="20"/>
                <w:u w:val="none"/>
                <w:lang w:val="en-US" w:eastAsia="zh-CN" w:bidi="ar"/>
              </w:rPr>
              <w:br/>
            </w:r>
            <w:r>
              <w:rPr>
                <w:rFonts w:hint="eastAsia" w:asciiTheme="minorEastAsia" w:hAnsiTheme="minorEastAsia" w:eastAsiaTheme="minorEastAsia" w:cstheme="minorEastAsia"/>
                <w:i w:val="0"/>
                <w:iCs w:val="0"/>
                <w:color w:val="000000"/>
                <w:sz w:val="20"/>
                <w:szCs w:val="20"/>
                <w:u w:val="none"/>
                <w:lang w:val="en-US" w:eastAsia="zh-CN" w:bidi="ar"/>
              </w:rPr>
              <w:t xml:space="preserve">工作温度：-20℃~60℃（常规款），户外专用款可扩展至 - 40℃~70℃。</w:t>
            </w:r>
            <w:r>
              <w:rPr>
                <w:rFonts w:hint="eastAsia" w:asciiTheme="minorEastAsia" w:hAnsiTheme="minorEastAsia" w:eastAsiaTheme="minorEastAsia" w:cstheme="minorEastAsia"/>
                <w:i w:val="0"/>
                <w:iCs w:val="0"/>
                <w:color w:val="000000"/>
                <w:sz w:val="20"/>
                <w:szCs w:val="20"/>
                <w:u w:val="none"/>
                <w:lang w:val="en-US" w:eastAsia="zh-CN" w:bidi="ar"/>
              </w:rPr>
              <w:br/>
            </w:r>
            <w:r>
              <w:rPr>
                <w:rFonts w:hint="eastAsia" w:asciiTheme="minorEastAsia" w:hAnsiTheme="minorEastAsia" w:eastAsiaTheme="minorEastAsia" w:cstheme="minorEastAsia"/>
                <w:i w:val="0"/>
                <w:iCs w:val="0"/>
                <w:color w:val="000000"/>
                <w:sz w:val="20"/>
                <w:szCs w:val="20"/>
                <w:u w:val="none"/>
                <w:lang w:val="en-US" w:eastAsia="zh-CN" w:bidi="ar"/>
              </w:rPr>
              <w:t xml:space="preserve">额定电压：300V（交流），绝缘电阻≥100MΩ/km。</w:t>
            </w:r>
            <w:r>
              <w:rPr>
                <w:rFonts w:hint="eastAsia" w:asciiTheme="minorEastAsia" w:hAnsiTheme="minorEastAsia" w:eastAsiaTheme="minorEastAsia" w:cstheme="minorEastAsia"/>
                <w:i w:val="0"/>
                <w:iCs w:val="0"/>
                <w:color w:val="000000"/>
                <w:sz w:val="20"/>
                <w:szCs w:val="20"/>
                <w:u w:val="none"/>
                <w:lang w:val="en-US" w:eastAsia="zh-CN" w:bidi="ar"/>
              </w:rPr>
              <w:br/>
            </w:r>
            <w:r>
              <w:rPr>
                <w:rFonts w:hint="eastAsia" w:asciiTheme="minorEastAsia" w:hAnsiTheme="minorEastAsia" w:eastAsiaTheme="minorEastAsia" w:cstheme="minorEastAsia"/>
                <w:i w:val="0"/>
                <w:iCs w:val="0"/>
                <w:color w:val="000000"/>
                <w:sz w:val="20"/>
                <w:szCs w:val="20"/>
                <w:u w:val="none"/>
                <w:lang w:val="en-US" w:eastAsia="zh-CN" w:bidi="ar"/>
              </w:rPr>
              <w:t xml:space="preserve">防火等级：PVC 护套符合 UL94 V-0 级阻燃，LSZH 护套符合 IEC 60332-1 标准。</w:t>
            </w:r>
            <w:r>
              <w:rPr>
                <w:rFonts w:hint="eastAsia" w:asciiTheme="minorEastAsia" w:hAnsiTheme="minorEastAsia" w:eastAsiaTheme="minorEastAsia" w:cstheme="minorEastAsia"/>
                <w:i w:val="0"/>
                <w:iCs w:val="0"/>
                <w:color w:val="000000"/>
                <w:sz w:val="20"/>
                <w:szCs w:val="20"/>
                <w:u w:val="none"/>
                <w:lang w:val="en-US" w:eastAsia="zh-CN" w:bidi="ar"/>
              </w:rPr>
              <w:br/>
            </w:r>
            <w:r>
              <w:rPr>
                <w:rFonts w:hint="eastAsia" w:asciiTheme="minorEastAsia" w:hAnsiTheme="minorEastAsia" w:eastAsiaTheme="minorEastAsia" w:cstheme="minorEastAsia"/>
                <w:i w:val="0"/>
                <w:iCs w:val="0"/>
                <w:color w:val="000000"/>
                <w:sz w:val="20"/>
                <w:szCs w:val="20"/>
                <w:u w:val="none"/>
                <w:lang w:val="en-US" w:eastAsia="zh-CN" w:bidi="ar"/>
              </w:rPr>
              <w:t xml:space="preserve">四、标识与认证参数</w:t>
            </w:r>
            <w:r>
              <w:rPr>
                <w:rFonts w:hint="eastAsia" w:asciiTheme="minorEastAsia" w:hAnsiTheme="minorEastAsia" w:eastAsiaTheme="minorEastAsia" w:cstheme="minorEastAsia"/>
                <w:i w:val="0"/>
                <w:iCs w:val="0"/>
                <w:color w:val="000000"/>
                <w:sz w:val="20"/>
                <w:szCs w:val="20"/>
                <w:u w:val="none"/>
                <w:lang w:val="en-US" w:eastAsia="zh-CN" w:bidi="ar"/>
              </w:rPr>
              <w:br/>
            </w:r>
            <w:r>
              <w:rPr>
                <w:rFonts w:hint="eastAsia" w:asciiTheme="minorEastAsia" w:hAnsiTheme="minorEastAsia" w:eastAsiaTheme="minorEastAsia" w:cstheme="minorEastAsia"/>
                <w:i w:val="0"/>
                <w:iCs w:val="0"/>
                <w:color w:val="000000"/>
                <w:sz w:val="20"/>
                <w:szCs w:val="20"/>
                <w:u w:val="none"/>
                <w:lang w:val="en-US" w:eastAsia="zh-CN" w:bidi="ar"/>
              </w:rPr>
              <w:t xml:space="preserve">线缆表面需印有 “CAT5E” 标识，及标准编号（如 TIA/EIA-568-C.2）、线规（24AWG）、材质（如 CU 无氧铜）等信息。</w:t>
            </w:r>
            <w:r/>
          </w:p>
        </w:tc>
        <w:tc>
          <w:tcPr>
            <w:shd w:val="clear" w:color="auto" w:fill="auto"/>
            <w:tcW w:w="982"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lang w:val="en-US" w:eastAsia="zh-CN" w:bidi="ar"/>
              </w:rPr>
              <w:t xml:space="preserve">m</w:t>
            </w:r>
            <w:r/>
          </w:p>
        </w:tc>
        <w:tc>
          <w:tcPr>
            <w:shd w:val="clear" w:color="auto" w:fill="auto"/>
            <w:tcW w:w="971"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lang w:val="en-US" w:eastAsia="zh-CN" w:bidi="ar"/>
              </w:rPr>
              <w:t xml:space="preserve">420.00 </w:t>
            </w:r>
            <w:r/>
          </w:p>
        </w:tc>
      </w:tr>
      <w:tr>
        <w:trPr>
          <w:trHeight w:val="1819"/>
        </w:trPr>
        <w:tc>
          <w:tcPr>
            <w:shd w:val="clear" w:color="auto" w:fill="auto"/>
            <w:tcW w:w="749"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lang w:val="en-US" w:eastAsia="zh-CN" w:bidi="ar"/>
              </w:rPr>
              <w:t xml:space="preserve">19</w:t>
            </w:r>
            <w:r/>
          </w:p>
        </w:tc>
        <w:tc>
          <w:tcPr>
            <w:shd w:val="clear" w:color="auto" w:fill="auto"/>
            <w:tcW w:w="1344"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lang w:val="en-US" w:eastAsia="zh-CN" w:bidi="ar"/>
              </w:rPr>
              <w:t xml:space="preserve">扩声系统设备1</w:t>
            </w:r>
            <w:r/>
          </w:p>
        </w:tc>
        <w:tc>
          <w:tcPr>
            <w:shd w:val="clear" w:color="auto" w:fill="auto"/>
            <w:tcW w:w="4751"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lang w:val="en-US" w:eastAsia="zh-CN" w:bidi="ar"/>
              </w:rPr>
              <w:t xml:space="preserve">1、名称：吸顶音响、4×10"中低频驱动单元；</w:t>
            </w:r>
            <w:r>
              <w:rPr>
                <w:rFonts w:hint="eastAsia" w:asciiTheme="minorEastAsia" w:hAnsiTheme="minorEastAsia" w:eastAsiaTheme="minorEastAsia" w:cstheme="minorEastAsia"/>
                <w:i w:val="0"/>
                <w:iCs w:val="0"/>
                <w:color w:val="000000"/>
                <w:sz w:val="20"/>
                <w:szCs w:val="20"/>
                <w:u w:val="none"/>
                <w:lang w:val="en-US" w:eastAsia="zh-CN" w:bidi="ar"/>
              </w:rPr>
              <w:br/>
            </w:r>
            <w:r>
              <w:rPr>
                <w:rFonts w:hint="eastAsia" w:asciiTheme="minorEastAsia" w:hAnsiTheme="minorEastAsia" w:eastAsiaTheme="minorEastAsia" w:cstheme="minorEastAsia"/>
                <w:i w:val="0"/>
                <w:iCs w:val="0"/>
                <w:color w:val="000000"/>
                <w:sz w:val="20"/>
                <w:szCs w:val="20"/>
                <w:u w:val="none"/>
                <w:lang w:val="en-US" w:eastAsia="zh-CN" w:bidi="ar"/>
              </w:rPr>
              <w:t xml:space="preserve">2、4×3"中高频驱动单元；</w:t>
            </w:r>
            <w:r>
              <w:rPr>
                <w:rFonts w:hint="eastAsia" w:asciiTheme="minorEastAsia" w:hAnsiTheme="minorEastAsia" w:eastAsiaTheme="minorEastAsia" w:cstheme="minorEastAsia"/>
                <w:i w:val="0"/>
                <w:iCs w:val="0"/>
                <w:color w:val="000000"/>
                <w:sz w:val="20"/>
                <w:szCs w:val="20"/>
                <w:u w:val="none"/>
                <w:lang w:val="en-US" w:eastAsia="zh-CN" w:bidi="ar"/>
              </w:rPr>
              <w:br/>
            </w:r>
            <w:r>
              <w:rPr>
                <w:rFonts w:hint="eastAsia" w:asciiTheme="minorEastAsia" w:hAnsiTheme="minorEastAsia" w:eastAsiaTheme="minorEastAsia" w:cstheme="minorEastAsia"/>
                <w:i w:val="0"/>
                <w:iCs w:val="0"/>
                <w:color w:val="000000"/>
                <w:sz w:val="20"/>
                <w:szCs w:val="20"/>
                <w:u w:val="none"/>
                <w:lang w:val="en-US" w:eastAsia="zh-CN" w:bidi="ar"/>
              </w:rPr>
              <w:t xml:space="preserve">3、★额定功率不小于LF：1200W；MHF：400W/LF: 8Ω   MHF: 8Ω  </w:t>
            </w:r>
            <w:r>
              <w:rPr>
                <w:rFonts w:hint="eastAsia" w:asciiTheme="minorEastAsia" w:hAnsiTheme="minorEastAsia" w:eastAsiaTheme="minorEastAsia" w:cstheme="minorEastAsia"/>
                <w:i w:val="0"/>
                <w:iCs w:val="0"/>
                <w:color w:val="000000"/>
                <w:sz w:val="20"/>
                <w:szCs w:val="20"/>
                <w:u w:val="none"/>
                <w:lang w:val="en-US" w:eastAsia="zh-CN" w:bidi="ar"/>
              </w:rPr>
              <w:br/>
            </w:r>
            <w:r>
              <w:rPr>
                <w:rFonts w:hint="eastAsia" w:asciiTheme="minorEastAsia" w:hAnsiTheme="minorEastAsia" w:eastAsiaTheme="minorEastAsia" w:cstheme="minorEastAsia"/>
                <w:i w:val="0"/>
                <w:iCs w:val="0"/>
                <w:color w:val="000000"/>
                <w:sz w:val="20"/>
                <w:szCs w:val="20"/>
                <w:u w:val="none"/>
                <w:lang w:val="en-US" w:eastAsia="zh-CN" w:bidi="ar"/>
              </w:rPr>
              <w:t xml:space="preserve">4、特性灵敏度不小于LF:102dB；MHF:110dB/W/m（有效频率带通平均）</w:t>
            </w:r>
            <w:r>
              <w:rPr>
                <w:rFonts w:hint="eastAsia" w:asciiTheme="minorEastAsia" w:hAnsiTheme="minorEastAsia" w:eastAsiaTheme="minorEastAsia" w:cstheme="minorEastAsia"/>
                <w:i w:val="0"/>
                <w:iCs w:val="0"/>
                <w:color w:val="000000"/>
                <w:sz w:val="20"/>
                <w:szCs w:val="20"/>
                <w:u w:val="none"/>
                <w:lang w:val="en-US" w:eastAsia="zh-CN" w:bidi="ar"/>
              </w:rPr>
              <w:br/>
            </w:r>
            <w:r>
              <w:rPr>
                <w:rFonts w:hint="eastAsia" w:asciiTheme="minorEastAsia" w:hAnsiTheme="minorEastAsia" w:eastAsiaTheme="minorEastAsia" w:cstheme="minorEastAsia"/>
                <w:i w:val="0"/>
                <w:iCs w:val="0"/>
                <w:color w:val="000000"/>
                <w:sz w:val="20"/>
                <w:szCs w:val="20"/>
                <w:u w:val="none"/>
                <w:lang w:val="en-US" w:eastAsia="zh-CN" w:bidi="ar"/>
              </w:rPr>
              <w:t xml:space="preserve">5、连续声压级不小于LF:133dB；MHF:136dB ；</w:t>
            </w:r>
            <w:r>
              <w:rPr>
                <w:rFonts w:hint="eastAsia" w:asciiTheme="minorEastAsia" w:hAnsiTheme="minorEastAsia" w:eastAsiaTheme="minorEastAsia" w:cstheme="minorEastAsia"/>
                <w:i w:val="0"/>
                <w:iCs w:val="0"/>
                <w:color w:val="000000"/>
                <w:sz w:val="20"/>
                <w:szCs w:val="20"/>
                <w:u w:val="none"/>
                <w:lang w:val="en-US" w:eastAsia="zh-CN" w:bidi="ar"/>
              </w:rPr>
              <w:br/>
            </w:r>
            <w:r>
              <w:rPr>
                <w:rFonts w:hint="eastAsia" w:asciiTheme="minorEastAsia" w:hAnsiTheme="minorEastAsia" w:eastAsiaTheme="minorEastAsia" w:cstheme="minorEastAsia"/>
                <w:i w:val="0"/>
                <w:iCs w:val="0"/>
                <w:color w:val="000000"/>
                <w:sz w:val="20"/>
                <w:szCs w:val="20"/>
                <w:u w:val="none"/>
                <w:lang w:val="en-US" w:eastAsia="zh-CN" w:bidi="ar"/>
              </w:rPr>
              <w:t xml:space="preserve">6、峰值声压级不小于LF:139dB；MHF:136dB ；</w:t>
            </w:r>
            <w:r>
              <w:rPr>
                <w:rFonts w:hint="eastAsia" w:asciiTheme="minorEastAsia" w:hAnsiTheme="minorEastAsia" w:eastAsiaTheme="minorEastAsia" w:cstheme="minorEastAsia"/>
                <w:i w:val="0"/>
                <w:iCs w:val="0"/>
                <w:color w:val="000000"/>
                <w:sz w:val="20"/>
                <w:szCs w:val="20"/>
                <w:u w:val="none"/>
                <w:lang w:val="en-US" w:eastAsia="zh-CN" w:bidi="ar"/>
              </w:rPr>
              <w:br/>
            </w:r>
            <w:r>
              <w:rPr>
                <w:rFonts w:hint="eastAsia" w:asciiTheme="minorEastAsia" w:hAnsiTheme="minorEastAsia" w:eastAsiaTheme="minorEastAsia" w:cstheme="minorEastAsia"/>
                <w:i w:val="0"/>
                <w:iCs w:val="0"/>
                <w:color w:val="000000"/>
                <w:sz w:val="20"/>
                <w:szCs w:val="20"/>
                <w:u w:val="none"/>
                <w:lang w:val="en-US" w:eastAsia="zh-CN" w:bidi="ar"/>
              </w:rPr>
              <w:t xml:space="preserve">7、低频截止频率不高于：60Hz；高频截止频率不低于：18KHz</w:t>
            </w:r>
            <w:r>
              <w:rPr>
                <w:rFonts w:hint="eastAsia" w:asciiTheme="minorEastAsia" w:hAnsiTheme="minorEastAsia" w:eastAsiaTheme="minorEastAsia" w:cstheme="minorEastAsia"/>
                <w:i w:val="0"/>
                <w:iCs w:val="0"/>
                <w:color w:val="000000"/>
                <w:sz w:val="20"/>
                <w:szCs w:val="20"/>
                <w:u w:val="none"/>
                <w:lang w:val="en-US" w:eastAsia="zh-CN" w:bidi="ar"/>
              </w:rPr>
              <w:br/>
            </w:r>
            <w:r>
              <w:rPr>
                <w:rFonts w:hint="eastAsia" w:asciiTheme="minorEastAsia" w:hAnsiTheme="minorEastAsia" w:eastAsiaTheme="minorEastAsia" w:cstheme="minorEastAsia"/>
                <w:i w:val="0"/>
                <w:iCs w:val="0"/>
                <w:color w:val="000000"/>
                <w:sz w:val="20"/>
                <w:szCs w:val="20"/>
                <w:u w:val="none"/>
                <w:lang w:val="en-US" w:eastAsia="zh-CN" w:bidi="ar"/>
              </w:rPr>
              <w:t xml:space="preserve">8、覆盖角度： 90ºH  × 50ºV（恒定曲率）；</w:t>
            </w:r>
            <w:r/>
          </w:p>
        </w:tc>
        <w:tc>
          <w:tcPr>
            <w:shd w:val="clear" w:color="auto" w:fill="auto"/>
            <w:tcW w:w="982"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lang w:val="en-US" w:eastAsia="zh-CN" w:bidi="ar"/>
              </w:rPr>
              <w:t xml:space="preserve">台</w:t>
            </w:r>
            <w:r/>
          </w:p>
        </w:tc>
        <w:tc>
          <w:tcPr>
            <w:shd w:val="clear" w:color="auto" w:fill="auto"/>
            <w:tcW w:w="971"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lang w:val="en-US" w:eastAsia="zh-CN" w:bidi="ar"/>
              </w:rPr>
              <w:t xml:space="preserve">6.00 </w:t>
            </w:r>
            <w:r/>
          </w:p>
        </w:tc>
      </w:tr>
      <w:tr>
        <w:trPr>
          <w:trHeight w:val="90"/>
        </w:trPr>
        <w:tc>
          <w:tcPr>
            <w:shd w:val="clear" w:color="auto" w:fill="auto"/>
            <w:tcW w:w="749"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lang w:val="en-US" w:eastAsia="zh-CN" w:bidi="ar"/>
              </w:rPr>
              <w:t xml:space="preserve">20</w:t>
            </w:r>
            <w:r/>
          </w:p>
        </w:tc>
        <w:tc>
          <w:tcPr>
            <w:shd w:val="clear" w:color="auto" w:fill="auto"/>
            <w:tcW w:w="1344"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lang w:val="en-US" w:eastAsia="zh-CN" w:bidi="ar"/>
              </w:rPr>
              <w:t xml:space="preserve">扩声系统设备2</w:t>
            </w:r>
            <w:r/>
          </w:p>
        </w:tc>
        <w:tc>
          <w:tcPr>
            <w:shd w:val="clear" w:color="auto" w:fill="auto"/>
            <w:tcW w:w="4751"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lang w:val="en-US" w:eastAsia="zh-CN" w:bidi="ar"/>
              </w:rPr>
              <w:t xml:space="preserve">1、名称：功放</w:t>
            </w:r>
            <w:r>
              <w:rPr>
                <w:rFonts w:hint="eastAsia" w:asciiTheme="minorEastAsia" w:hAnsiTheme="minorEastAsia" w:eastAsiaTheme="minorEastAsia" w:cstheme="minorEastAsia"/>
                <w:i w:val="0"/>
                <w:iCs w:val="0"/>
                <w:color w:val="000000"/>
                <w:sz w:val="20"/>
                <w:szCs w:val="20"/>
                <w:u w:val="none"/>
                <w:lang w:val="en-US" w:eastAsia="zh-CN" w:bidi="ar"/>
              </w:rPr>
              <w:br/>
            </w:r>
            <w:r>
              <w:rPr>
                <w:rFonts w:hint="eastAsia" w:asciiTheme="minorEastAsia" w:hAnsiTheme="minorEastAsia" w:eastAsiaTheme="minorEastAsia" w:cstheme="minorEastAsia"/>
                <w:i w:val="0"/>
                <w:iCs w:val="0"/>
                <w:color w:val="000000"/>
                <w:sz w:val="20"/>
                <w:szCs w:val="20"/>
                <w:u w:val="none"/>
                <w:lang w:val="en-US" w:eastAsia="zh-CN" w:bidi="ar"/>
              </w:rPr>
              <w:t xml:space="preserve">2、规格：120W1、功放类型：CLASS D类 效率≥90%</w:t>
            </w:r>
            <w:r>
              <w:rPr>
                <w:rFonts w:hint="eastAsia" w:asciiTheme="minorEastAsia" w:hAnsiTheme="minorEastAsia" w:eastAsiaTheme="minorEastAsia" w:cstheme="minorEastAsia"/>
                <w:i w:val="0"/>
                <w:iCs w:val="0"/>
                <w:color w:val="000000"/>
                <w:sz w:val="20"/>
                <w:szCs w:val="20"/>
                <w:u w:val="none"/>
                <w:lang w:val="en-US" w:eastAsia="zh-CN" w:bidi="ar"/>
              </w:rPr>
              <w:br/>
            </w:r>
            <w:r>
              <w:rPr>
                <w:rFonts w:hint="eastAsia" w:asciiTheme="minorEastAsia" w:hAnsiTheme="minorEastAsia" w:eastAsiaTheme="minorEastAsia" w:cstheme="minorEastAsia"/>
                <w:i w:val="0"/>
                <w:iCs w:val="0"/>
                <w:color w:val="000000"/>
                <w:sz w:val="20"/>
                <w:szCs w:val="20"/>
                <w:u w:val="none"/>
                <w:lang w:val="en-US" w:eastAsia="zh-CN" w:bidi="ar"/>
              </w:rPr>
              <w:t xml:space="preserve">2、保护功能：电路通断识别、数字短路保护、直流风机控制系统、宽电压自适应压缩、动态限幅保护，开机软启动延时静噪。</w:t>
            </w:r>
            <w:r>
              <w:rPr>
                <w:rFonts w:hint="eastAsia" w:asciiTheme="minorEastAsia" w:hAnsiTheme="minorEastAsia" w:eastAsiaTheme="minorEastAsia" w:cstheme="minorEastAsia"/>
                <w:i w:val="0"/>
                <w:iCs w:val="0"/>
                <w:color w:val="000000"/>
                <w:sz w:val="20"/>
                <w:szCs w:val="20"/>
                <w:u w:val="none"/>
                <w:lang w:val="en-US" w:eastAsia="zh-CN" w:bidi="ar"/>
              </w:rPr>
              <w:br/>
            </w:r>
            <w:r>
              <w:rPr>
                <w:rFonts w:hint="eastAsia" w:asciiTheme="minorEastAsia" w:hAnsiTheme="minorEastAsia" w:eastAsiaTheme="minorEastAsia" w:cstheme="minorEastAsia"/>
                <w:i w:val="0"/>
                <w:iCs w:val="0"/>
                <w:color w:val="000000"/>
                <w:sz w:val="20"/>
                <w:szCs w:val="20"/>
                <w:u w:val="none"/>
                <w:lang w:val="en-US" w:eastAsia="zh-CN" w:bidi="ar"/>
              </w:rPr>
              <w:t xml:space="preserve">3、功放增益：26/29/32/35dB(可选择）；</w:t>
            </w:r>
            <w:r>
              <w:rPr>
                <w:rFonts w:hint="eastAsia" w:asciiTheme="minorEastAsia" w:hAnsiTheme="minorEastAsia" w:eastAsiaTheme="minorEastAsia" w:cstheme="minorEastAsia"/>
                <w:i w:val="0"/>
                <w:iCs w:val="0"/>
                <w:color w:val="000000"/>
                <w:sz w:val="20"/>
                <w:szCs w:val="20"/>
                <w:u w:val="none"/>
                <w:lang w:val="en-US" w:eastAsia="zh-CN" w:bidi="ar"/>
              </w:rPr>
              <w:br/>
            </w:r>
            <w:r>
              <w:rPr>
                <w:rFonts w:hint="eastAsia" w:asciiTheme="minorEastAsia" w:hAnsiTheme="minorEastAsia" w:eastAsiaTheme="minorEastAsia" w:cstheme="minorEastAsia"/>
                <w:i w:val="0"/>
                <w:iCs w:val="0"/>
                <w:color w:val="000000"/>
                <w:sz w:val="20"/>
                <w:szCs w:val="20"/>
                <w:u w:val="none"/>
                <w:lang w:val="en-US" w:eastAsia="zh-CN" w:bidi="ar"/>
              </w:rPr>
              <w:t xml:space="preserve">4、输出功率（RMS）：2×600W/8Ω，2×1020W/4Ω，2×1730W/2Ω，桥接1×2040W/8Ω；</w:t>
            </w:r>
            <w:r>
              <w:rPr>
                <w:rFonts w:hint="eastAsia" w:asciiTheme="minorEastAsia" w:hAnsiTheme="minorEastAsia" w:eastAsiaTheme="minorEastAsia" w:cstheme="minorEastAsia"/>
                <w:i w:val="0"/>
                <w:iCs w:val="0"/>
                <w:color w:val="000000"/>
                <w:sz w:val="20"/>
                <w:szCs w:val="20"/>
                <w:u w:val="none"/>
                <w:lang w:val="en-US" w:eastAsia="zh-CN" w:bidi="ar"/>
              </w:rPr>
              <w:br/>
            </w:r>
            <w:r>
              <w:rPr>
                <w:rFonts w:hint="eastAsia" w:asciiTheme="minorEastAsia" w:hAnsiTheme="minorEastAsia" w:eastAsiaTheme="minorEastAsia" w:cstheme="minorEastAsia"/>
                <w:i w:val="0"/>
                <w:iCs w:val="0"/>
                <w:color w:val="000000"/>
                <w:sz w:val="20"/>
                <w:szCs w:val="20"/>
                <w:u w:val="none"/>
                <w:lang w:val="en-US" w:eastAsia="zh-CN" w:bidi="ar"/>
              </w:rPr>
              <w:t xml:space="preserve">5、RMS输出电压(THD=1%,1kHz)≥69V</w:t>
            </w:r>
            <w:r>
              <w:rPr>
                <w:rFonts w:hint="eastAsia" w:asciiTheme="minorEastAsia" w:hAnsiTheme="minorEastAsia" w:eastAsiaTheme="minorEastAsia" w:cstheme="minorEastAsia"/>
                <w:i w:val="0"/>
                <w:iCs w:val="0"/>
                <w:color w:val="000000"/>
                <w:sz w:val="20"/>
                <w:szCs w:val="20"/>
                <w:u w:val="none"/>
                <w:lang w:val="en-US" w:eastAsia="zh-CN" w:bidi="ar"/>
              </w:rPr>
              <w:br/>
            </w:r>
            <w:r>
              <w:rPr>
                <w:rFonts w:hint="eastAsia" w:asciiTheme="minorEastAsia" w:hAnsiTheme="minorEastAsia" w:eastAsiaTheme="minorEastAsia" w:cstheme="minorEastAsia"/>
                <w:i w:val="0"/>
                <w:iCs w:val="0"/>
                <w:color w:val="000000"/>
                <w:sz w:val="20"/>
                <w:szCs w:val="20"/>
                <w:u w:val="none"/>
                <w:lang w:val="en-US" w:eastAsia="zh-CN" w:bidi="ar"/>
              </w:rPr>
              <w:t xml:space="preserve">6、总谐波失真：0.05%</w:t>
            </w:r>
            <w:r>
              <w:rPr>
                <w:rFonts w:hint="eastAsia" w:asciiTheme="minorEastAsia" w:hAnsiTheme="minorEastAsia" w:eastAsiaTheme="minorEastAsia" w:cstheme="minorEastAsia"/>
                <w:i w:val="0"/>
                <w:iCs w:val="0"/>
                <w:color w:val="000000"/>
                <w:sz w:val="20"/>
                <w:szCs w:val="20"/>
                <w:u w:val="none"/>
                <w:lang w:val="en-US" w:eastAsia="zh-CN" w:bidi="ar"/>
              </w:rPr>
              <w:br/>
            </w:r>
            <w:r>
              <w:rPr>
                <w:rFonts w:hint="eastAsia" w:asciiTheme="minorEastAsia" w:hAnsiTheme="minorEastAsia" w:eastAsiaTheme="minorEastAsia" w:cstheme="minorEastAsia"/>
                <w:i w:val="0"/>
                <w:iCs w:val="0"/>
                <w:color w:val="000000"/>
                <w:sz w:val="20"/>
                <w:szCs w:val="20"/>
                <w:u w:val="none"/>
                <w:lang w:val="en-US" w:eastAsia="zh-CN" w:bidi="ar"/>
              </w:rPr>
              <w:t xml:space="preserve">7、频率响应：20Hz-20kHz（±0.3dB）</w:t>
            </w:r>
            <w:r>
              <w:rPr>
                <w:rFonts w:hint="eastAsia" w:asciiTheme="minorEastAsia" w:hAnsiTheme="minorEastAsia" w:eastAsiaTheme="minorEastAsia" w:cstheme="minorEastAsia"/>
                <w:i w:val="0"/>
                <w:iCs w:val="0"/>
                <w:color w:val="000000"/>
                <w:sz w:val="20"/>
                <w:szCs w:val="20"/>
                <w:u w:val="none"/>
                <w:lang w:val="en-US" w:eastAsia="zh-CN" w:bidi="ar"/>
              </w:rPr>
              <w:br/>
            </w:r>
            <w:r>
              <w:rPr>
                <w:rFonts w:hint="eastAsia" w:asciiTheme="minorEastAsia" w:hAnsiTheme="minorEastAsia" w:eastAsiaTheme="minorEastAsia" w:cstheme="minorEastAsia"/>
                <w:i w:val="0"/>
                <w:iCs w:val="0"/>
                <w:color w:val="000000"/>
                <w:sz w:val="20"/>
                <w:szCs w:val="20"/>
                <w:u w:val="none"/>
                <w:lang w:val="en-US" w:eastAsia="zh-CN" w:bidi="ar"/>
              </w:rPr>
              <w:t xml:space="preserve">8、信噪比≥105dB(A记权，20Hz~20kHz)</w:t>
            </w:r>
            <w:r/>
          </w:p>
        </w:tc>
        <w:tc>
          <w:tcPr>
            <w:shd w:val="clear" w:color="auto" w:fill="auto"/>
            <w:tcW w:w="982"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lang w:val="en-US" w:eastAsia="zh-CN" w:bidi="ar"/>
              </w:rPr>
              <w:t xml:space="preserve">台</w:t>
            </w:r>
            <w:r/>
          </w:p>
        </w:tc>
        <w:tc>
          <w:tcPr>
            <w:shd w:val="clear" w:color="auto" w:fill="auto"/>
            <w:tcW w:w="971"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lang w:val="en-US" w:eastAsia="zh-CN" w:bidi="ar"/>
              </w:rPr>
              <w:t xml:space="preserve">1.00 </w:t>
            </w:r>
            <w:r/>
          </w:p>
        </w:tc>
      </w:tr>
      <w:tr>
        <w:trPr>
          <w:trHeight w:val="335"/>
        </w:trPr>
        <w:tc>
          <w:tcPr>
            <w:shd w:val="clear" w:color="auto" w:fill="auto"/>
            <w:tcW w:w="749"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lang w:val="en-US" w:eastAsia="zh-CN" w:bidi="ar"/>
              </w:rPr>
              <w:t xml:space="preserve">21</w:t>
            </w:r>
            <w:r/>
          </w:p>
        </w:tc>
        <w:tc>
          <w:tcPr>
            <w:shd w:val="clear" w:color="auto" w:fill="auto"/>
            <w:tcW w:w="1344"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lang w:val="en-US" w:eastAsia="zh-CN" w:bidi="ar"/>
              </w:rPr>
              <w:t xml:space="preserve">双绞线缆2</w:t>
            </w:r>
            <w:r/>
          </w:p>
        </w:tc>
        <w:tc>
          <w:tcPr>
            <w:shd w:val="clear" w:color="auto" w:fill="auto"/>
            <w:tcW w:w="4751"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lang w:val="en-US" w:eastAsia="zh-CN" w:bidi="ar"/>
              </w:rPr>
              <w:t xml:space="preserve">1、名称：音箱线</w:t>
            </w:r>
            <w:r>
              <w:rPr>
                <w:rFonts w:hint="eastAsia" w:asciiTheme="minorEastAsia" w:hAnsiTheme="minorEastAsia" w:eastAsiaTheme="minorEastAsia" w:cstheme="minorEastAsia"/>
                <w:i w:val="0"/>
                <w:iCs w:val="0"/>
                <w:color w:val="000000"/>
                <w:sz w:val="20"/>
                <w:szCs w:val="20"/>
                <w:u w:val="none"/>
                <w:lang w:val="en-US" w:eastAsia="zh-CN" w:bidi="ar"/>
              </w:rPr>
              <w:br/>
            </w:r>
            <w:r>
              <w:rPr>
                <w:rFonts w:hint="eastAsia" w:asciiTheme="minorEastAsia" w:hAnsiTheme="minorEastAsia" w:eastAsiaTheme="minorEastAsia" w:cstheme="minorEastAsia"/>
                <w:i w:val="0"/>
                <w:iCs w:val="0"/>
                <w:color w:val="000000"/>
                <w:sz w:val="20"/>
                <w:szCs w:val="20"/>
                <w:u w:val="none"/>
                <w:lang w:val="en-US" w:eastAsia="zh-CN" w:bidi="ar"/>
              </w:rPr>
              <w:t xml:space="preserve">2、含卡农</w:t>
            </w:r>
            <w:r/>
          </w:p>
        </w:tc>
        <w:tc>
          <w:tcPr>
            <w:shd w:val="clear" w:color="auto" w:fill="auto"/>
            <w:tcW w:w="982"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lang w:val="en-US" w:eastAsia="zh-CN" w:bidi="ar"/>
              </w:rPr>
              <w:t xml:space="preserve">m</w:t>
            </w:r>
            <w:r/>
          </w:p>
        </w:tc>
        <w:tc>
          <w:tcPr>
            <w:shd w:val="clear" w:color="auto" w:fill="auto"/>
            <w:tcW w:w="971"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lang w:val="en-US" w:eastAsia="zh-CN" w:bidi="ar"/>
              </w:rPr>
              <w:t xml:space="preserve">100.00 </w:t>
            </w:r>
            <w:r/>
          </w:p>
        </w:tc>
      </w:tr>
      <w:tr>
        <w:trPr>
          <w:trHeight w:val="90"/>
        </w:trPr>
        <w:tc>
          <w:tcPr>
            <w:shd w:val="clear" w:color="auto" w:fill="auto"/>
            <w:tcW w:w="749"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lang w:val="en-US" w:eastAsia="zh-CN" w:bidi="ar"/>
              </w:rPr>
              <w:t xml:space="preserve">22</w:t>
            </w:r>
            <w:r/>
          </w:p>
        </w:tc>
        <w:tc>
          <w:tcPr>
            <w:shd w:val="clear" w:color="auto" w:fill="auto"/>
            <w:tcW w:w="1344"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lang w:val="en-US" w:eastAsia="zh-CN" w:bidi="ar"/>
              </w:rPr>
              <w:t xml:space="preserve">显示设备1</w:t>
            </w:r>
            <w:r/>
          </w:p>
        </w:tc>
        <w:tc>
          <w:tcPr>
            <w:shd w:val="clear" w:color="auto" w:fill="auto"/>
            <w:tcW w:w="4751" w:type="dxa"/>
            <w:vAlign w:val="center"/>
            <w:textDirection w:val="lrTb"/>
            <w:noWrap w:val="false"/>
          </w:tcPr>
          <w:p>
            <w:pPr>
              <w:jc w:val="left"/>
              <w:keepLines w:val="0"/>
              <w:keepNext w:val="0"/>
              <w:spacing w:after="200" w:afterAutospacing="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lang w:val="en-US" w:eastAsia="zh-CN" w:bidi="ar"/>
              </w:rPr>
              <w:t xml:space="preserve">S1.81是专为中高端室内展厅打造的小间距全彩LED显示模组，一、核心显示参数</w:t>
            </w:r>
            <w:r>
              <w:rPr>
                <w:rFonts w:hint="eastAsia" w:asciiTheme="minorEastAsia" w:hAnsiTheme="minorEastAsia" w:eastAsiaTheme="minorEastAsia" w:cstheme="minorEastAsia"/>
                <w:i w:val="0"/>
                <w:iCs w:val="0"/>
                <w:color w:val="000000"/>
                <w:sz w:val="20"/>
                <w:szCs w:val="20"/>
                <w:u w:val="none"/>
                <w:lang w:val="en-US" w:eastAsia="zh-CN" w:bidi="ar"/>
              </w:rPr>
              <w:br/>
            </w:r>
            <w:r>
              <w:rPr>
                <w:rFonts w:hint="eastAsia" w:asciiTheme="minorEastAsia" w:hAnsiTheme="minorEastAsia" w:eastAsiaTheme="minorEastAsia" w:cstheme="minorEastAsia"/>
                <w:i w:val="0"/>
                <w:iCs w:val="0"/>
                <w:color w:val="000000"/>
                <w:sz w:val="20"/>
                <w:szCs w:val="20"/>
                <w:u w:val="none"/>
                <w:lang w:val="en-US" w:eastAsia="zh-CN" w:bidi="ar"/>
              </w:rPr>
              <w:t xml:space="preserve">核心显示参数保障高清质感：像素间距1.81mm，物理分辨率达552×310点/㎡，单模组尺寸320×180mm，拼接后可实呈现超高清大画面展示，文物细节、数据图表清晰可见。采用≥14bit灰度等级，搭配</w:t>
            </w:r>
            <w:r>
              <w:rPr>
                <w:rFonts w:hint="eastAsia" w:asciiTheme="minorEastAsia" w:hAnsiTheme="minorEastAsia" w:eastAsiaTheme="minorEastAsia" w:cstheme="minorEastAsia"/>
                <w:i w:val="0"/>
                <w:iCs w:val="0"/>
                <w:color w:val="000000"/>
                <w:sz w:val="20"/>
                <w:szCs w:val="20"/>
                <w:u w:val="none"/>
                <w:lang w:val="en-US" w:eastAsia="zh-CN" w:bidi="ar"/>
              </w:rPr>
              <w:t xml:space="preserve">与PWM-SS节能驱动IC，画面过渡细腻无断层，动态显示无拖影。；刷新率≥4200Hz，满足专业彻底规避摄影与直播需求，避免频闪问题频闪问题，适配展厅活动记录需求。核心显示参数凸显高清优势：像素间距1.81mm，物理分辨率达552×310点/㎡，单模组320×180mm的标准化尺寸，可灵活拼接成超大尺寸屏幕，呈现文物细节、数据图表等内容清晰无失真。采用≥14bit灰度等级与PWM-SS节能驱动IC，画面暗部过渡自然、动态显示无拖影；刷新率≥4200Hz，彻底规避摄影与直播时的频闪问题，保障展厅活动传播效果。</w:t>
            </w:r>
            <w:r>
              <w:rPr>
                <w:rFonts w:hint="eastAsia" w:asciiTheme="minorEastAsia" w:hAnsiTheme="minorEastAsia" w:eastAsiaTheme="minorEastAsia" w:cstheme="minorEastAsia"/>
                <w:i w:val="0"/>
                <w:iCs w:val="0"/>
                <w:color w:val="000000"/>
                <w:sz w:val="20"/>
                <w:szCs w:val="20"/>
                <w:u w:val="none"/>
                <w:lang w:val="en-US" w:eastAsia="zh-CN" w:bidi="ar"/>
              </w:rPr>
              <w:br/>
            </w:r>
            <w:r>
              <w:rPr>
                <w:rFonts w:hint="eastAsia" w:asciiTheme="minorEastAsia" w:hAnsiTheme="minorEastAsia" w:eastAsiaTheme="minorEastAsia" w:cstheme="minorEastAsia"/>
                <w:i w:val="0"/>
                <w:iCs w:val="0"/>
                <w:color w:val="000000"/>
                <w:sz w:val="20"/>
                <w:szCs w:val="20"/>
                <w:u w:val="none"/>
                <w:lang w:val="en-US" w:eastAsia="zh-CN" w:bidi="ar"/>
              </w:rPr>
              <w:t xml:space="preserve">色彩表现契合专业展陈：对比度≥5000:1，明暗层次分明；亮度均匀性＞</w:t>
            </w:r>
            <w:r>
              <w:rPr>
                <w:rFonts w:hint="eastAsia" w:asciiTheme="minorEastAsia" w:hAnsiTheme="minorEastAsia" w:eastAsiaTheme="minorEastAsia" w:cstheme="minorEastAsia"/>
                <w:i w:val="0"/>
                <w:iCs w:val="0"/>
                <w:color w:val="000000"/>
                <w:sz w:val="20"/>
                <w:szCs w:val="20"/>
                <w:u w:val="none"/>
                <w:lang w:val="en-US" w:eastAsia="zh-CN" w:bidi="ar"/>
              </w:rPr>
              <w:t xml:space="preserve">95%，整屏亮度一致无偏差；白平衡亮度≥450cd/㎡，可适配展厅不同光线环境。色温支持6500K-18000K宽范围色温调节，色彩还原精准，适配油画能完美呈现油画肌理、文物质感等色彩敏感型展品展示细节。色彩表现适配专业展陈：对比度≥5000:1，明暗层次分明；亮度均匀性＞95%，整屏无明显亮度差异；白平衡亮度≥450cd/㎡，支持0-100%无级调节，适配展厅不同光线环境。6500K-18000K宽色温调节范围，搭配Rec.709专业色域，色彩还原误差小，可精准呈现油画肌理、文物质感等色彩敏感型展品细节。</w:t>
            </w:r>
            <w:r/>
          </w:p>
        </w:tc>
        <w:tc>
          <w:tcPr>
            <w:shd w:val="clear" w:color="auto" w:fill="auto"/>
            <w:tcW w:w="982"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lang w:val="en-US" w:eastAsia="zh-CN" w:bidi="ar"/>
              </w:rPr>
              <w:t xml:space="preserve">m2</w:t>
            </w:r>
            <w:r/>
          </w:p>
        </w:tc>
        <w:tc>
          <w:tcPr>
            <w:shd w:val="clear" w:color="auto" w:fill="auto"/>
            <w:tcW w:w="971"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lang w:val="en-US" w:eastAsia="zh-CN" w:bidi="ar"/>
              </w:rPr>
              <w:t xml:space="preserve">7.50 </w:t>
            </w:r>
            <w:r/>
          </w:p>
        </w:tc>
      </w:tr>
      <w:tr>
        <w:trPr>
          <w:trHeight w:val="3632"/>
        </w:trPr>
        <w:tc>
          <w:tcPr>
            <w:shd w:val="clear" w:color="auto" w:fill="auto"/>
            <w:tcW w:w="749"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lang w:val="en-US" w:eastAsia="zh-CN" w:bidi="ar"/>
              </w:rPr>
              <w:t xml:space="preserve">23</w:t>
            </w:r>
            <w:r/>
          </w:p>
        </w:tc>
        <w:tc>
          <w:tcPr>
            <w:shd w:val="clear" w:color="auto" w:fill="auto"/>
            <w:tcW w:w="1344"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lang w:val="en-US" w:eastAsia="zh-CN" w:bidi="ar"/>
              </w:rPr>
              <w:t xml:space="preserve">接收卡1</w:t>
            </w:r>
            <w:r/>
          </w:p>
        </w:tc>
        <w:tc>
          <w:tcPr>
            <w:shd w:val="clear" w:color="auto" w:fill="auto"/>
            <w:tcW w:w="4751"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lang w:val="en-US" w:eastAsia="zh-CN" w:bidi="ar"/>
              </w:rPr>
              <w:t xml:space="preserve">一、核心处理参数</w:t>
            </w:r>
            <w:r>
              <w:rPr>
                <w:rFonts w:hint="eastAsia" w:asciiTheme="minorEastAsia" w:hAnsiTheme="minorEastAsia" w:eastAsiaTheme="minorEastAsia" w:cstheme="minorEastAsia"/>
                <w:i w:val="0"/>
                <w:iCs w:val="0"/>
                <w:color w:val="000000"/>
                <w:sz w:val="20"/>
                <w:szCs w:val="20"/>
                <w:u w:val="none"/>
                <w:lang w:val="en-US" w:eastAsia="zh-CN" w:bidi="ar"/>
              </w:rPr>
              <w:br/>
            </w:r>
            <w:r>
              <w:rPr>
                <w:rFonts w:hint="eastAsia" w:asciiTheme="minorEastAsia" w:hAnsiTheme="minorEastAsia" w:eastAsiaTheme="minorEastAsia" w:cstheme="minorEastAsia"/>
                <w:i w:val="0"/>
                <w:iCs w:val="0"/>
                <w:color w:val="000000"/>
                <w:sz w:val="20"/>
                <w:szCs w:val="20"/>
                <w:u w:val="none"/>
                <w:lang w:val="en-US" w:eastAsia="zh-CN" w:bidi="ar"/>
              </w:rPr>
              <w:t xml:space="preserve">支持最大分辨率1024×512像素，单卡可驱动8个S1.81模组（320×180mm），适配2×4或4×2的常规拼接组合。采用16bit数据处理芯片，兼容S1.81的14bit灰度等级，实现色彩精准还原。支持4K@60Hz信号输入，配合帧同步技术，多卡联动时画面无撕裂，适配展厅大尺寸拼接需求。</w:t>
            </w:r>
            <w:r>
              <w:rPr>
                <w:rFonts w:hint="eastAsia" w:asciiTheme="minorEastAsia" w:hAnsiTheme="minorEastAsia" w:eastAsiaTheme="minorEastAsia" w:cstheme="minorEastAsia"/>
                <w:i w:val="0"/>
                <w:iCs w:val="0"/>
                <w:color w:val="000000"/>
                <w:sz w:val="20"/>
                <w:szCs w:val="20"/>
                <w:u w:val="none"/>
                <w:lang w:val="en-US" w:eastAsia="zh-CN" w:bidi="ar"/>
              </w:rPr>
              <w:br/>
            </w:r>
            <w:r>
              <w:rPr>
                <w:rFonts w:hint="eastAsia" w:asciiTheme="minorEastAsia" w:hAnsiTheme="minorEastAsia" w:eastAsiaTheme="minorEastAsia" w:cstheme="minorEastAsia"/>
                <w:i w:val="0"/>
                <w:iCs w:val="0"/>
                <w:color w:val="000000"/>
                <w:sz w:val="20"/>
                <w:szCs w:val="20"/>
                <w:u w:val="none"/>
                <w:lang w:val="en-US" w:eastAsia="zh-CN" w:bidi="ar"/>
              </w:rPr>
              <w:t xml:space="preserve">二、驱动与信号参数</w:t>
            </w:r>
            <w:r>
              <w:rPr>
                <w:rFonts w:hint="eastAsia" w:asciiTheme="minorEastAsia" w:hAnsiTheme="minorEastAsia" w:eastAsiaTheme="minorEastAsia" w:cstheme="minorEastAsia"/>
                <w:i w:val="0"/>
                <w:iCs w:val="0"/>
                <w:color w:val="000000"/>
                <w:sz w:val="20"/>
                <w:szCs w:val="20"/>
                <w:u w:val="none"/>
                <w:lang w:val="en-US" w:eastAsia="zh-CN" w:bidi="ar"/>
              </w:rPr>
              <w:br/>
            </w:r>
            <w:r>
              <w:rPr>
                <w:rFonts w:hint="eastAsia" w:asciiTheme="minorEastAsia" w:hAnsiTheme="minorEastAsia" w:eastAsiaTheme="minorEastAsia" w:cstheme="minorEastAsia"/>
                <w:i w:val="0"/>
                <w:iCs w:val="0"/>
                <w:color w:val="000000"/>
                <w:sz w:val="20"/>
                <w:szCs w:val="20"/>
                <w:u w:val="none"/>
                <w:lang w:val="en-US" w:eastAsia="zh-CN" w:bidi="ar"/>
              </w:rPr>
              <w:t xml:space="preserve">输出灰度时钟最高40MHz，支持PWM-SS驱动模式，与S1.81的节能IC完美适配，降低整体功耗。配备8组RGB数据接口，支持恒流驱动输出，电流调节精度达1mA，保障模组亮度均匀。信号传输支持千兆网口级联，传输距离≤100米，也可搭配光纤模块延长至10公里，适配展厅复杂布线。</w:t>
            </w:r>
            <w:r>
              <w:rPr>
                <w:rFonts w:hint="eastAsia" w:asciiTheme="minorEastAsia" w:hAnsiTheme="minorEastAsia" w:eastAsiaTheme="minorEastAsia" w:cstheme="minorEastAsia"/>
                <w:i w:val="0"/>
                <w:iCs w:val="0"/>
                <w:color w:val="000000"/>
                <w:sz w:val="20"/>
                <w:szCs w:val="20"/>
                <w:u w:val="none"/>
                <w:lang w:val="en-US" w:eastAsia="zh-CN" w:bidi="ar"/>
              </w:rPr>
              <w:br/>
            </w:r>
            <w:r>
              <w:rPr>
                <w:rFonts w:hint="eastAsia" w:asciiTheme="minorEastAsia" w:hAnsiTheme="minorEastAsia" w:eastAsiaTheme="minorEastAsia" w:cstheme="minorEastAsia"/>
                <w:i w:val="0"/>
                <w:iCs w:val="0"/>
                <w:color w:val="000000"/>
                <w:sz w:val="20"/>
                <w:szCs w:val="20"/>
                <w:u w:val="none"/>
                <w:lang w:val="en-US" w:eastAsia="zh-CN" w:bidi="ar"/>
              </w:rPr>
              <w:t xml:space="preserve">三、智能与运行参数</w:t>
            </w:r>
            <w:r>
              <w:rPr>
                <w:rFonts w:hint="eastAsia" w:asciiTheme="minorEastAsia" w:hAnsiTheme="minorEastAsia" w:eastAsiaTheme="minorEastAsia" w:cstheme="minorEastAsia"/>
                <w:i w:val="0"/>
                <w:iCs w:val="0"/>
                <w:color w:val="000000"/>
                <w:sz w:val="20"/>
                <w:szCs w:val="20"/>
                <w:u w:val="none"/>
                <w:lang w:val="en-US" w:eastAsia="zh-CN" w:bidi="ar"/>
              </w:rPr>
              <w:br/>
            </w:r>
            <w:r>
              <w:rPr>
                <w:rFonts w:hint="eastAsia" w:asciiTheme="minorEastAsia" w:hAnsiTheme="minorEastAsia" w:eastAsiaTheme="minorEastAsia" w:cstheme="minorEastAsia"/>
                <w:i w:val="0"/>
                <w:iCs w:val="0"/>
                <w:color w:val="000000"/>
                <w:sz w:val="20"/>
                <w:szCs w:val="20"/>
                <w:u w:val="none"/>
                <w:lang w:val="en-US" w:eastAsia="zh-CN" w:bidi="ar"/>
              </w:rPr>
              <w:t xml:space="preserve">支持Web远程配置与监控，实时反馈电压、温度及模组状态，故障报警响应时间≤1秒。具备逐点校正功能，可修正S1.81的色彩偏差，提升整屏一致性。工作电压DC 5V，功耗≤5W，采用无风扇静音设计，适应展厅安静环境。工作温度-20℃-60℃，湿度10%-90%无结露，平均无故障时间≥8万小时，与S1.81协同保障长期稳定运行。</w:t>
            </w:r>
            <w:r/>
          </w:p>
        </w:tc>
        <w:tc>
          <w:tcPr>
            <w:shd w:val="clear" w:color="auto" w:fill="auto"/>
            <w:tcW w:w="982"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lang w:val="en-US" w:eastAsia="zh-CN" w:bidi="ar"/>
              </w:rPr>
              <w:t xml:space="preserve">台(套</w:t>
            </w:r>
            <w:r>
              <w:rPr>
                <w:rFonts w:hint="eastAsia" w:asciiTheme="minorEastAsia" w:hAnsiTheme="minorEastAsia" w:eastAsiaTheme="minorEastAsia" w:cstheme="minorEastAsia"/>
                <w:i w:val="0"/>
                <w:iCs w:val="0"/>
                <w:color w:val="000000"/>
                <w:sz w:val="20"/>
                <w:szCs w:val="20"/>
                <w:u w:val="none"/>
                <w:lang w:val="en-US" w:eastAsia="zh-CN" w:bidi="ar"/>
              </w:rPr>
              <w:br/>
            </w:r>
            <w:r>
              <w:rPr>
                <w:rFonts w:hint="eastAsia" w:asciiTheme="minorEastAsia" w:hAnsiTheme="minorEastAsia" w:eastAsiaTheme="minorEastAsia" w:cstheme="minorEastAsia"/>
                <w:i w:val="0"/>
                <w:iCs w:val="0"/>
                <w:color w:val="000000"/>
                <w:sz w:val="20"/>
                <w:szCs w:val="20"/>
                <w:u w:val="none"/>
                <w:lang w:val="en-US" w:eastAsia="zh-CN" w:bidi="ar"/>
              </w:rPr>
              <w:t xml:space="preserve">)</w:t>
            </w:r>
            <w:r/>
          </w:p>
        </w:tc>
        <w:tc>
          <w:tcPr>
            <w:shd w:val="clear" w:color="auto" w:fill="auto"/>
            <w:tcW w:w="971"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lang w:val="en-US" w:eastAsia="zh-CN" w:bidi="ar"/>
              </w:rPr>
              <w:t xml:space="preserve">5.00 </w:t>
            </w:r>
            <w:r/>
          </w:p>
        </w:tc>
      </w:tr>
      <w:tr>
        <w:trPr>
          <w:trHeight w:val="1984"/>
        </w:trPr>
        <w:tc>
          <w:tcPr>
            <w:shd w:val="clear" w:color="auto" w:fill="auto"/>
            <w:tcW w:w="749"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lang w:val="en-US" w:eastAsia="zh-CN" w:bidi="ar"/>
              </w:rPr>
              <w:t xml:space="preserve">24</w:t>
            </w:r>
            <w:r/>
          </w:p>
        </w:tc>
        <w:tc>
          <w:tcPr>
            <w:shd w:val="clear" w:color="auto" w:fill="auto"/>
            <w:tcW w:w="1344"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lang w:val="en-US" w:eastAsia="zh-CN" w:bidi="ar"/>
              </w:rPr>
              <w:t xml:space="preserve">室内全彩屏基础及支架1</w:t>
            </w:r>
            <w:r/>
          </w:p>
        </w:tc>
        <w:tc>
          <w:tcPr>
            <w:shd w:val="clear" w:color="auto" w:fill="auto"/>
            <w:tcW w:w="4751"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lang w:val="en-US" w:eastAsia="zh-CN" w:bidi="ar"/>
              </w:rPr>
              <w:t xml:space="preserve">1、名称：室内全彩屏基础及支架</w:t>
            </w:r>
            <w:r>
              <w:rPr>
                <w:rFonts w:hint="eastAsia" w:asciiTheme="minorEastAsia" w:hAnsiTheme="minorEastAsia" w:eastAsiaTheme="minorEastAsia" w:cstheme="minorEastAsia"/>
                <w:i w:val="0"/>
                <w:iCs w:val="0"/>
                <w:color w:val="000000"/>
                <w:sz w:val="20"/>
                <w:szCs w:val="20"/>
                <w:u w:val="none"/>
                <w:lang w:val="en-US" w:eastAsia="zh-CN" w:bidi="ar"/>
              </w:rPr>
              <w:br/>
            </w:r>
            <w:r>
              <w:rPr>
                <w:rFonts w:hint="eastAsia" w:asciiTheme="minorEastAsia" w:hAnsiTheme="minorEastAsia" w:eastAsiaTheme="minorEastAsia" w:cstheme="minorEastAsia"/>
                <w:i w:val="0"/>
                <w:iCs w:val="0"/>
                <w:color w:val="000000"/>
                <w:sz w:val="20"/>
                <w:szCs w:val="20"/>
                <w:u w:val="none"/>
                <w:lang w:val="en-US" w:eastAsia="zh-CN" w:bidi="ar"/>
              </w:rPr>
              <w:t xml:space="preserve">2、含电源适配器、配套电源线及网线                                                               背景墙采用固定方式，并出具效果图，屏体钢结构采用国标优质热镀锌方管，采用不锈钢包边，整体效果需美观大方。钢架构件（含接合板）采用Q235B钢制作，结构用钢符合《GB700-88》规定的Q235要求，保证其抗拉强度、伸长率、屈服点，碳、硫、磷的极限含量；</w:t>
            </w:r>
            <w:r>
              <w:rPr>
                <w:rFonts w:hint="eastAsia" w:asciiTheme="minorEastAsia" w:hAnsiTheme="minorEastAsia" w:eastAsiaTheme="minorEastAsia" w:cstheme="minorEastAsia"/>
                <w:i w:val="0"/>
                <w:iCs w:val="0"/>
                <w:color w:val="000000"/>
                <w:sz w:val="20"/>
                <w:szCs w:val="20"/>
                <w:u w:val="none"/>
                <w:lang w:val="en-US" w:eastAsia="zh-CN" w:bidi="ar"/>
              </w:rPr>
              <w:br/>
            </w:r>
            <w:r>
              <w:rPr>
                <w:rFonts w:hint="eastAsia" w:asciiTheme="minorEastAsia" w:hAnsiTheme="minorEastAsia" w:eastAsiaTheme="minorEastAsia" w:cstheme="minorEastAsia"/>
                <w:i w:val="0"/>
                <w:iCs w:val="0"/>
                <w:color w:val="000000"/>
                <w:sz w:val="20"/>
                <w:szCs w:val="20"/>
                <w:u w:val="none"/>
                <w:lang w:val="en-US" w:eastAsia="zh-CN" w:bidi="ar"/>
              </w:rPr>
              <w:t xml:space="preserve">手工焊：Q235连接用E43系列焊条；</w:t>
            </w:r>
            <w:r>
              <w:rPr>
                <w:rFonts w:hint="eastAsia" w:asciiTheme="minorEastAsia" w:hAnsiTheme="minorEastAsia" w:eastAsiaTheme="minorEastAsia" w:cstheme="minorEastAsia"/>
                <w:i w:val="0"/>
                <w:iCs w:val="0"/>
                <w:color w:val="000000"/>
                <w:sz w:val="20"/>
                <w:szCs w:val="20"/>
                <w:u w:val="none"/>
                <w:lang w:val="en-US" w:eastAsia="zh-CN" w:bidi="ar"/>
              </w:rPr>
              <w:br/>
            </w:r>
            <w:r>
              <w:rPr>
                <w:rFonts w:hint="eastAsia" w:asciiTheme="minorEastAsia" w:hAnsiTheme="minorEastAsia" w:eastAsiaTheme="minorEastAsia" w:cstheme="minorEastAsia"/>
                <w:i w:val="0"/>
                <w:iCs w:val="0"/>
                <w:color w:val="000000"/>
                <w:sz w:val="20"/>
                <w:szCs w:val="20"/>
                <w:u w:val="none"/>
                <w:lang w:val="en-US" w:eastAsia="zh-CN" w:bidi="ar"/>
              </w:rPr>
              <w:t xml:space="preserve">自动焊：Q235连接用H08系列焊条；</w:t>
            </w:r>
            <w:r>
              <w:rPr>
                <w:rFonts w:hint="eastAsia" w:asciiTheme="minorEastAsia" w:hAnsiTheme="minorEastAsia" w:eastAsiaTheme="minorEastAsia" w:cstheme="minorEastAsia"/>
                <w:i w:val="0"/>
                <w:iCs w:val="0"/>
                <w:color w:val="000000"/>
                <w:sz w:val="20"/>
                <w:szCs w:val="20"/>
                <w:u w:val="none"/>
                <w:lang w:val="en-US" w:eastAsia="zh-CN" w:bidi="ar"/>
              </w:rPr>
              <w:br/>
            </w:r>
            <w:r>
              <w:rPr>
                <w:rFonts w:hint="eastAsia" w:asciiTheme="minorEastAsia" w:hAnsiTheme="minorEastAsia" w:eastAsiaTheme="minorEastAsia" w:cstheme="minorEastAsia"/>
                <w:i w:val="0"/>
                <w:iCs w:val="0"/>
                <w:color w:val="000000"/>
                <w:sz w:val="20"/>
                <w:szCs w:val="20"/>
                <w:u w:val="none"/>
                <w:lang w:val="en-US" w:eastAsia="zh-CN" w:bidi="ar"/>
              </w:rPr>
              <w:t xml:space="preserve">包边：采用304不锈钢包边，宽度包边≥2cm，高度包边≥2cm。</w:t>
            </w:r>
            <w:r/>
          </w:p>
        </w:tc>
        <w:tc>
          <w:tcPr>
            <w:shd w:val="clear" w:color="auto" w:fill="auto"/>
            <w:tcW w:w="982"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lang w:val="en-US" w:eastAsia="zh-CN" w:bidi="ar"/>
              </w:rPr>
              <w:t xml:space="preserve">套</w:t>
            </w:r>
            <w:r/>
          </w:p>
        </w:tc>
        <w:tc>
          <w:tcPr>
            <w:shd w:val="clear" w:color="auto" w:fill="auto"/>
            <w:tcW w:w="971"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lang w:val="en-US" w:eastAsia="zh-CN" w:bidi="ar"/>
              </w:rPr>
              <w:t xml:space="preserve">1.00 </w:t>
            </w:r>
            <w:r/>
          </w:p>
        </w:tc>
      </w:tr>
      <w:tr>
        <w:trPr>
          <w:trHeight w:val="90"/>
        </w:trPr>
        <w:tc>
          <w:tcPr>
            <w:shd w:val="clear" w:color="auto" w:fill="auto"/>
            <w:tcW w:w="749"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lang w:val="en-US" w:eastAsia="zh-CN" w:bidi="ar"/>
              </w:rPr>
              <w:t xml:space="preserve">25</w:t>
            </w:r>
            <w:r/>
          </w:p>
        </w:tc>
        <w:tc>
          <w:tcPr>
            <w:shd w:val="clear" w:color="auto" w:fill="auto"/>
            <w:tcW w:w="1344"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lang w:val="en-US" w:eastAsia="zh-CN" w:bidi="ar"/>
              </w:rPr>
              <w:t xml:space="preserve">播控设备安装、调试2</w:t>
            </w:r>
            <w:r/>
          </w:p>
        </w:tc>
        <w:tc>
          <w:tcPr>
            <w:shd w:val="clear" w:color="auto" w:fill="auto"/>
            <w:tcW w:w="4751"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lang w:val="en-US" w:eastAsia="zh-CN" w:bidi="ar"/>
              </w:rPr>
              <w:t xml:space="preserve">1、展馆播控设备安装调试需适配展品展示、多区域联动需求，流程如下：前期勘察展馆布局，确定播控主机、信号分配器、投影机等设备点位，预留强弱电接口与信号传输链路；安装时固定设备机柜，规范布设线缆并做标识，确保与展项显示屏、互动装置精准对接。调试阶段先检测设备通电与信号连通性，再校准画面分辨率、色彩一致性，设置分区域播控预案（如定时切换展品介绍视频、触发式互动画面）；最后测试应急切换功能，确保断网、设备故障时能快速切换备用信号。整体需保障播控系统稳定运行，满足展馆沉浸式、不间断展示需求。</w:t>
            </w:r>
            <w:r/>
          </w:p>
        </w:tc>
        <w:tc>
          <w:tcPr>
            <w:shd w:val="clear" w:color="auto" w:fill="auto"/>
            <w:tcW w:w="982"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lang w:val="en-US" w:eastAsia="zh-CN" w:bidi="ar"/>
              </w:rPr>
              <w:t xml:space="preserve">台</w:t>
            </w:r>
            <w:r/>
          </w:p>
        </w:tc>
        <w:tc>
          <w:tcPr>
            <w:shd w:val="clear" w:color="auto" w:fill="auto"/>
            <w:tcW w:w="971"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lang w:val="en-US" w:eastAsia="zh-CN" w:bidi="ar"/>
              </w:rPr>
              <w:t xml:space="preserve">1.00 </w:t>
            </w:r>
            <w:r/>
          </w:p>
        </w:tc>
      </w:tr>
      <w:tr>
        <w:trPr>
          <w:trHeight w:val="1984"/>
        </w:trPr>
        <w:tc>
          <w:tcPr>
            <w:shd w:val="clear" w:color="auto" w:fill="auto"/>
            <w:tcW w:w="749"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lang w:val="en-US" w:eastAsia="zh-CN" w:bidi="ar"/>
              </w:rPr>
              <w:t xml:space="preserve">26</w:t>
            </w:r>
            <w:r/>
          </w:p>
        </w:tc>
        <w:tc>
          <w:tcPr>
            <w:shd w:val="clear" w:color="auto" w:fill="auto"/>
            <w:tcW w:w="1344"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lang w:val="en-US" w:eastAsia="zh-CN" w:bidi="ar"/>
              </w:rPr>
              <w:t xml:space="preserve">扩声系统设备2</w:t>
            </w:r>
            <w:r/>
          </w:p>
        </w:tc>
        <w:tc>
          <w:tcPr>
            <w:shd w:val="clear" w:color="auto" w:fill="auto"/>
            <w:tcW w:w="4751"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lang w:val="en-US" w:eastAsia="zh-CN" w:bidi="ar"/>
              </w:rPr>
              <w:t xml:space="preserve">1、名称：吸顶音响、名称：吸顶音响、4×10"中低频驱动单元；</w:t>
            </w:r>
            <w:r>
              <w:rPr>
                <w:rFonts w:hint="eastAsia" w:asciiTheme="minorEastAsia" w:hAnsiTheme="minorEastAsia" w:eastAsiaTheme="minorEastAsia" w:cstheme="minorEastAsia"/>
                <w:i w:val="0"/>
                <w:iCs w:val="0"/>
                <w:color w:val="000000"/>
                <w:sz w:val="20"/>
                <w:szCs w:val="20"/>
                <w:u w:val="none"/>
                <w:lang w:val="en-US" w:eastAsia="zh-CN" w:bidi="ar"/>
              </w:rPr>
              <w:br/>
            </w:r>
            <w:r>
              <w:rPr>
                <w:rFonts w:hint="eastAsia" w:asciiTheme="minorEastAsia" w:hAnsiTheme="minorEastAsia" w:eastAsiaTheme="minorEastAsia" w:cstheme="minorEastAsia"/>
                <w:i w:val="0"/>
                <w:iCs w:val="0"/>
                <w:color w:val="000000"/>
                <w:sz w:val="20"/>
                <w:szCs w:val="20"/>
                <w:u w:val="none"/>
                <w:lang w:val="en-US" w:eastAsia="zh-CN" w:bidi="ar"/>
              </w:rPr>
              <w:t xml:space="preserve">2、4×3"中高频驱动单元；</w:t>
            </w:r>
            <w:r>
              <w:rPr>
                <w:rFonts w:hint="eastAsia" w:asciiTheme="minorEastAsia" w:hAnsiTheme="minorEastAsia" w:eastAsiaTheme="minorEastAsia" w:cstheme="minorEastAsia"/>
                <w:i w:val="0"/>
                <w:iCs w:val="0"/>
                <w:color w:val="000000"/>
                <w:sz w:val="20"/>
                <w:szCs w:val="20"/>
                <w:u w:val="none"/>
                <w:lang w:val="en-US" w:eastAsia="zh-CN" w:bidi="ar"/>
              </w:rPr>
              <w:br/>
            </w:r>
            <w:r>
              <w:rPr>
                <w:rFonts w:hint="eastAsia" w:asciiTheme="minorEastAsia" w:hAnsiTheme="minorEastAsia" w:eastAsiaTheme="minorEastAsia" w:cstheme="minorEastAsia"/>
                <w:i w:val="0"/>
                <w:iCs w:val="0"/>
                <w:color w:val="000000"/>
                <w:sz w:val="20"/>
                <w:szCs w:val="20"/>
                <w:u w:val="none"/>
                <w:lang w:val="en-US" w:eastAsia="zh-CN" w:bidi="ar"/>
              </w:rPr>
              <w:t xml:space="preserve">3、★额定功率不小于LF：1200W；MHF：400W/LF: 8Ω   MHF: 8Ω  </w:t>
            </w:r>
            <w:r>
              <w:rPr>
                <w:rFonts w:hint="eastAsia" w:asciiTheme="minorEastAsia" w:hAnsiTheme="minorEastAsia" w:eastAsiaTheme="minorEastAsia" w:cstheme="minorEastAsia"/>
                <w:i w:val="0"/>
                <w:iCs w:val="0"/>
                <w:color w:val="000000"/>
                <w:sz w:val="20"/>
                <w:szCs w:val="20"/>
                <w:u w:val="none"/>
                <w:lang w:val="en-US" w:eastAsia="zh-CN" w:bidi="ar"/>
              </w:rPr>
              <w:br/>
            </w:r>
            <w:r>
              <w:rPr>
                <w:rFonts w:hint="eastAsia" w:asciiTheme="minorEastAsia" w:hAnsiTheme="minorEastAsia" w:eastAsiaTheme="minorEastAsia" w:cstheme="minorEastAsia"/>
                <w:i w:val="0"/>
                <w:iCs w:val="0"/>
                <w:color w:val="000000"/>
                <w:sz w:val="20"/>
                <w:szCs w:val="20"/>
                <w:u w:val="none"/>
                <w:lang w:val="en-US" w:eastAsia="zh-CN" w:bidi="ar"/>
              </w:rPr>
              <w:t xml:space="preserve">4、特性灵敏度不小于LF:102dB；MHF:110dB/W/m（有效频率带通平均）</w:t>
            </w:r>
            <w:r>
              <w:rPr>
                <w:rFonts w:hint="eastAsia" w:asciiTheme="minorEastAsia" w:hAnsiTheme="minorEastAsia" w:eastAsiaTheme="minorEastAsia" w:cstheme="minorEastAsia"/>
                <w:i w:val="0"/>
                <w:iCs w:val="0"/>
                <w:color w:val="000000"/>
                <w:sz w:val="20"/>
                <w:szCs w:val="20"/>
                <w:u w:val="none"/>
                <w:lang w:val="en-US" w:eastAsia="zh-CN" w:bidi="ar"/>
              </w:rPr>
              <w:br/>
            </w:r>
            <w:r>
              <w:rPr>
                <w:rFonts w:hint="eastAsia" w:asciiTheme="minorEastAsia" w:hAnsiTheme="minorEastAsia" w:eastAsiaTheme="minorEastAsia" w:cstheme="minorEastAsia"/>
                <w:i w:val="0"/>
                <w:iCs w:val="0"/>
                <w:color w:val="000000"/>
                <w:sz w:val="20"/>
                <w:szCs w:val="20"/>
                <w:u w:val="none"/>
                <w:lang w:val="en-US" w:eastAsia="zh-CN" w:bidi="ar"/>
              </w:rPr>
              <w:t xml:space="preserve">5、连续声压级不小于LF:133dB；MHF:136dB ；</w:t>
            </w:r>
            <w:r>
              <w:rPr>
                <w:rFonts w:hint="eastAsia" w:asciiTheme="minorEastAsia" w:hAnsiTheme="minorEastAsia" w:eastAsiaTheme="minorEastAsia" w:cstheme="minorEastAsia"/>
                <w:i w:val="0"/>
                <w:iCs w:val="0"/>
                <w:color w:val="000000"/>
                <w:sz w:val="20"/>
                <w:szCs w:val="20"/>
                <w:u w:val="none"/>
                <w:lang w:val="en-US" w:eastAsia="zh-CN" w:bidi="ar"/>
              </w:rPr>
              <w:br/>
            </w:r>
            <w:r>
              <w:rPr>
                <w:rFonts w:hint="eastAsia" w:asciiTheme="minorEastAsia" w:hAnsiTheme="minorEastAsia" w:eastAsiaTheme="minorEastAsia" w:cstheme="minorEastAsia"/>
                <w:i w:val="0"/>
                <w:iCs w:val="0"/>
                <w:color w:val="000000"/>
                <w:sz w:val="20"/>
                <w:szCs w:val="20"/>
                <w:u w:val="none"/>
                <w:lang w:val="en-US" w:eastAsia="zh-CN" w:bidi="ar"/>
              </w:rPr>
              <w:t xml:space="preserve">6、峰值声压级不小于LF:139dB；MHF:136dB ；</w:t>
            </w:r>
            <w:r>
              <w:rPr>
                <w:rFonts w:hint="eastAsia" w:asciiTheme="minorEastAsia" w:hAnsiTheme="minorEastAsia" w:eastAsiaTheme="minorEastAsia" w:cstheme="minorEastAsia"/>
                <w:i w:val="0"/>
                <w:iCs w:val="0"/>
                <w:color w:val="000000"/>
                <w:sz w:val="20"/>
                <w:szCs w:val="20"/>
                <w:u w:val="none"/>
                <w:lang w:val="en-US" w:eastAsia="zh-CN" w:bidi="ar"/>
              </w:rPr>
              <w:br/>
            </w:r>
            <w:r>
              <w:rPr>
                <w:rFonts w:hint="eastAsia" w:asciiTheme="minorEastAsia" w:hAnsiTheme="minorEastAsia" w:eastAsiaTheme="minorEastAsia" w:cstheme="minorEastAsia"/>
                <w:i w:val="0"/>
                <w:iCs w:val="0"/>
                <w:color w:val="000000"/>
                <w:sz w:val="20"/>
                <w:szCs w:val="20"/>
                <w:u w:val="none"/>
                <w:lang w:val="en-US" w:eastAsia="zh-CN" w:bidi="ar"/>
              </w:rPr>
              <w:t xml:space="preserve">7、低频截止频率不高于：60Hz；高频截止频率不低于：18KHz</w:t>
            </w:r>
            <w:r>
              <w:rPr>
                <w:rFonts w:hint="eastAsia" w:asciiTheme="minorEastAsia" w:hAnsiTheme="minorEastAsia" w:eastAsiaTheme="minorEastAsia" w:cstheme="minorEastAsia"/>
                <w:i w:val="0"/>
                <w:iCs w:val="0"/>
                <w:color w:val="000000"/>
                <w:sz w:val="20"/>
                <w:szCs w:val="20"/>
                <w:u w:val="none"/>
                <w:lang w:val="en-US" w:eastAsia="zh-CN" w:bidi="ar"/>
              </w:rPr>
              <w:br/>
            </w:r>
            <w:r>
              <w:rPr>
                <w:rFonts w:hint="eastAsia" w:asciiTheme="minorEastAsia" w:hAnsiTheme="minorEastAsia" w:eastAsiaTheme="minorEastAsia" w:cstheme="minorEastAsia"/>
                <w:i w:val="0"/>
                <w:iCs w:val="0"/>
                <w:color w:val="000000"/>
                <w:sz w:val="20"/>
                <w:szCs w:val="20"/>
                <w:u w:val="none"/>
                <w:lang w:val="en-US" w:eastAsia="zh-CN" w:bidi="ar"/>
              </w:rPr>
              <w:t xml:space="preserve">8、覆盖角度： 90ºH  × 50ºV（恒定曲率）；</w:t>
            </w:r>
            <w:r/>
          </w:p>
        </w:tc>
        <w:tc>
          <w:tcPr>
            <w:shd w:val="clear" w:color="auto" w:fill="auto"/>
            <w:tcW w:w="982"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lang w:val="en-US" w:eastAsia="zh-CN" w:bidi="ar"/>
              </w:rPr>
              <w:t xml:space="preserve">台</w:t>
            </w:r>
            <w:r/>
          </w:p>
        </w:tc>
        <w:tc>
          <w:tcPr>
            <w:shd w:val="clear" w:color="auto" w:fill="auto"/>
            <w:tcW w:w="971"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lang w:val="en-US" w:eastAsia="zh-CN" w:bidi="ar"/>
              </w:rPr>
              <w:t xml:space="preserve">2.00 </w:t>
            </w:r>
            <w:r/>
          </w:p>
        </w:tc>
      </w:tr>
      <w:tr>
        <w:trPr>
          <w:trHeight w:val="1984"/>
        </w:trPr>
        <w:tc>
          <w:tcPr>
            <w:shd w:val="clear" w:color="auto" w:fill="auto"/>
            <w:tcW w:w="749"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lang w:val="en-US" w:eastAsia="zh-CN" w:bidi="ar"/>
              </w:rPr>
              <w:t xml:space="preserve">27</w:t>
            </w:r>
            <w:r/>
          </w:p>
        </w:tc>
        <w:tc>
          <w:tcPr>
            <w:shd w:val="clear" w:color="auto" w:fill="auto"/>
            <w:tcW w:w="1344"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lang w:val="en-US" w:eastAsia="zh-CN" w:bidi="ar"/>
              </w:rPr>
              <w:t xml:space="preserve">扩声系统设备3</w:t>
            </w:r>
            <w:r/>
          </w:p>
        </w:tc>
        <w:tc>
          <w:tcPr>
            <w:shd w:val="clear" w:color="auto" w:fill="auto"/>
            <w:tcW w:w="4751"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lang w:val="en-US" w:eastAsia="zh-CN" w:bidi="ar"/>
              </w:rPr>
              <w:t xml:space="preserve">1、名称：功放</w:t>
            </w:r>
            <w:r>
              <w:rPr>
                <w:rFonts w:hint="eastAsia" w:asciiTheme="minorEastAsia" w:hAnsiTheme="minorEastAsia" w:eastAsiaTheme="minorEastAsia" w:cstheme="minorEastAsia"/>
                <w:i w:val="0"/>
                <w:iCs w:val="0"/>
                <w:color w:val="000000"/>
                <w:sz w:val="20"/>
                <w:szCs w:val="20"/>
                <w:u w:val="none"/>
                <w:lang w:val="en-US" w:eastAsia="zh-CN" w:bidi="ar"/>
              </w:rPr>
              <w:br/>
            </w:r>
            <w:r>
              <w:rPr>
                <w:rFonts w:hint="eastAsia" w:asciiTheme="minorEastAsia" w:hAnsiTheme="minorEastAsia" w:eastAsiaTheme="minorEastAsia" w:cstheme="minorEastAsia"/>
                <w:i w:val="0"/>
                <w:iCs w:val="0"/>
                <w:color w:val="000000"/>
                <w:sz w:val="20"/>
                <w:szCs w:val="20"/>
                <w:u w:val="none"/>
                <w:lang w:val="en-US" w:eastAsia="zh-CN" w:bidi="ar"/>
              </w:rPr>
              <w:t xml:space="preserve">2、规格：120W1、功放类型：CLASS D类 效率≥90%</w:t>
            </w:r>
            <w:r>
              <w:rPr>
                <w:rFonts w:hint="eastAsia" w:asciiTheme="minorEastAsia" w:hAnsiTheme="minorEastAsia" w:eastAsiaTheme="minorEastAsia" w:cstheme="minorEastAsia"/>
                <w:i w:val="0"/>
                <w:iCs w:val="0"/>
                <w:color w:val="000000"/>
                <w:sz w:val="20"/>
                <w:szCs w:val="20"/>
                <w:u w:val="none"/>
                <w:lang w:val="en-US" w:eastAsia="zh-CN" w:bidi="ar"/>
              </w:rPr>
              <w:br/>
            </w:r>
            <w:r>
              <w:rPr>
                <w:rFonts w:hint="eastAsia" w:asciiTheme="minorEastAsia" w:hAnsiTheme="minorEastAsia" w:eastAsiaTheme="minorEastAsia" w:cstheme="minorEastAsia"/>
                <w:i w:val="0"/>
                <w:iCs w:val="0"/>
                <w:color w:val="000000"/>
                <w:sz w:val="20"/>
                <w:szCs w:val="20"/>
                <w:u w:val="none"/>
                <w:lang w:val="en-US" w:eastAsia="zh-CN" w:bidi="ar"/>
              </w:rPr>
              <w:t xml:space="preserve">3、保护功能：电路通断识别、数字短路保护、直流风机控制系统、宽电压自适应压缩、动态限幅保护，开机软启动延时静噪。</w:t>
            </w:r>
            <w:r>
              <w:rPr>
                <w:rFonts w:hint="eastAsia" w:asciiTheme="minorEastAsia" w:hAnsiTheme="minorEastAsia" w:eastAsiaTheme="minorEastAsia" w:cstheme="minorEastAsia"/>
                <w:i w:val="0"/>
                <w:iCs w:val="0"/>
                <w:color w:val="000000"/>
                <w:sz w:val="20"/>
                <w:szCs w:val="20"/>
                <w:u w:val="none"/>
                <w:lang w:val="en-US" w:eastAsia="zh-CN" w:bidi="ar"/>
              </w:rPr>
              <w:br/>
            </w:r>
            <w:r>
              <w:rPr>
                <w:rFonts w:hint="eastAsia" w:asciiTheme="minorEastAsia" w:hAnsiTheme="minorEastAsia" w:eastAsiaTheme="minorEastAsia" w:cstheme="minorEastAsia"/>
                <w:i w:val="0"/>
                <w:iCs w:val="0"/>
                <w:color w:val="000000"/>
                <w:sz w:val="20"/>
                <w:szCs w:val="20"/>
                <w:u w:val="none"/>
                <w:lang w:val="en-US" w:eastAsia="zh-CN" w:bidi="ar"/>
              </w:rPr>
              <w:t xml:space="preserve">4、功放增益：32/35/38/41dB(可选择）；</w:t>
            </w:r>
            <w:r>
              <w:rPr>
                <w:rFonts w:hint="eastAsia" w:asciiTheme="minorEastAsia" w:hAnsiTheme="minorEastAsia" w:eastAsiaTheme="minorEastAsia" w:cstheme="minorEastAsia"/>
                <w:i w:val="0"/>
                <w:iCs w:val="0"/>
                <w:color w:val="000000"/>
                <w:sz w:val="20"/>
                <w:szCs w:val="20"/>
                <w:u w:val="none"/>
                <w:lang w:val="en-US" w:eastAsia="zh-CN" w:bidi="ar"/>
              </w:rPr>
              <w:br/>
            </w:r>
            <w:r>
              <w:rPr>
                <w:rFonts w:hint="eastAsia" w:asciiTheme="minorEastAsia" w:hAnsiTheme="minorEastAsia" w:eastAsiaTheme="minorEastAsia" w:cstheme="minorEastAsia"/>
                <w:i w:val="0"/>
                <w:iCs w:val="0"/>
                <w:color w:val="000000"/>
                <w:sz w:val="20"/>
                <w:szCs w:val="20"/>
                <w:u w:val="none"/>
                <w:lang w:val="en-US" w:eastAsia="zh-CN" w:bidi="ar"/>
              </w:rPr>
              <w:t xml:space="preserve">5、输出功率（RMS）：2×1500W/8Ω，2×2550W/4Ω，2×3570W/2Ω，桥接1×5100W/8Ω；</w:t>
            </w:r>
            <w:r>
              <w:rPr>
                <w:rFonts w:hint="eastAsia" w:asciiTheme="minorEastAsia" w:hAnsiTheme="minorEastAsia" w:eastAsiaTheme="minorEastAsia" w:cstheme="minorEastAsia"/>
                <w:i w:val="0"/>
                <w:iCs w:val="0"/>
                <w:color w:val="000000"/>
                <w:sz w:val="20"/>
                <w:szCs w:val="20"/>
                <w:u w:val="none"/>
                <w:lang w:val="en-US" w:eastAsia="zh-CN" w:bidi="ar"/>
              </w:rPr>
              <w:br/>
            </w:r>
            <w:r>
              <w:rPr>
                <w:rFonts w:hint="eastAsia" w:asciiTheme="minorEastAsia" w:hAnsiTheme="minorEastAsia" w:eastAsiaTheme="minorEastAsia" w:cstheme="minorEastAsia"/>
                <w:i w:val="0"/>
                <w:iCs w:val="0"/>
                <w:color w:val="000000"/>
                <w:sz w:val="20"/>
                <w:szCs w:val="20"/>
                <w:u w:val="none"/>
                <w:lang w:val="en-US" w:eastAsia="zh-CN" w:bidi="ar"/>
              </w:rPr>
              <w:t xml:space="preserve">6、RMS输出电压(THD=1%,1kHz)≥109V</w:t>
            </w:r>
            <w:r>
              <w:rPr>
                <w:rFonts w:hint="eastAsia" w:asciiTheme="minorEastAsia" w:hAnsiTheme="minorEastAsia" w:eastAsiaTheme="minorEastAsia" w:cstheme="minorEastAsia"/>
                <w:i w:val="0"/>
                <w:iCs w:val="0"/>
                <w:color w:val="000000"/>
                <w:sz w:val="20"/>
                <w:szCs w:val="20"/>
                <w:u w:val="none"/>
                <w:lang w:val="en-US" w:eastAsia="zh-CN" w:bidi="ar"/>
              </w:rPr>
              <w:br/>
            </w:r>
            <w:r>
              <w:rPr>
                <w:rFonts w:hint="eastAsia" w:asciiTheme="minorEastAsia" w:hAnsiTheme="minorEastAsia" w:eastAsiaTheme="minorEastAsia" w:cstheme="minorEastAsia"/>
                <w:i w:val="0"/>
                <w:iCs w:val="0"/>
                <w:color w:val="000000"/>
                <w:sz w:val="20"/>
                <w:szCs w:val="20"/>
                <w:u w:val="none"/>
                <w:lang w:val="en-US" w:eastAsia="zh-CN" w:bidi="ar"/>
              </w:rPr>
              <w:t xml:space="preserve">7、总谐波失真：0.05%</w:t>
            </w:r>
            <w:r>
              <w:rPr>
                <w:rFonts w:hint="eastAsia" w:asciiTheme="minorEastAsia" w:hAnsiTheme="minorEastAsia" w:eastAsiaTheme="minorEastAsia" w:cstheme="minorEastAsia"/>
                <w:i w:val="0"/>
                <w:iCs w:val="0"/>
                <w:color w:val="000000"/>
                <w:sz w:val="20"/>
                <w:szCs w:val="20"/>
                <w:u w:val="none"/>
                <w:lang w:val="en-US" w:eastAsia="zh-CN" w:bidi="ar"/>
              </w:rPr>
              <w:br/>
            </w:r>
            <w:r>
              <w:rPr>
                <w:rFonts w:hint="eastAsia" w:asciiTheme="minorEastAsia" w:hAnsiTheme="minorEastAsia" w:eastAsiaTheme="minorEastAsia" w:cstheme="minorEastAsia"/>
                <w:i w:val="0"/>
                <w:iCs w:val="0"/>
                <w:color w:val="000000"/>
                <w:sz w:val="20"/>
                <w:szCs w:val="20"/>
                <w:u w:val="none"/>
                <w:lang w:val="en-US" w:eastAsia="zh-CN" w:bidi="ar"/>
              </w:rPr>
              <w:t xml:space="preserve">8、频率响应：20Hz-20kHz（±0.3dB）</w:t>
            </w:r>
            <w:r>
              <w:rPr>
                <w:rFonts w:hint="eastAsia" w:asciiTheme="minorEastAsia" w:hAnsiTheme="minorEastAsia" w:eastAsiaTheme="minorEastAsia" w:cstheme="minorEastAsia"/>
                <w:i w:val="0"/>
                <w:iCs w:val="0"/>
                <w:color w:val="000000"/>
                <w:sz w:val="20"/>
                <w:szCs w:val="20"/>
                <w:u w:val="none"/>
                <w:lang w:val="en-US" w:eastAsia="zh-CN" w:bidi="ar"/>
              </w:rPr>
              <w:br/>
            </w:r>
            <w:r>
              <w:rPr>
                <w:rFonts w:hint="eastAsia" w:asciiTheme="minorEastAsia" w:hAnsiTheme="minorEastAsia" w:eastAsiaTheme="minorEastAsia" w:cstheme="minorEastAsia"/>
                <w:i w:val="0"/>
                <w:iCs w:val="0"/>
                <w:color w:val="000000"/>
                <w:sz w:val="20"/>
                <w:szCs w:val="20"/>
                <w:u w:val="none"/>
                <w:lang w:val="en-US" w:eastAsia="zh-CN" w:bidi="ar"/>
              </w:rPr>
              <w:t xml:space="preserve">9、信噪比≥105dB(A记权，20Hz~20kHz)</w:t>
            </w:r>
            <w:r/>
          </w:p>
        </w:tc>
        <w:tc>
          <w:tcPr>
            <w:shd w:val="clear" w:color="auto" w:fill="auto"/>
            <w:tcW w:w="982"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lang w:val="en-US" w:eastAsia="zh-CN" w:bidi="ar"/>
              </w:rPr>
              <w:t xml:space="preserve">台</w:t>
            </w:r>
            <w:r/>
          </w:p>
        </w:tc>
        <w:tc>
          <w:tcPr>
            <w:shd w:val="clear" w:color="auto" w:fill="auto"/>
            <w:tcW w:w="971"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lang w:val="en-US" w:eastAsia="zh-CN" w:bidi="ar"/>
              </w:rPr>
              <w:t xml:space="preserve">1.00 </w:t>
            </w:r>
            <w:r/>
          </w:p>
        </w:tc>
      </w:tr>
      <w:tr>
        <w:trPr>
          <w:trHeight w:val="665"/>
        </w:trPr>
        <w:tc>
          <w:tcPr>
            <w:shd w:val="clear" w:color="auto" w:fill="auto"/>
            <w:tcW w:w="749"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lang w:val="en-US" w:eastAsia="zh-CN" w:bidi="ar"/>
              </w:rPr>
              <w:t xml:space="preserve">28</w:t>
            </w:r>
            <w:r/>
          </w:p>
        </w:tc>
        <w:tc>
          <w:tcPr>
            <w:shd w:val="clear" w:color="auto" w:fill="auto"/>
            <w:tcW w:w="1344"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lang w:val="en-US" w:eastAsia="zh-CN" w:bidi="ar"/>
              </w:rPr>
              <w:t xml:space="preserve">电力电缆</w:t>
            </w:r>
            <w:r/>
          </w:p>
        </w:tc>
        <w:tc>
          <w:tcPr>
            <w:shd w:val="clear" w:color="auto" w:fill="auto"/>
            <w:tcW w:w="4751"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lang w:val="en-US" w:eastAsia="zh-CN" w:bidi="ar"/>
              </w:rPr>
              <w:t xml:space="preserve">1、名称：三芯电缆</w:t>
            </w:r>
            <w:r>
              <w:rPr>
                <w:rFonts w:hint="eastAsia" w:asciiTheme="minorEastAsia" w:hAnsiTheme="minorEastAsia" w:eastAsiaTheme="minorEastAsia" w:cstheme="minorEastAsia"/>
                <w:i w:val="0"/>
                <w:iCs w:val="0"/>
                <w:color w:val="000000"/>
                <w:sz w:val="20"/>
                <w:szCs w:val="20"/>
                <w:u w:val="none"/>
                <w:lang w:val="en-US" w:eastAsia="zh-CN" w:bidi="ar"/>
              </w:rPr>
              <w:br/>
            </w:r>
            <w:r>
              <w:rPr>
                <w:rFonts w:hint="eastAsia" w:asciiTheme="minorEastAsia" w:hAnsiTheme="minorEastAsia" w:eastAsiaTheme="minorEastAsia" w:cstheme="minorEastAsia"/>
                <w:i w:val="0"/>
                <w:iCs w:val="0"/>
                <w:color w:val="000000"/>
                <w:sz w:val="20"/>
                <w:szCs w:val="20"/>
                <w:u w:val="none"/>
                <w:lang w:val="en-US" w:eastAsia="zh-CN" w:bidi="ar"/>
              </w:rPr>
              <w:t xml:space="preserve">2、规格：380V五芯国标纯铜电缆，满足显示屏的用电需要及用电安全。六类屏蔽网线、光纤、双通道DVI线、HDMI 1.4 线、扎带、标签纸、线管等。</w:t>
            </w:r>
            <w:r/>
          </w:p>
        </w:tc>
        <w:tc>
          <w:tcPr>
            <w:shd w:val="clear" w:color="auto" w:fill="auto"/>
            <w:tcW w:w="982"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lang w:val="en-US" w:eastAsia="zh-CN" w:bidi="ar"/>
              </w:rPr>
              <w:t xml:space="preserve">m</w:t>
            </w:r>
            <w:r/>
          </w:p>
        </w:tc>
        <w:tc>
          <w:tcPr>
            <w:shd w:val="clear" w:color="auto" w:fill="auto"/>
            <w:tcW w:w="971"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lang w:val="en-US" w:eastAsia="zh-CN" w:bidi="ar"/>
              </w:rPr>
              <w:t xml:space="preserve">180.00 </w:t>
            </w:r>
            <w:r/>
          </w:p>
        </w:tc>
      </w:tr>
      <w:tr>
        <w:trPr>
          <w:trHeight w:val="3797"/>
        </w:trPr>
        <w:tc>
          <w:tcPr>
            <w:shd w:val="clear" w:color="auto" w:fill="auto"/>
            <w:tcW w:w="749"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lang w:val="en-US" w:eastAsia="zh-CN" w:bidi="ar"/>
              </w:rPr>
              <w:t xml:space="preserve">29</w:t>
            </w:r>
            <w:r/>
          </w:p>
        </w:tc>
        <w:tc>
          <w:tcPr>
            <w:shd w:val="clear" w:color="auto" w:fill="auto"/>
            <w:tcW w:w="1344"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lang w:val="en-US" w:eastAsia="zh-CN" w:bidi="ar"/>
              </w:rPr>
              <w:t xml:space="preserve">显示设备2</w:t>
            </w:r>
            <w:r/>
          </w:p>
        </w:tc>
        <w:tc>
          <w:tcPr>
            <w:shd w:val="clear" w:color="auto" w:fill="auto"/>
            <w:tcW w:w="4751"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lang w:val="en-US" w:eastAsia="zh-CN" w:bidi="ar"/>
              </w:rPr>
              <w:t xml:space="preserve">R2室内全彩屏一、核心显示参数</w:t>
            </w:r>
            <w:r>
              <w:rPr>
                <w:rFonts w:hint="eastAsia" w:asciiTheme="minorEastAsia" w:hAnsiTheme="minorEastAsia" w:eastAsiaTheme="minorEastAsia" w:cstheme="minorEastAsia"/>
                <w:i w:val="0"/>
                <w:iCs w:val="0"/>
                <w:color w:val="000000"/>
                <w:sz w:val="20"/>
                <w:szCs w:val="20"/>
                <w:u w:val="none"/>
                <w:lang w:val="en-US" w:eastAsia="zh-CN" w:bidi="ar"/>
              </w:rPr>
              <w:br/>
            </w:r>
            <w:r>
              <w:rPr>
                <w:rFonts w:hint="eastAsia" w:asciiTheme="minorEastAsia" w:hAnsiTheme="minorEastAsia" w:eastAsiaTheme="minorEastAsia" w:cstheme="minorEastAsia"/>
                <w:i w:val="0"/>
                <w:iCs w:val="0"/>
                <w:color w:val="000000"/>
                <w:sz w:val="20"/>
                <w:szCs w:val="20"/>
                <w:u w:val="none"/>
                <w:lang w:val="en-US" w:eastAsia="zh-CN" w:bidi="ar"/>
              </w:rPr>
              <w:t xml:space="preserve">像素间距2mm，物理分辨率500×500点/㎡，单模组尺寸320×320mm，通过标准化拼接可灵活组成不同尺寸屏幕。采用≥14bit灰度等级，搭配PWM-SS双驱动技术，画面过渡细腻无断层，动态显示无拖影。刷新率≥3800Hz，满足摄影与直播需求，避免频闪问题。</w:t>
            </w:r>
            <w:r>
              <w:rPr>
                <w:rFonts w:hint="eastAsia" w:asciiTheme="minorEastAsia" w:hAnsiTheme="minorEastAsia" w:eastAsiaTheme="minorEastAsia" w:cstheme="minorEastAsia"/>
                <w:i w:val="0"/>
                <w:iCs w:val="0"/>
                <w:color w:val="000000"/>
                <w:sz w:val="20"/>
                <w:szCs w:val="20"/>
                <w:u w:val="none"/>
                <w:lang w:val="en-US" w:eastAsia="zh-CN" w:bidi="ar"/>
              </w:rPr>
              <w:br/>
            </w:r>
            <w:r>
              <w:rPr>
                <w:rFonts w:hint="eastAsia" w:asciiTheme="minorEastAsia" w:hAnsiTheme="minorEastAsia" w:eastAsiaTheme="minorEastAsia" w:cstheme="minorEastAsia"/>
                <w:i w:val="0"/>
                <w:iCs w:val="0"/>
                <w:color w:val="000000"/>
                <w:sz w:val="20"/>
                <w:szCs w:val="20"/>
                <w:u w:val="none"/>
                <w:lang w:val="en-US" w:eastAsia="zh-CN" w:bidi="ar"/>
              </w:rPr>
              <w:t xml:space="preserve">对比度≥4500:1，亮度均匀性＞95%，白平衡亮度≥500cd/㎡，适配室内不同光线环境。支持6500K-15000K宽色温调节，色彩还原度高，符合Rec.709色域标准，能精准呈现图文、视频的真实色彩。</w:t>
            </w:r>
            <w:r>
              <w:rPr>
                <w:rFonts w:hint="eastAsia" w:asciiTheme="minorEastAsia" w:hAnsiTheme="minorEastAsia" w:eastAsiaTheme="minorEastAsia" w:cstheme="minorEastAsia"/>
                <w:i w:val="0"/>
                <w:iCs w:val="0"/>
                <w:color w:val="000000"/>
                <w:sz w:val="20"/>
                <w:szCs w:val="20"/>
                <w:u w:val="none"/>
                <w:lang w:val="en-US" w:eastAsia="zh-CN" w:bidi="ar"/>
              </w:rPr>
              <w:br/>
            </w:r>
            <w:r>
              <w:rPr>
                <w:rFonts w:hint="eastAsia" w:asciiTheme="minorEastAsia" w:hAnsiTheme="minorEastAsia" w:eastAsiaTheme="minorEastAsia" w:cstheme="minorEastAsia"/>
                <w:i w:val="0"/>
                <w:iCs w:val="0"/>
                <w:color w:val="000000"/>
                <w:sz w:val="20"/>
                <w:szCs w:val="20"/>
                <w:u w:val="none"/>
                <w:lang w:val="en-US" w:eastAsia="zh-CN" w:bidi="ar"/>
              </w:rPr>
              <w:t xml:space="preserve">二、结构与性能参数</w:t>
            </w:r>
            <w:r>
              <w:rPr>
                <w:rFonts w:hint="eastAsia" w:asciiTheme="minorEastAsia" w:hAnsiTheme="minorEastAsia" w:eastAsiaTheme="minorEastAsia" w:cstheme="minorEastAsia"/>
                <w:i w:val="0"/>
                <w:iCs w:val="0"/>
                <w:color w:val="000000"/>
                <w:sz w:val="20"/>
                <w:szCs w:val="20"/>
                <w:u w:val="none"/>
                <w:lang w:val="en-US" w:eastAsia="zh-CN" w:bidi="ar"/>
              </w:rPr>
              <w:br/>
            </w:r>
            <w:r>
              <w:rPr>
                <w:rFonts w:hint="eastAsia" w:asciiTheme="minorEastAsia" w:hAnsiTheme="minorEastAsia" w:eastAsiaTheme="minorEastAsia" w:cstheme="minorEastAsia"/>
                <w:i w:val="0"/>
                <w:iCs w:val="0"/>
                <w:color w:val="000000"/>
                <w:sz w:val="20"/>
                <w:szCs w:val="20"/>
                <w:u w:val="none"/>
                <w:lang w:val="en-US" w:eastAsia="zh-CN" w:bidi="ar"/>
              </w:rPr>
              <w:t xml:space="preserve">采用轻薄设计，模组厚度仅8mm，重量约0.6kg，支持±3°弧形拼接，适配创意展陈需求。配备强磁吸附+快速锁扣结构，安装便捷且拼接平整，平整度误差≤0.1mm，大幅提升施工效率。</w:t>
            </w:r>
            <w:r>
              <w:rPr>
                <w:rFonts w:hint="eastAsia" w:asciiTheme="minorEastAsia" w:hAnsiTheme="minorEastAsia" w:eastAsiaTheme="minorEastAsia" w:cstheme="minorEastAsia"/>
                <w:i w:val="0"/>
                <w:iCs w:val="0"/>
                <w:color w:val="000000"/>
                <w:sz w:val="20"/>
                <w:szCs w:val="20"/>
                <w:u w:val="none"/>
                <w:lang w:val="en-US" w:eastAsia="zh-CN" w:bidi="ar"/>
              </w:rPr>
              <w:br/>
            </w:r>
            <w:r>
              <w:rPr>
                <w:rFonts w:hint="eastAsia" w:asciiTheme="minorEastAsia" w:hAnsiTheme="minorEastAsia" w:eastAsiaTheme="minorEastAsia" w:cstheme="minorEastAsia"/>
                <w:i w:val="0"/>
                <w:iCs w:val="0"/>
                <w:color w:val="000000"/>
                <w:sz w:val="20"/>
                <w:szCs w:val="20"/>
                <w:u w:val="none"/>
                <w:lang w:val="en-US" w:eastAsia="zh-CN" w:bidi="ar"/>
              </w:rPr>
              <w:t xml:space="preserve">安全与运行参数</w:t>
            </w:r>
            <w:r>
              <w:rPr>
                <w:rFonts w:hint="eastAsia" w:asciiTheme="minorEastAsia" w:hAnsiTheme="minorEastAsia" w:eastAsiaTheme="minorEastAsia" w:cstheme="minorEastAsia"/>
                <w:i w:val="0"/>
                <w:iCs w:val="0"/>
                <w:color w:val="000000"/>
                <w:sz w:val="20"/>
                <w:szCs w:val="20"/>
                <w:u w:val="none"/>
                <w:lang w:val="en-US" w:eastAsia="zh-CN" w:bidi="ar"/>
              </w:rPr>
              <w:br/>
            </w:r>
            <w:r>
              <w:rPr>
                <w:rFonts w:hint="eastAsia" w:asciiTheme="minorEastAsia" w:hAnsiTheme="minorEastAsia" w:eastAsiaTheme="minorEastAsia" w:cstheme="minorEastAsia"/>
                <w:i w:val="0"/>
                <w:iCs w:val="0"/>
                <w:color w:val="000000"/>
                <w:sz w:val="20"/>
                <w:szCs w:val="20"/>
                <w:u w:val="none"/>
                <w:lang w:val="en-US" w:eastAsia="zh-CN" w:bidi="ar"/>
              </w:rPr>
              <w:t xml:space="preserve">PCB板阻燃等级达V0级，搭配防浪涌保护电路，使用安全可靠。工作电压DC 5V，平均功耗低至130W/㎡，节能效果显著。工作温度-10℃-40℃，湿度10%-90%无结露，支持7×24小时连续运行，平均无故障时间≥10万小时，保障长期稳定使用。</w:t>
            </w:r>
            <w:r/>
          </w:p>
        </w:tc>
        <w:tc>
          <w:tcPr>
            <w:shd w:val="clear" w:color="auto" w:fill="auto"/>
            <w:tcW w:w="982"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lang w:val="en-US" w:eastAsia="zh-CN" w:bidi="ar"/>
              </w:rPr>
              <w:t xml:space="preserve">m2</w:t>
            </w:r>
            <w:r/>
          </w:p>
        </w:tc>
        <w:tc>
          <w:tcPr>
            <w:shd w:val="clear" w:color="auto" w:fill="auto"/>
            <w:tcW w:w="971"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lang w:val="en-US" w:eastAsia="zh-CN" w:bidi="ar"/>
              </w:rPr>
              <w:t xml:space="preserve">5.80 </w:t>
            </w:r>
            <w:r/>
          </w:p>
        </w:tc>
      </w:tr>
      <w:tr>
        <w:trPr>
          <w:trHeight w:val="90"/>
        </w:trPr>
        <w:tc>
          <w:tcPr>
            <w:shd w:val="clear" w:color="auto" w:fill="auto"/>
            <w:tcW w:w="749"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lang w:val="en-US" w:eastAsia="zh-CN" w:bidi="ar"/>
              </w:rPr>
              <w:t xml:space="preserve">30</w:t>
            </w:r>
            <w:r/>
          </w:p>
        </w:tc>
        <w:tc>
          <w:tcPr>
            <w:shd w:val="clear" w:color="auto" w:fill="auto"/>
            <w:tcW w:w="1344"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lang w:val="en-US" w:eastAsia="zh-CN" w:bidi="ar"/>
              </w:rPr>
              <w:t xml:space="preserve">接口卡2</w:t>
            </w:r>
            <w:r/>
          </w:p>
        </w:tc>
        <w:tc>
          <w:tcPr>
            <w:shd w:val="clear" w:color="auto" w:fill="auto"/>
            <w:tcW w:w="4751"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lang w:val="en-US" w:eastAsia="zh-CN" w:bidi="ar"/>
              </w:rPr>
              <w:t xml:space="preserve">一、核心处理参数</w:t>
            </w:r>
            <w:r>
              <w:rPr>
                <w:rFonts w:hint="eastAsia" w:asciiTheme="minorEastAsia" w:hAnsiTheme="minorEastAsia" w:eastAsiaTheme="minorEastAsia" w:cstheme="minorEastAsia"/>
                <w:i w:val="0"/>
                <w:iCs w:val="0"/>
                <w:color w:val="000000"/>
                <w:sz w:val="20"/>
                <w:szCs w:val="20"/>
                <w:u w:val="none"/>
                <w:lang w:val="en-US" w:eastAsia="zh-CN" w:bidi="ar"/>
              </w:rPr>
              <w:br/>
            </w:r>
            <w:r>
              <w:rPr>
                <w:rFonts w:hint="eastAsia" w:asciiTheme="minorEastAsia" w:hAnsiTheme="minorEastAsia" w:eastAsiaTheme="minorEastAsia" w:cstheme="minorEastAsia"/>
                <w:i w:val="0"/>
                <w:iCs w:val="0"/>
                <w:color w:val="000000"/>
                <w:sz w:val="20"/>
                <w:szCs w:val="20"/>
                <w:u w:val="none"/>
                <w:lang w:val="en-US" w:eastAsia="zh-CN" w:bidi="ar"/>
              </w:rPr>
              <w:t xml:space="preserve">支持最大分辨率1024×512像素，单卡可驱动8个S1.81模组（320×180mm），适配2×4或4×2的常规拼接组合。采用16bit数据处理芯片，兼容S1.81的14bit灰度等级，实现色彩精准还原。支持4K@60Hz信号输入，配合帧同步技术，多卡联动时画面无撕裂，适配展厅大尺寸拼接需求。</w:t>
            </w:r>
            <w:r>
              <w:rPr>
                <w:rFonts w:hint="eastAsia" w:asciiTheme="minorEastAsia" w:hAnsiTheme="minorEastAsia" w:eastAsiaTheme="minorEastAsia" w:cstheme="minorEastAsia"/>
                <w:i w:val="0"/>
                <w:iCs w:val="0"/>
                <w:color w:val="000000"/>
                <w:sz w:val="20"/>
                <w:szCs w:val="20"/>
                <w:u w:val="none"/>
                <w:lang w:val="en-US" w:eastAsia="zh-CN" w:bidi="ar"/>
              </w:rPr>
              <w:br/>
            </w:r>
            <w:r>
              <w:rPr>
                <w:rFonts w:hint="eastAsia" w:asciiTheme="minorEastAsia" w:hAnsiTheme="minorEastAsia" w:eastAsiaTheme="minorEastAsia" w:cstheme="minorEastAsia"/>
                <w:i w:val="0"/>
                <w:iCs w:val="0"/>
                <w:color w:val="000000"/>
                <w:sz w:val="20"/>
                <w:szCs w:val="20"/>
                <w:u w:val="none"/>
                <w:lang w:val="en-US" w:eastAsia="zh-CN" w:bidi="ar"/>
              </w:rPr>
              <w:t xml:space="preserve">二、驱动与信号参数</w:t>
            </w:r>
            <w:r>
              <w:rPr>
                <w:rFonts w:hint="eastAsia" w:asciiTheme="minorEastAsia" w:hAnsiTheme="minorEastAsia" w:eastAsiaTheme="minorEastAsia" w:cstheme="minorEastAsia"/>
                <w:i w:val="0"/>
                <w:iCs w:val="0"/>
                <w:color w:val="000000"/>
                <w:sz w:val="20"/>
                <w:szCs w:val="20"/>
                <w:u w:val="none"/>
                <w:lang w:val="en-US" w:eastAsia="zh-CN" w:bidi="ar"/>
              </w:rPr>
              <w:br/>
            </w:r>
            <w:r>
              <w:rPr>
                <w:rFonts w:hint="eastAsia" w:asciiTheme="minorEastAsia" w:hAnsiTheme="minorEastAsia" w:eastAsiaTheme="minorEastAsia" w:cstheme="minorEastAsia"/>
                <w:i w:val="0"/>
                <w:iCs w:val="0"/>
                <w:color w:val="000000"/>
                <w:sz w:val="20"/>
                <w:szCs w:val="20"/>
                <w:u w:val="none"/>
                <w:lang w:val="en-US" w:eastAsia="zh-CN" w:bidi="ar"/>
              </w:rPr>
              <w:t xml:space="preserve">输出灰度时钟最高40MHz，支持PWM-SS驱动模式，与S1.81的节能IC完美适配，降低整体功耗。配备8组RGB数据接口，支持恒流驱动输出，电流调节精度达1mA，保障模组亮度均匀。信号传输支持千兆网口级联，传输距离≤100米，也可搭配光纤模块延长至10公里，适配展厅复杂布线。</w:t>
            </w:r>
            <w:r>
              <w:rPr>
                <w:rFonts w:hint="eastAsia" w:asciiTheme="minorEastAsia" w:hAnsiTheme="minorEastAsia" w:eastAsiaTheme="minorEastAsia" w:cstheme="minorEastAsia"/>
                <w:i w:val="0"/>
                <w:iCs w:val="0"/>
                <w:color w:val="000000"/>
                <w:sz w:val="20"/>
                <w:szCs w:val="20"/>
                <w:u w:val="none"/>
                <w:lang w:val="en-US" w:eastAsia="zh-CN" w:bidi="ar"/>
              </w:rPr>
              <w:br/>
            </w:r>
            <w:r>
              <w:rPr>
                <w:rFonts w:hint="eastAsia" w:asciiTheme="minorEastAsia" w:hAnsiTheme="minorEastAsia" w:eastAsiaTheme="minorEastAsia" w:cstheme="minorEastAsia"/>
                <w:i w:val="0"/>
                <w:iCs w:val="0"/>
                <w:color w:val="000000"/>
                <w:sz w:val="20"/>
                <w:szCs w:val="20"/>
                <w:u w:val="none"/>
                <w:lang w:val="en-US" w:eastAsia="zh-CN" w:bidi="ar"/>
              </w:rPr>
              <w:t xml:space="preserve">三、智能与运行参数</w:t>
            </w:r>
            <w:r>
              <w:rPr>
                <w:rFonts w:hint="eastAsia" w:asciiTheme="minorEastAsia" w:hAnsiTheme="minorEastAsia" w:eastAsiaTheme="minorEastAsia" w:cstheme="minorEastAsia"/>
                <w:i w:val="0"/>
                <w:iCs w:val="0"/>
                <w:color w:val="000000"/>
                <w:sz w:val="20"/>
                <w:szCs w:val="20"/>
                <w:u w:val="none"/>
                <w:lang w:val="en-US" w:eastAsia="zh-CN" w:bidi="ar"/>
              </w:rPr>
              <w:br/>
            </w:r>
            <w:r>
              <w:rPr>
                <w:rFonts w:hint="eastAsia" w:asciiTheme="minorEastAsia" w:hAnsiTheme="minorEastAsia" w:eastAsiaTheme="minorEastAsia" w:cstheme="minorEastAsia"/>
                <w:i w:val="0"/>
                <w:iCs w:val="0"/>
                <w:color w:val="000000"/>
                <w:sz w:val="20"/>
                <w:szCs w:val="20"/>
                <w:u w:val="none"/>
                <w:lang w:val="en-US" w:eastAsia="zh-CN" w:bidi="ar"/>
              </w:rPr>
              <w:t xml:space="preserve">支持Web远程配置与监控，实时反馈电压、温度及模组状态，故障报警响应时间≤1秒。具备逐点校正功能，可修正S1.81的色彩偏差，提升整屏一致性。工作电压DC 5V，功耗≤5W，采用无风扇静音设计，适应展厅安静环境。工作温度-20℃-60℃，湿度10%-90%无结露，平均无故障时间≥8万小时，与S1.81协同保障长期稳定运行。</w:t>
            </w:r>
            <w:r/>
          </w:p>
        </w:tc>
        <w:tc>
          <w:tcPr>
            <w:shd w:val="clear" w:color="auto" w:fill="auto"/>
            <w:tcW w:w="982"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lang w:val="en-US" w:eastAsia="zh-CN" w:bidi="ar"/>
              </w:rPr>
              <w:t xml:space="preserve">台(套</w:t>
            </w:r>
            <w:r>
              <w:rPr>
                <w:rFonts w:hint="eastAsia" w:asciiTheme="minorEastAsia" w:hAnsiTheme="minorEastAsia" w:eastAsiaTheme="minorEastAsia" w:cstheme="minorEastAsia"/>
                <w:i w:val="0"/>
                <w:iCs w:val="0"/>
                <w:color w:val="000000"/>
                <w:sz w:val="20"/>
                <w:szCs w:val="20"/>
                <w:u w:val="none"/>
                <w:lang w:val="en-US" w:eastAsia="zh-CN" w:bidi="ar"/>
              </w:rPr>
              <w:br/>
            </w:r>
            <w:r>
              <w:rPr>
                <w:rFonts w:hint="eastAsia" w:asciiTheme="minorEastAsia" w:hAnsiTheme="minorEastAsia" w:eastAsiaTheme="minorEastAsia" w:cstheme="minorEastAsia"/>
                <w:i w:val="0"/>
                <w:iCs w:val="0"/>
                <w:color w:val="000000"/>
                <w:sz w:val="20"/>
                <w:szCs w:val="20"/>
                <w:u w:val="none"/>
                <w:lang w:val="en-US" w:eastAsia="zh-CN" w:bidi="ar"/>
              </w:rPr>
              <w:t xml:space="preserve">)</w:t>
            </w:r>
            <w:r/>
          </w:p>
        </w:tc>
        <w:tc>
          <w:tcPr>
            <w:shd w:val="clear" w:color="auto" w:fill="auto"/>
            <w:tcW w:w="971"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lang w:val="en-US" w:eastAsia="zh-CN" w:bidi="ar"/>
              </w:rPr>
              <w:t xml:space="preserve">11.00 </w:t>
            </w:r>
            <w:r/>
          </w:p>
        </w:tc>
      </w:tr>
      <w:tr>
        <w:trPr>
          <w:trHeight w:val="90"/>
        </w:trPr>
        <w:tc>
          <w:tcPr>
            <w:shd w:val="clear" w:color="auto" w:fill="auto"/>
            <w:tcW w:w="749"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lang w:val="en-US" w:eastAsia="zh-CN" w:bidi="ar"/>
              </w:rPr>
              <w:t xml:space="preserve">31</w:t>
            </w:r>
            <w:r/>
          </w:p>
        </w:tc>
        <w:tc>
          <w:tcPr>
            <w:shd w:val="clear" w:color="auto" w:fill="auto"/>
            <w:tcW w:w="1344"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lang w:val="en-US" w:eastAsia="zh-CN" w:bidi="ar"/>
              </w:rPr>
              <w:t xml:space="preserve">室内全彩屏基础及支架2</w:t>
            </w:r>
            <w:r/>
          </w:p>
        </w:tc>
        <w:tc>
          <w:tcPr>
            <w:shd w:val="clear" w:color="auto" w:fill="auto"/>
            <w:tcW w:w="4751"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lang w:val="en-US" w:eastAsia="zh-CN" w:bidi="ar"/>
              </w:rPr>
              <w:t xml:space="preserve">1、名称：室内全彩屏基础及支架</w:t>
            </w:r>
            <w:r>
              <w:rPr>
                <w:rFonts w:hint="eastAsia" w:asciiTheme="minorEastAsia" w:hAnsiTheme="minorEastAsia" w:eastAsiaTheme="minorEastAsia" w:cstheme="minorEastAsia"/>
                <w:i w:val="0"/>
                <w:iCs w:val="0"/>
                <w:color w:val="000000"/>
                <w:sz w:val="20"/>
                <w:szCs w:val="20"/>
                <w:u w:val="none"/>
                <w:lang w:val="en-US" w:eastAsia="zh-CN" w:bidi="ar"/>
              </w:rPr>
              <w:br/>
            </w:r>
            <w:r>
              <w:rPr>
                <w:rFonts w:hint="eastAsia" w:asciiTheme="minorEastAsia" w:hAnsiTheme="minorEastAsia" w:eastAsiaTheme="minorEastAsia" w:cstheme="minorEastAsia"/>
                <w:i w:val="0"/>
                <w:iCs w:val="0"/>
                <w:color w:val="000000"/>
                <w:sz w:val="20"/>
                <w:szCs w:val="20"/>
                <w:u w:val="none"/>
                <w:lang w:val="en-US" w:eastAsia="zh-CN" w:bidi="ar"/>
              </w:rPr>
              <w:t xml:space="preserve">2、含电源适配器、配套电源线及网线                                                               背景墙采用固定方式，并出具效果图，屏体钢结构采用国标优质热镀锌方管，采用3不锈钢包边，整体效果需美观大方。钢架构件（含接合板）采用Q235B钢制作，结构用钢符合《GB700-88》规定的Q235要求，保证其抗拉强度、伸长率、屈服点，碳、硫、磷的极限含量；</w:t>
            </w:r>
            <w:r>
              <w:rPr>
                <w:rFonts w:hint="eastAsia" w:asciiTheme="minorEastAsia" w:hAnsiTheme="minorEastAsia" w:eastAsiaTheme="minorEastAsia" w:cstheme="minorEastAsia"/>
                <w:i w:val="0"/>
                <w:iCs w:val="0"/>
                <w:color w:val="000000"/>
                <w:sz w:val="20"/>
                <w:szCs w:val="20"/>
                <w:u w:val="none"/>
                <w:lang w:val="en-US" w:eastAsia="zh-CN" w:bidi="ar"/>
              </w:rPr>
              <w:br/>
            </w:r>
            <w:r>
              <w:rPr>
                <w:rFonts w:hint="eastAsia" w:asciiTheme="minorEastAsia" w:hAnsiTheme="minorEastAsia" w:eastAsiaTheme="minorEastAsia" w:cstheme="minorEastAsia"/>
                <w:i w:val="0"/>
                <w:iCs w:val="0"/>
                <w:color w:val="000000"/>
                <w:sz w:val="20"/>
                <w:szCs w:val="20"/>
                <w:u w:val="none"/>
                <w:lang w:val="en-US" w:eastAsia="zh-CN" w:bidi="ar"/>
              </w:rPr>
              <w:t xml:space="preserve">手工焊：Q235连接用E43系列焊条；</w:t>
            </w:r>
            <w:r>
              <w:rPr>
                <w:rFonts w:hint="eastAsia" w:asciiTheme="minorEastAsia" w:hAnsiTheme="minorEastAsia" w:eastAsiaTheme="minorEastAsia" w:cstheme="minorEastAsia"/>
                <w:i w:val="0"/>
                <w:iCs w:val="0"/>
                <w:color w:val="000000"/>
                <w:sz w:val="20"/>
                <w:szCs w:val="20"/>
                <w:u w:val="none"/>
                <w:lang w:val="en-US" w:eastAsia="zh-CN" w:bidi="ar"/>
              </w:rPr>
              <w:br/>
            </w:r>
            <w:r>
              <w:rPr>
                <w:rFonts w:hint="eastAsia" w:asciiTheme="minorEastAsia" w:hAnsiTheme="minorEastAsia" w:eastAsiaTheme="minorEastAsia" w:cstheme="minorEastAsia"/>
                <w:i w:val="0"/>
                <w:iCs w:val="0"/>
                <w:color w:val="000000"/>
                <w:sz w:val="20"/>
                <w:szCs w:val="20"/>
                <w:u w:val="none"/>
                <w:lang w:val="en-US" w:eastAsia="zh-CN" w:bidi="ar"/>
              </w:rPr>
              <w:t xml:space="preserve">自动焊：Q235连接用H08系列焊条；</w:t>
            </w:r>
            <w:r>
              <w:rPr>
                <w:rFonts w:hint="eastAsia" w:asciiTheme="minorEastAsia" w:hAnsiTheme="minorEastAsia" w:eastAsiaTheme="minorEastAsia" w:cstheme="minorEastAsia"/>
                <w:i w:val="0"/>
                <w:iCs w:val="0"/>
                <w:color w:val="000000"/>
                <w:sz w:val="20"/>
                <w:szCs w:val="20"/>
                <w:u w:val="none"/>
                <w:lang w:val="en-US" w:eastAsia="zh-CN" w:bidi="ar"/>
              </w:rPr>
              <w:br/>
            </w:r>
            <w:r>
              <w:rPr>
                <w:rFonts w:hint="eastAsia" w:asciiTheme="minorEastAsia" w:hAnsiTheme="minorEastAsia" w:eastAsiaTheme="minorEastAsia" w:cstheme="minorEastAsia"/>
                <w:i w:val="0"/>
                <w:iCs w:val="0"/>
                <w:color w:val="000000"/>
                <w:sz w:val="20"/>
                <w:szCs w:val="20"/>
                <w:u w:val="none"/>
                <w:lang w:val="en-US" w:eastAsia="zh-CN" w:bidi="ar"/>
              </w:rPr>
              <w:t xml:space="preserve">包边：采用304不锈钢包边，宽度包边≥2cm，高度包边≥2cm。</w:t>
            </w:r>
            <w:r/>
          </w:p>
        </w:tc>
        <w:tc>
          <w:tcPr>
            <w:shd w:val="clear" w:color="auto" w:fill="auto"/>
            <w:tcW w:w="982"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lang w:val="en-US" w:eastAsia="zh-CN" w:bidi="ar"/>
              </w:rPr>
              <w:t xml:space="preserve">套</w:t>
            </w:r>
            <w:r/>
          </w:p>
        </w:tc>
        <w:tc>
          <w:tcPr>
            <w:shd w:val="clear" w:color="auto" w:fill="auto"/>
            <w:tcW w:w="971"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lang w:val="en-US" w:eastAsia="zh-CN" w:bidi="ar"/>
              </w:rPr>
              <w:t xml:space="preserve">1.00 </w:t>
            </w:r>
            <w:r/>
          </w:p>
        </w:tc>
      </w:tr>
      <w:tr>
        <w:trPr>
          <w:trHeight w:val="1819"/>
        </w:trPr>
        <w:tc>
          <w:tcPr>
            <w:shd w:val="clear" w:color="auto" w:fill="auto"/>
            <w:tcW w:w="749"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lang w:val="en-US" w:eastAsia="zh-CN" w:bidi="ar"/>
              </w:rPr>
              <w:t xml:space="preserve">32</w:t>
            </w:r>
            <w:r/>
          </w:p>
        </w:tc>
        <w:tc>
          <w:tcPr>
            <w:shd w:val="clear" w:color="auto" w:fill="auto"/>
            <w:tcW w:w="1344"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lang w:val="en-US" w:eastAsia="zh-CN" w:bidi="ar"/>
              </w:rPr>
              <w:t xml:space="preserve">播控设备安装、调试2</w:t>
            </w:r>
            <w:r/>
          </w:p>
        </w:tc>
        <w:tc>
          <w:tcPr>
            <w:shd w:val="clear" w:color="auto" w:fill="auto"/>
            <w:tcW w:w="4751"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lang w:val="en-US" w:eastAsia="zh-CN" w:bidi="ar"/>
              </w:rPr>
              <w:t xml:space="preserve">1、展馆播控设备安装调试需适配展品展示、多区域联动需求，流程如下：前期勘察展馆布局，确定播控主机、信号分配器、投影机等设备点位，预留强弱电接口与信号传输链路；安装时固定设备机柜，规范布设线缆并做标识，确保与展项显示屏、互动装置精准对接。调试阶段先检测设备通电与信号连通性，再校准画面分辨率、色彩一致性，设置分区域播控预案（如定时切换展品介绍视频、触发式互动画面）；最后测试应急切换功能，确保断网、设备故障时能快速切换备用信号。整体需保障播控系统稳定运行，满足展馆沉浸式、不间断展示需求。</w:t>
            </w:r>
            <w:r/>
          </w:p>
        </w:tc>
        <w:tc>
          <w:tcPr>
            <w:shd w:val="clear" w:color="auto" w:fill="auto"/>
            <w:tcW w:w="982"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lang w:val="en-US" w:eastAsia="zh-CN" w:bidi="ar"/>
              </w:rPr>
              <w:t xml:space="preserve">台</w:t>
            </w:r>
            <w:r/>
          </w:p>
        </w:tc>
        <w:tc>
          <w:tcPr>
            <w:shd w:val="clear" w:color="auto" w:fill="auto"/>
            <w:tcW w:w="971"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lang w:val="en-US" w:eastAsia="zh-CN" w:bidi="ar"/>
              </w:rPr>
              <w:t xml:space="preserve">1.00 </w:t>
            </w:r>
            <w:r/>
          </w:p>
        </w:tc>
      </w:tr>
      <w:tr>
        <w:trPr>
          <w:trHeight w:val="90"/>
        </w:trPr>
        <w:tc>
          <w:tcPr>
            <w:shd w:val="clear" w:color="auto" w:fill="auto"/>
            <w:tcW w:w="749"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lang w:val="en-US" w:eastAsia="zh-CN" w:bidi="ar"/>
              </w:rPr>
              <w:t xml:space="preserve">33</w:t>
            </w:r>
            <w:r/>
          </w:p>
        </w:tc>
        <w:tc>
          <w:tcPr>
            <w:shd w:val="clear" w:color="auto" w:fill="auto"/>
            <w:tcW w:w="1344"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lang w:val="en-US" w:eastAsia="zh-CN" w:bidi="ar"/>
              </w:rPr>
              <w:t xml:space="preserve">扩声系统设备3</w:t>
            </w:r>
            <w:r/>
          </w:p>
        </w:tc>
        <w:tc>
          <w:tcPr>
            <w:shd w:val="clear" w:color="auto" w:fill="auto"/>
            <w:tcW w:w="4751"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lang w:val="en-US" w:eastAsia="zh-CN" w:bidi="ar"/>
              </w:rPr>
              <w:t xml:space="preserve">1、名称：吸顶音响、名称：吸顶音响、4×10"中低频驱动单元；</w:t>
            </w:r>
            <w:r>
              <w:rPr>
                <w:rFonts w:hint="eastAsia" w:asciiTheme="minorEastAsia" w:hAnsiTheme="minorEastAsia" w:eastAsiaTheme="minorEastAsia" w:cstheme="minorEastAsia"/>
                <w:i w:val="0"/>
                <w:iCs w:val="0"/>
                <w:color w:val="000000"/>
                <w:sz w:val="20"/>
                <w:szCs w:val="20"/>
                <w:u w:val="none"/>
                <w:lang w:val="en-US" w:eastAsia="zh-CN" w:bidi="ar"/>
              </w:rPr>
              <w:br/>
            </w:r>
            <w:r>
              <w:rPr>
                <w:rFonts w:hint="eastAsia" w:asciiTheme="minorEastAsia" w:hAnsiTheme="minorEastAsia" w:eastAsiaTheme="minorEastAsia" w:cstheme="minorEastAsia"/>
                <w:i w:val="0"/>
                <w:iCs w:val="0"/>
                <w:color w:val="000000"/>
                <w:sz w:val="20"/>
                <w:szCs w:val="20"/>
                <w:u w:val="none"/>
                <w:lang w:val="en-US" w:eastAsia="zh-CN" w:bidi="ar"/>
              </w:rPr>
              <w:t xml:space="preserve">2、4×3"中高频驱动单元；</w:t>
            </w:r>
            <w:r>
              <w:rPr>
                <w:rFonts w:hint="eastAsia" w:asciiTheme="minorEastAsia" w:hAnsiTheme="minorEastAsia" w:eastAsiaTheme="minorEastAsia" w:cstheme="minorEastAsia"/>
                <w:i w:val="0"/>
                <w:iCs w:val="0"/>
                <w:color w:val="000000"/>
                <w:sz w:val="20"/>
                <w:szCs w:val="20"/>
                <w:u w:val="none"/>
                <w:lang w:val="en-US" w:eastAsia="zh-CN" w:bidi="ar"/>
              </w:rPr>
              <w:br/>
            </w:r>
            <w:r>
              <w:rPr>
                <w:rFonts w:hint="eastAsia" w:asciiTheme="minorEastAsia" w:hAnsiTheme="minorEastAsia" w:eastAsiaTheme="minorEastAsia" w:cstheme="minorEastAsia"/>
                <w:i w:val="0"/>
                <w:iCs w:val="0"/>
                <w:color w:val="000000"/>
                <w:sz w:val="20"/>
                <w:szCs w:val="20"/>
                <w:u w:val="none"/>
                <w:lang w:val="en-US" w:eastAsia="zh-CN" w:bidi="ar"/>
              </w:rPr>
              <w:t xml:space="preserve">3、★额定功率不小于LF：1200W；MHF：400W/LF: 8Ω   MHF: 8Ω  </w:t>
            </w:r>
            <w:r>
              <w:rPr>
                <w:rFonts w:hint="eastAsia" w:asciiTheme="minorEastAsia" w:hAnsiTheme="minorEastAsia" w:eastAsiaTheme="minorEastAsia" w:cstheme="minorEastAsia"/>
                <w:i w:val="0"/>
                <w:iCs w:val="0"/>
                <w:color w:val="000000"/>
                <w:sz w:val="20"/>
                <w:szCs w:val="20"/>
                <w:u w:val="none"/>
                <w:lang w:val="en-US" w:eastAsia="zh-CN" w:bidi="ar"/>
              </w:rPr>
              <w:br/>
            </w:r>
            <w:r>
              <w:rPr>
                <w:rFonts w:hint="eastAsia" w:asciiTheme="minorEastAsia" w:hAnsiTheme="minorEastAsia" w:eastAsiaTheme="minorEastAsia" w:cstheme="minorEastAsia"/>
                <w:i w:val="0"/>
                <w:iCs w:val="0"/>
                <w:color w:val="000000"/>
                <w:sz w:val="20"/>
                <w:szCs w:val="20"/>
                <w:u w:val="none"/>
                <w:lang w:val="en-US" w:eastAsia="zh-CN" w:bidi="ar"/>
              </w:rPr>
              <w:t xml:space="preserve">4、特性灵敏度不小于LF:102dB；MHF:110dB/W/m（有效频率带通平均）</w:t>
            </w:r>
            <w:r>
              <w:rPr>
                <w:rFonts w:hint="eastAsia" w:asciiTheme="minorEastAsia" w:hAnsiTheme="minorEastAsia" w:eastAsiaTheme="minorEastAsia" w:cstheme="minorEastAsia"/>
                <w:i w:val="0"/>
                <w:iCs w:val="0"/>
                <w:color w:val="000000"/>
                <w:sz w:val="20"/>
                <w:szCs w:val="20"/>
                <w:u w:val="none"/>
                <w:lang w:val="en-US" w:eastAsia="zh-CN" w:bidi="ar"/>
              </w:rPr>
              <w:br/>
            </w:r>
            <w:r>
              <w:rPr>
                <w:rFonts w:hint="eastAsia" w:asciiTheme="minorEastAsia" w:hAnsiTheme="minorEastAsia" w:eastAsiaTheme="minorEastAsia" w:cstheme="minorEastAsia"/>
                <w:i w:val="0"/>
                <w:iCs w:val="0"/>
                <w:color w:val="000000"/>
                <w:sz w:val="20"/>
                <w:szCs w:val="20"/>
                <w:u w:val="none"/>
                <w:lang w:val="en-US" w:eastAsia="zh-CN" w:bidi="ar"/>
              </w:rPr>
              <w:t xml:space="preserve">5、连续声压级不小于LF:133dB；MHF:136dB ；</w:t>
            </w:r>
            <w:r>
              <w:rPr>
                <w:rFonts w:hint="eastAsia" w:asciiTheme="minorEastAsia" w:hAnsiTheme="minorEastAsia" w:eastAsiaTheme="minorEastAsia" w:cstheme="minorEastAsia"/>
                <w:i w:val="0"/>
                <w:iCs w:val="0"/>
                <w:color w:val="000000"/>
                <w:sz w:val="20"/>
                <w:szCs w:val="20"/>
                <w:u w:val="none"/>
                <w:lang w:val="en-US" w:eastAsia="zh-CN" w:bidi="ar"/>
              </w:rPr>
              <w:br/>
            </w:r>
            <w:r>
              <w:rPr>
                <w:rFonts w:hint="eastAsia" w:asciiTheme="minorEastAsia" w:hAnsiTheme="minorEastAsia" w:eastAsiaTheme="minorEastAsia" w:cstheme="minorEastAsia"/>
                <w:i w:val="0"/>
                <w:iCs w:val="0"/>
                <w:color w:val="000000"/>
                <w:sz w:val="20"/>
                <w:szCs w:val="20"/>
                <w:u w:val="none"/>
                <w:lang w:val="en-US" w:eastAsia="zh-CN" w:bidi="ar"/>
              </w:rPr>
              <w:t xml:space="preserve">6、峰值声压级不小于LF:139dB；MHF:136dB ；</w:t>
            </w:r>
            <w:r>
              <w:rPr>
                <w:rFonts w:hint="eastAsia" w:asciiTheme="minorEastAsia" w:hAnsiTheme="minorEastAsia" w:eastAsiaTheme="minorEastAsia" w:cstheme="minorEastAsia"/>
                <w:i w:val="0"/>
                <w:iCs w:val="0"/>
                <w:color w:val="000000"/>
                <w:sz w:val="20"/>
                <w:szCs w:val="20"/>
                <w:u w:val="none"/>
                <w:lang w:val="en-US" w:eastAsia="zh-CN" w:bidi="ar"/>
              </w:rPr>
              <w:br/>
            </w:r>
            <w:r>
              <w:rPr>
                <w:rFonts w:hint="eastAsia" w:asciiTheme="minorEastAsia" w:hAnsiTheme="minorEastAsia" w:eastAsiaTheme="minorEastAsia" w:cstheme="minorEastAsia"/>
                <w:i w:val="0"/>
                <w:iCs w:val="0"/>
                <w:color w:val="000000"/>
                <w:sz w:val="20"/>
                <w:szCs w:val="20"/>
                <w:u w:val="none"/>
                <w:lang w:val="en-US" w:eastAsia="zh-CN" w:bidi="ar"/>
              </w:rPr>
              <w:t xml:space="preserve">7、低频截止频率不高于：60Hz；高频截止频率不低于：18KHz</w:t>
            </w:r>
            <w:r>
              <w:rPr>
                <w:rFonts w:hint="eastAsia" w:asciiTheme="minorEastAsia" w:hAnsiTheme="minorEastAsia" w:eastAsiaTheme="minorEastAsia" w:cstheme="minorEastAsia"/>
                <w:i w:val="0"/>
                <w:iCs w:val="0"/>
                <w:color w:val="000000"/>
                <w:sz w:val="20"/>
                <w:szCs w:val="20"/>
                <w:u w:val="none"/>
                <w:lang w:val="en-US" w:eastAsia="zh-CN" w:bidi="ar"/>
              </w:rPr>
              <w:br/>
            </w:r>
            <w:r>
              <w:rPr>
                <w:rFonts w:hint="eastAsia" w:asciiTheme="minorEastAsia" w:hAnsiTheme="minorEastAsia" w:eastAsiaTheme="minorEastAsia" w:cstheme="minorEastAsia"/>
                <w:i w:val="0"/>
                <w:iCs w:val="0"/>
                <w:color w:val="000000"/>
                <w:sz w:val="20"/>
                <w:szCs w:val="20"/>
                <w:u w:val="none"/>
                <w:lang w:val="en-US" w:eastAsia="zh-CN" w:bidi="ar"/>
              </w:rPr>
              <w:t xml:space="preserve">8、覆盖角度： 90ºH  × 50ºV（恒定曲率）；</w:t>
            </w:r>
            <w:r/>
          </w:p>
        </w:tc>
        <w:tc>
          <w:tcPr>
            <w:shd w:val="clear" w:color="auto" w:fill="auto"/>
            <w:tcW w:w="982"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lang w:val="en-US" w:eastAsia="zh-CN" w:bidi="ar"/>
              </w:rPr>
              <w:t xml:space="preserve">台</w:t>
            </w:r>
            <w:r/>
          </w:p>
        </w:tc>
        <w:tc>
          <w:tcPr>
            <w:shd w:val="clear" w:color="auto" w:fill="auto"/>
            <w:tcW w:w="971"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lang w:val="en-US" w:eastAsia="zh-CN" w:bidi="ar"/>
              </w:rPr>
              <w:t xml:space="preserve">2.00 </w:t>
            </w:r>
            <w:r/>
          </w:p>
        </w:tc>
      </w:tr>
      <w:tr>
        <w:trPr>
          <w:trHeight w:val="90"/>
        </w:trPr>
        <w:tc>
          <w:tcPr>
            <w:shd w:val="clear" w:color="auto" w:fill="auto"/>
            <w:tcW w:w="749"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34</w:t>
            </w:r>
            <w:r/>
          </w:p>
        </w:tc>
        <w:tc>
          <w:tcPr>
            <w:shd w:val="clear" w:color="auto" w:fill="auto"/>
            <w:tcW w:w="1344"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扩声系统设备4</w:t>
            </w:r>
            <w:r/>
          </w:p>
        </w:tc>
        <w:tc>
          <w:tcPr>
            <w:shd w:val="clear" w:color="auto" w:fill="auto"/>
            <w:tcW w:w="4751"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1、名称：功放</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2、规格：120W1、功放类型：CLASS D类 效率≥90%</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2、保护功能：电路通断识别、数字短路保护、直流风机控制系统、宽电压自适应压缩、动态限幅保护，开机软启动延时静噪。</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3、功放增益：32/35/38/41dB(可选择）；</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4、输出功率（RMS）：2×1500W/8Ω，2×2550W/4Ω，2×3570W/2Ω，桥接1×5100W/8Ω；</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5、RMS输出电压(THD=1%,1kHz)≥109V</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6、总谐波失真：0.05%</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7、频率响应：20Hz-20kHz（±0.3dB）</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8、信噪比≥105dB(A记权，20Hz~20kHz)</w:t>
            </w:r>
            <w:r/>
          </w:p>
        </w:tc>
        <w:tc>
          <w:tcPr>
            <w:shd w:val="clear" w:color="auto" w:fill="auto"/>
            <w:tcW w:w="982"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W w:w="971"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1.00 </w:t>
            </w:r>
            <w:r/>
          </w:p>
        </w:tc>
      </w:tr>
      <w:tr>
        <w:trPr>
          <w:trHeight w:val="90"/>
        </w:trPr>
        <w:tc>
          <w:tcPr>
            <w:shd w:val="clear" w:color="auto" w:fill="auto"/>
            <w:tcW w:w="749"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35</w:t>
            </w:r>
            <w:r/>
          </w:p>
        </w:tc>
        <w:tc>
          <w:tcPr>
            <w:shd w:val="clear" w:color="auto" w:fill="auto"/>
            <w:tcW w:w="1344"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显示设备3</w:t>
            </w:r>
            <w:r/>
          </w:p>
        </w:tc>
        <w:tc>
          <w:tcPr>
            <w:shd w:val="clear" w:color="auto" w:fill="auto"/>
            <w:tcW w:w="4751"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1、名称：广告机查询屏2、规格：  55寸触摸一体机（红外）S-553、含液压支架 显示参数</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参数项 具体数值屏幕尺寸 55 英寸，16:9 显示比例，可视面积约 1209mm×680mm分辨率 1920×1080 全高清，部分高配版本支持 4K 显示核心显示性能 亮度 400 - 500cd/㎡，对比度 2000:1 - 4000:1，色彩数 16.7M，还原真实色彩防护与响应 配备 4mm 防眩光钢化玻璃，抗强光干扰；响应时间 5 - 8ms，无画面拖影，支持 7×24 小时不间断工作触控与系统参数触控性能：采用红外触控技术，支持 10 点触控，定位精度 ±2mm，</w:t>
            </w:r>
            <w:r>
              <w:rPr>
                <w:rFonts w:hint="eastAsia" w:ascii="宋体" w:hAnsi="宋体" w:eastAsia="宋体" w:cs="宋体"/>
                <w:i w:val="0"/>
                <w:iCs w:val="0"/>
                <w:color w:val="000000"/>
                <w:sz w:val="20"/>
                <w:szCs w:val="20"/>
                <w:u w:val="none"/>
                <w:lang w:val="en-US" w:eastAsia="zh-CN" w:bidi="ar"/>
              </w:rPr>
              <w:t xml:space="preserve">触摸寿命可达 6000 万次以上，可通过手指、触摸笔等非透明物体操作，支持缩放、拖拽等手势。配置与系统：搭载 Intel Core i3/i5 可选处理器，搭配 4GB DDR3 内存与 120 - 128GB 固态硬盘；兼容 Windows7/10 或 Android 系统，免驱触控设计，接入后可自动识别。接口与外观参数接口类型：标配 HDMI×2、VGA×1、USB2.0/3.0 共 3 - 4 个、RJ45 网络接口，部分机型含 S/PDIF 音频输出、MIC 输入接口，满足音视频外接与网络连接需求。</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外观尺寸：机身多为铝合金窄边框设计，整体尺寸约 1285mm×756mm×87mm，净重 20 - 30kg，适配常规支架安装孔位。其他性能：内置 2×15W 立体环绕音箱，支持有线与无线 WIFI 连接；采用全金属机壳，具备防静电、防磁场干扰特性，工作温度范围 0 - 50℃。</w:t>
            </w:r>
            <w:r/>
          </w:p>
        </w:tc>
        <w:tc>
          <w:tcPr>
            <w:shd w:val="clear" w:color="auto" w:fill="auto"/>
            <w:tcW w:w="982"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W w:w="971"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6.00 </w:t>
            </w:r>
            <w:r/>
          </w:p>
        </w:tc>
      </w:tr>
      <w:tr>
        <w:trPr>
          <w:trHeight w:val="90"/>
        </w:trPr>
        <w:tc>
          <w:tcPr>
            <w:shd w:val="clear" w:color="auto" w:fill="auto"/>
            <w:tcW w:w="749"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36</w:t>
            </w:r>
            <w:r/>
          </w:p>
        </w:tc>
        <w:tc>
          <w:tcPr>
            <w:shd w:val="clear" w:color="auto" w:fill="auto"/>
            <w:tcW w:w="1344"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显示设备4</w:t>
            </w:r>
            <w:r/>
          </w:p>
        </w:tc>
        <w:tc>
          <w:tcPr>
            <w:shd w:val="clear" w:color="auto" w:fill="auto"/>
            <w:tcW w:w="4751"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1、名称：广告机2、含支架 核心显示参数参数项 常规数值面板类型 多为 TFT - LED 面板，室内款常配钢化玻璃镜面，户外款多采用 6mm AR 夹胶玻璃显示规格 16:9 显示比例，可视面积约 1217 - 1218mm×684 - 685mm分辨率 主流为 1920×1080 全高清，部分高端款可选 4K 分辨率关键显示性能 室内款亮度多为 400 - 800cd/㎡；户外款亮度达 2000 - 3000cd/㎡，且带自动亮度调节。对比度普遍在</w:t>
            </w:r>
            <w:r>
              <w:rPr>
                <w:rFonts w:hint="eastAsia" w:ascii="宋体" w:hAnsi="宋体" w:eastAsia="宋体" w:cs="宋体"/>
                <w:i w:val="0"/>
                <w:iCs w:val="0"/>
                <w:color w:val="000000"/>
                <w:sz w:val="20"/>
                <w:szCs w:val="20"/>
                <w:u w:val="none"/>
                <w:lang w:val="en-US" w:eastAsia="zh-CN" w:bidi="ar"/>
              </w:rPr>
              <w:t xml:space="preserve"> 1500:1 - 3000:1，响应时间 6ms 左右，画面无拖影使用寿命 系统与配置参数处理器与系统：室内款常用瑞芯微 3288 等芯片；户外款多搭载 T972/RK3568/RK3588 等工业级处理器。系统可选 Android 6.0 - 11，也有适配 Windows 系统的机型，适配单机版或网络版使用需求。存储与内存：安卓机型内存多为 2G/4G/8G 可选，存储容量 8G - 128G；Windows 机型内存可至 16G，存储多为 128G - 500G，能流畅加载高清视频、多图文组合内容。</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接口与防护参数接口配置：标配 USB2.0/3.0、HDMI、RJ45 网络接口，部分机型支持 SD 卡读取，满足本地素材导入和远程内容更新需求，户外高端款还可选配 4G 模块接口。</w:t>
            </w:r>
            <w:r/>
          </w:p>
        </w:tc>
        <w:tc>
          <w:tcPr>
            <w:shd w:val="clear" w:color="auto" w:fill="auto"/>
            <w:tcW w:w="982"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W w:w="971"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2.00 </w:t>
            </w:r>
            <w:r/>
          </w:p>
        </w:tc>
      </w:tr>
      <w:tr>
        <w:trPr>
          <w:trHeight w:val="90"/>
        </w:trPr>
        <w:tc>
          <w:tcPr>
            <w:shd w:val="clear" w:color="auto" w:fill="auto"/>
            <w:tcW w:w="749"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37</w:t>
            </w:r>
            <w:r/>
          </w:p>
        </w:tc>
        <w:tc>
          <w:tcPr>
            <w:shd w:val="clear" w:color="auto" w:fill="auto"/>
            <w:tcW w:w="1344"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显示设备5</w:t>
            </w:r>
            <w:r/>
          </w:p>
        </w:tc>
        <w:tc>
          <w:tcPr>
            <w:shd w:val="clear" w:color="auto" w:fill="auto"/>
            <w:tcW w:w="4751"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高端室内场景的全彩LED显示模组，以“超高清细腻、广色域呈现、灵活安装”为核心优势，适配精品展厅、高端会议室及品牌形象墙等需求，参数设计兼顾专业画质与实用性能，以下为核心配置。</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一、核心显示参数</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像素间距1.53mm，物理分辨率达653×653点/㎡，单模组尺寸320×180mm，通过标准化拼接可实现超大尺寸无缝显示。采用16bit灰度等级，搭配新一代PWM-SS Pro驱动技术，画面暗部细节丰富，动态显示无拖影、无残影。刷新率≥5000Hz，完全规避摄影、直播时的频闪问题，适配专业影像记录场景。</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对比度≥6000:1，亮度均匀性＞97%，白平衡亮度≥550cd/㎡且支持0-100%无级调节，适配不同光照环境。覆盖110% DCI-P3广色域，色温支持5000K-18000K宽范围调节，色彩还原误差≤2%，能精准呈现艺术品、高清影像的真实质感。</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二、结构与运行参数</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采用超薄柔性设计，模组厚度仅6.8mm，重量0.45kg，支持±8°弧形及不规则造型拼接，满足创意展陈需求。配备磁吸+卡扣双重固定结构，安装快捷，整屏平整度误差≤0.05mm。PCB板阻燃等级V0级，工作电压DC 5V，平均功耗低至110W/㎡，工作温度-15℃-45℃，平均无故障时间≥12万小时，保障稳定运行。</w:t>
            </w:r>
            <w:r/>
          </w:p>
        </w:tc>
        <w:tc>
          <w:tcPr>
            <w:shd w:val="clear" w:color="auto" w:fill="auto"/>
            <w:tcW w:w="982"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m2</w:t>
            </w:r>
            <w:r/>
          </w:p>
        </w:tc>
        <w:tc>
          <w:tcPr>
            <w:shd w:val="clear" w:color="auto" w:fill="auto"/>
            <w:tcW w:w="971"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4.92 </w:t>
            </w:r>
            <w:r/>
          </w:p>
        </w:tc>
      </w:tr>
      <w:tr>
        <w:trPr>
          <w:trHeight w:val="90"/>
        </w:trPr>
        <w:tc>
          <w:tcPr>
            <w:shd w:val="clear" w:color="auto" w:fill="auto"/>
            <w:tcW w:w="749"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38</w:t>
            </w:r>
            <w:r/>
          </w:p>
        </w:tc>
        <w:tc>
          <w:tcPr>
            <w:shd w:val="clear" w:color="auto" w:fill="auto"/>
            <w:tcW w:w="1344"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接口卡3</w:t>
            </w:r>
            <w:r/>
          </w:p>
        </w:tc>
        <w:tc>
          <w:tcPr>
            <w:shd w:val="clear" w:color="auto" w:fill="auto"/>
            <w:tcW w:w="4751"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核心处理参数</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支持最大分辨率1024×512像素，单卡可驱动8个S1.81模组（320×180mm），适配2×4或4×2的常规拼接组合。采用16bit数据处理芯片，兼容S1.81的14bit灰度等级，实现色彩精准还原。支持4K@60Hz信号输入，配合帧同步技术，多卡联动时画面无撕裂，适配展厅大尺寸拼接需求。</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二、驱动与信号参数</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输出灰度时钟最高40MHz，支持PWM-SS驱动模式，与S1.81的节能IC完美适配，降低整体功耗。配备8组RGB数据接口，支持恒流驱动输出，电流调节精度达1mA，保障模组亮度均匀。信号传输支持千兆网口级联，传输距离≤100米，也可搭配光纤模块延长至10公里，适配展厅复杂布线。</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三、智能与运行参数</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支持Web远程配置与监控，实时反馈电压、温度及模组状态，故障报警响应时间≤1秒。具备逐点校正功能，可修正S1.81的色彩偏差，提升整屏一致性。工作电压DC 5V，功耗≤5W，采用无风扇静音设计，适应展厅安静环境。工作温度-20℃-60℃，湿度10%-90%无结露，平均无故障时间≥8万小时，与S1.81协同保障长期稳定运行。</w:t>
            </w:r>
            <w:r/>
          </w:p>
        </w:tc>
        <w:tc>
          <w:tcPr>
            <w:shd w:val="clear" w:color="auto" w:fill="auto"/>
            <w:tcW w:w="982"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台(套</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w:t>
            </w:r>
            <w:r/>
          </w:p>
        </w:tc>
        <w:tc>
          <w:tcPr>
            <w:shd w:val="clear" w:color="auto" w:fill="auto"/>
            <w:tcW w:w="971"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12.00 </w:t>
            </w:r>
            <w:r/>
          </w:p>
        </w:tc>
      </w:tr>
      <w:tr>
        <w:trPr>
          <w:trHeight w:val="1984"/>
        </w:trPr>
        <w:tc>
          <w:tcPr>
            <w:shd w:val="clear" w:color="auto" w:fill="auto"/>
            <w:tcW w:w="749"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lang w:val="en-US" w:eastAsia="zh-CN" w:bidi="ar"/>
              </w:rPr>
              <w:t xml:space="preserve">3</w:t>
            </w:r>
            <w:r>
              <w:rPr>
                <w:rFonts w:hint="eastAsia" w:asciiTheme="minorEastAsia" w:hAnsiTheme="minorEastAsia" w:cstheme="minorEastAsia"/>
                <w:i w:val="0"/>
                <w:iCs w:val="0"/>
                <w:color w:val="000000"/>
                <w:sz w:val="20"/>
                <w:szCs w:val="20"/>
                <w:u w:val="none"/>
                <w:lang w:val="en-US" w:eastAsia="zh-CN" w:bidi="ar"/>
              </w:rPr>
              <w:t xml:space="preserve">9</w:t>
            </w:r>
            <w:r/>
          </w:p>
        </w:tc>
        <w:tc>
          <w:tcPr>
            <w:shd w:val="clear" w:color="auto" w:fill="auto"/>
            <w:tcW w:w="1344"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lang w:val="en-US" w:eastAsia="zh-CN" w:bidi="ar"/>
              </w:rPr>
              <w:t xml:space="preserve">室内全彩屏基</w:t>
            </w:r>
            <w:r>
              <w:rPr>
                <w:rFonts w:hint="eastAsia" w:asciiTheme="minorEastAsia" w:hAnsiTheme="minorEastAsia" w:eastAsiaTheme="minorEastAsia" w:cstheme="minorEastAsia"/>
                <w:i w:val="0"/>
                <w:iCs w:val="0"/>
                <w:color w:val="000000"/>
                <w:sz w:val="20"/>
                <w:szCs w:val="20"/>
                <w:u w:val="none"/>
                <w:lang w:val="en-US" w:eastAsia="zh-CN" w:bidi="ar"/>
              </w:rPr>
              <w:br/>
            </w:r>
            <w:r>
              <w:rPr>
                <w:rFonts w:hint="eastAsia" w:asciiTheme="minorEastAsia" w:hAnsiTheme="minorEastAsia" w:eastAsiaTheme="minorEastAsia" w:cstheme="minorEastAsia"/>
                <w:i w:val="0"/>
                <w:iCs w:val="0"/>
                <w:color w:val="000000"/>
                <w:sz w:val="20"/>
                <w:szCs w:val="20"/>
                <w:u w:val="none"/>
                <w:lang w:val="en-US" w:eastAsia="zh-CN" w:bidi="ar"/>
              </w:rPr>
              <w:t xml:space="preserve">础及支架3</w:t>
            </w:r>
            <w:r/>
          </w:p>
        </w:tc>
        <w:tc>
          <w:tcPr>
            <w:shd w:val="clear" w:color="auto" w:fill="auto"/>
            <w:tcW w:w="4751"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lang w:val="en-US" w:eastAsia="zh-CN" w:bidi="ar"/>
              </w:rPr>
              <w:t xml:space="preserve">1、名称：室内全彩屏基础及支架</w:t>
            </w:r>
            <w:r>
              <w:rPr>
                <w:rFonts w:hint="eastAsia" w:asciiTheme="minorEastAsia" w:hAnsiTheme="minorEastAsia" w:eastAsiaTheme="minorEastAsia" w:cstheme="minorEastAsia"/>
                <w:i w:val="0"/>
                <w:iCs w:val="0"/>
                <w:color w:val="000000"/>
                <w:sz w:val="20"/>
                <w:szCs w:val="20"/>
                <w:u w:val="none"/>
                <w:lang w:val="en-US" w:eastAsia="zh-CN" w:bidi="ar"/>
              </w:rPr>
              <w:br/>
            </w:r>
            <w:r>
              <w:rPr>
                <w:rFonts w:hint="eastAsia" w:asciiTheme="minorEastAsia" w:hAnsiTheme="minorEastAsia" w:eastAsiaTheme="minorEastAsia" w:cstheme="minorEastAsia"/>
                <w:i w:val="0"/>
                <w:iCs w:val="0"/>
                <w:color w:val="000000"/>
                <w:sz w:val="20"/>
                <w:szCs w:val="20"/>
                <w:u w:val="none"/>
                <w:lang w:val="en-US" w:eastAsia="zh-CN" w:bidi="ar"/>
              </w:rPr>
              <w:t xml:space="preserve">2、含电源适配器、配套电源线及网线                                                               背景墙采用固定方式，并出具效果图，屏体钢结构采用国标优质热镀锌方管，采用不锈钢包边，整体效果需美观大方。钢架构件（含接合板）采用Q235B钢制作，结构用钢符合《GB700-88》规定的Q235要求，保证其抗拉强度、伸长率、屈服点，碳、硫、磷的极限含量；</w:t>
            </w:r>
            <w:r>
              <w:rPr>
                <w:rFonts w:hint="eastAsia" w:asciiTheme="minorEastAsia" w:hAnsiTheme="minorEastAsia" w:eastAsiaTheme="minorEastAsia" w:cstheme="minorEastAsia"/>
                <w:i w:val="0"/>
                <w:iCs w:val="0"/>
                <w:color w:val="000000"/>
                <w:sz w:val="20"/>
                <w:szCs w:val="20"/>
                <w:u w:val="none"/>
                <w:lang w:val="en-US" w:eastAsia="zh-CN" w:bidi="ar"/>
              </w:rPr>
              <w:br/>
            </w:r>
            <w:r>
              <w:rPr>
                <w:rFonts w:hint="eastAsia" w:asciiTheme="minorEastAsia" w:hAnsiTheme="minorEastAsia" w:eastAsiaTheme="minorEastAsia" w:cstheme="minorEastAsia"/>
                <w:i w:val="0"/>
                <w:iCs w:val="0"/>
                <w:color w:val="000000"/>
                <w:sz w:val="20"/>
                <w:szCs w:val="20"/>
                <w:u w:val="none"/>
                <w:lang w:val="en-US" w:eastAsia="zh-CN" w:bidi="ar"/>
              </w:rPr>
              <w:t xml:space="preserve">手工焊：Q235连接用E43系列焊条；</w:t>
            </w:r>
            <w:r>
              <w:rPr>
                <w:rFonts w:hint="eastAsia" w:asciiTheme="minorEastAsia" w:hAnsiTheme="minorEastAsia" w:eastAsiaTheme="minorEastAsia" w:cstheme="minorEastAsia"/>
                <w:i w:val="0"/>
                <w:iCs w:val="0"/>
                <w:color w:val="000000"/>
                <w:sz w:val="20"/>
                <w:szCs w:val="20"/>
                <w:u w:val="none"/>
                <w:lang w:val="en-US" w:eastAsia="zh-CN" w:bidi="ar"/>
              </w:rPr>
              <w:br/>
            </w:r>
            <w:r>
              <w:rPr>
                <w:rFonts w:hint="eastAsia" w:asciiTheme="minorEastAsia" w:hAnsiTheme="minorEastAsia" w:eastAsiaTheme="minorEastAsia" w:cstheme="minorEastAsia"/>
                <w:i w:val="0"/>
                <w:iCs w:val="0"/>
                <w:color w:val="000000"/>
                <w:sz w:val="20"/>
                <w:szCs w:val="20"/>
                <w:u w:val="none"/>
                <w:lang w:val="en-US" w:eastAsia="zh-CN" w:bidi="ar"/>
              </w:rPr>
              <w:t xml:space="preserve">自动焊：Q235连接用H08系列焊条；</w:t>
            </w:r>
            <w:r>
              <w:rPr>
                <w:rFonts w:hint="eastAsia" w:asciiTheme="minorEastAsia" w:hAnsiTheme="minorEastAsia" w:eastAsiaTheme="minorEastAsia" w:cstheme="minorEastAsia"/>
                <w:i w:val="0"/>
                <w:iCs w:val="0"/>
                <w:color w:val="000000"/>
                <w:sz w:val="20"/>
                <w:szCs w:val="20"/>
                <w:u w:val="none"/>
                <w:lang w:val="en-US" w:eastAsia="zh-CN" w:bidi="ar"/>
              </w:rPr>
              <w:br/>
            </w:r>
            <w:r>
              <w:rPr>
                <w:rFonts w:hint="eastAsia" w:asciiTheme="minorEastAsia" w:hAnsiTheme="minorEastAsia" w:eastAsiaTheme="minorEastAsia" w:cstheme="minorEastAsia"/>
                <w:i w:val="0"/>
                <w:iCs w:val="0"/>
                <w:color w:val="000000"/>
                <w:sz w:val="20"/>
                <w:szCs w:val="20"/>
                <w:u w:val="none"/>
                <w:lang w:val="en-US" w:eastAsia="zh-CN" w:bidi="ar"/>
              </w:rPr>
              <w:t xml:space="preserve">包边：采用304不锈钢包边，宽度包边≥2cm，高度包边≥2cm。</w:t>
            </w:r>
            <w:r/>
          </w:p>
        </w:tc>
        <w:tc>
          <w:tcPr>
            <w:shd w:val="clear" w:color="auto" w:fill="auto"/>
            <w:tcW w:w="982"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lang w:val="en-US" w:eastAsia="zh-CN" w:bidi="ar"/>
              </w:rPr>
              <w:t xml:space="preserve">套</w:t>
            </w:r>
            <w:r/>
          </w:p>
        </w:tc>
        <w:tc>
          <w:tcPr>
            <w:shd w:val="clear" w:color="auto" w:fill="auto"/>
            <w:tcW w:w="971"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lang w:val="en-US" w:eastAsia="zh-CN" w:bidi="ar"/>
              </w:rPr>
              <w:t xml:space="preserve">6.00 </w:t>
            </w:r>
            <w:r/>
          </w:p>
        </w:tc>
      </w:tr>
      <w:tr>
        <w:trPr>
          <w:trHeight w:val="1819"/>
        </w:trPr>
        <w:tc>
          <w:tcPr>
            <w:shd w:val="clear" w:color="auto" w:fill="auto"/>
            <w:tcW w:w="749" w:type="dxa"/>
            <w:vAlign w:val="center"/>
            <w:textDirection w:val="lrTb"/>
            <w:noWrap w:val="false"/>
          </w:tcPr>
          <w:p>
            <w:pPr>
              <w:jc w:val="center"/>
              <w:keepLines w:val="0"/>
              <w:keepNext w:val="0"/>
              <w:widowControl/>
              <w:rPr>
                <w:rFonts w:hint="default" w:asciiTheme="minorEastAsia" w:hAnsiTheme="minorEastAsia" w:eastAsiaTheme="minorEastAsia" w:cstheme="minorEastAsia"/>
                <w:i w:val="0"/>
                <w:iCs w:val="0"/>
                <w:color w:val="000000"/>
                <w:sz w:val="20"/>
                <w:szCs w:val="20"/>
                <w:u w:val="none"/>
                <w:lang w:val="en-US"/>
              </w:rPr>
              <w:suppressLineNumbers w:val="0"/>
            </w:pPr>
            <w:r>
              <w:rPr>
                <w:rFonts w:hint="eastAsia" w:asciiTheme="minorEastAsia" w:hAnsiTheme="minorEastAsia" w:cstheme="minorEastAsia"/>
                <w:i w:val="0"/>
                <w:iCs w:val="0"/>
                <w:color w:val="000000"/>
                <w:sz w:val="20"/>
                <w:szCs w:val="20"/>
                <w:u w:val="none"/>
                <w:lang w:val="en-US" w:eastAsia="zh-CN" w:bidi="ar"/>
              </w:rPr>
              <w:t xml:space="preserve">40</w:t>
            </w:r>
            <w:r/>
          </w:p>
        </w:tc>
        <w:tc>
          <w:tcPr>
            <w:shd w:val="clear" w:color="auto" w:fill="auto"/>
            <w:tcW w:w="1344"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lang w:val="en-US" w:eastAsia="zh-CN" w:bidi="ar"/>
              </w:rPr>
              <w:t xml:space="preserve">播控设备安装、调试3</w:t>
            </w:r>
            <w:r/>
          </w:p>
        </w:tc>
        <w:tc>
          <w:tcPr>
            <w:shd w:val="clear" w:color="auto" w:fill="auto"/>
            <w:tcW w:w="4751"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lang w:val="en-US" w:eastAsia="zh-CN" w:bidi="ar"/>
              </w:rPr>
              <w:t xml:space="preserve">采购：1、展馆播控设备安装调试需适配展品展示、多区域联动需求，流程如下：前期勘察展馆布局，确定播控主机、信号分配器、投影机等设备点位，预留强弱电接口与信号传输链路；安装时固定设备机柜，规范布设线缆并做标识，确保与展项显示屏、互动装置精准对接。调试阶段先检测设备通电与信号连通性，再校准画面分辨率、色彩一致性，设置分区域播控预案（如定时切换展品介绍视频、触发式互动画面）；最后测试应急切换功能，确保断网、设备故障时能快速切换备用信号。整体需保障播控系统稳定运行，满足展馆沉浸式、不间断展示需求。</w:t>
            </w:r>
            <w:r/>
          </w:p>
        </w:tc>
        <w:tc>
          <w:tcPr>
            <w:shd w:val="clear" w:color="auto" w:fill="auto"/>
            <w:tcW w:w="982"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lang w:val="en-US" w:eastAsia="zh-CN" w:bidi="ar"/>
              </w:rPr>
              <w:t xml:space="preserve">台</w:t>
            </w:r>
            <w:r/>
          </w:p>
        </w:tc>
        <w:tc>
          <w:tcPr>
            <w:shd w:val="clear" w:color="auto" w:fill="auto"/>
            <w:tcW w:w="971"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lang w:val="en-US" w:eastAsia="zh-CN" w:bidi="ar"/>
              </w:rPr>
              <w:t xml:space="preserve">6.00 </w:t>
            </w:r>
            <w:r/>
          </w:p>
        </w:tc>
      </w:tr>
      <w:tr>
        <w:trPr>
          <w:trHeight w:val="1984"/>
        </w:trPr>
        <w:tc>
          <w:tcPr>
            <w:shd w:val="clear" w:color="auto" w:fill="auto"/>
            <w:tcW w:w="749" w:type="dxa"/>
            <w:vAlign w:val="center"/>
            <w:textDirection w:val="lrTb"/>
            <w:noWrap w:val="false"/>
          </w:tcPr>
          <w:p>
            <w:pPr>
              <w:jc w:val="center"/>
              <w:keepLines w:val="0"/>
              <w:keepNext w:val="0"/>
              <w:widowControl/>
              <w:rPr>
                <w:rFonts w:hint="default" w:asciiTheme="minorEastAsia" w:hAnsiTheme="minorEastAsia" w:eastAsiaTheme="minorEastAsia" w:cstheme="minorEastAsia"/>
                <w:i w:val="0"/>
                <w:iCs w:val="0"/>
                <w:color w:val="000000"/>
                <w:sz w:val="20"/>
                <w:szCs w:val="20"/>
                <w:u w:val="none"/>
                <w:lang w:val="en-US"/>
              </w:rPr>
              <w:suppressLineNumbers w:val="0"/>
            </w:pPr>
            <w:r>
              <w:rPr>
                <w:rFonts w:hint="eastAsia" w:asciiTheme="minorEastAsia" w:hAnsiTheme="minorEastAsia" w:cstheme="minorEastAsia"/>
                <w:i w:val="0"/>
                <w:iCs w:val="0"/>
                <w:color w:val="000000"/>
                <w:sz w:val="20"/>
                <w:szCs w:val="20"/>
                <w:u w:val="none"/>
                <w:lang w:val="en-US" w:eastAsia="zh-CN" w:bidi="ar"/>
              </w:rPr>
              <w:t xml:space="preserve">41</w:t>
            </w:r>
            <w:r/>
          </w:p>
        </w:tc>
        <w:tc>
          <w:tcPr>
            <w:shd w:val="clear" w:color="auto" w:fill="auto"/>
            <w:tcW w:w="1344"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lang w:val="en-US" w:eastAsia="zh-CN" w:bidi="ar"/>
              </w:rPr>
              <w:t xml:space="preserve">扩声系统设备5</w:t>
            </w:r>
            <w:r/>
          </w:p>
        </w:tc>
        <w:tc>
          <w:tcPr>
            <w:shd w:val="clear" w:color="auto" w:fill="auto"/>
            <w:tcW w:w="4751"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lang w:val="en-US" w:eastAsia="zh-CN" w:bidi="ar"/>
              </w:rPr>
              <w:t xml:space="preserve">1、名称：吸顶音响、名称：吸顶音响、4×10"中低频驱动单元；</w:t>
            </w:r>
            <w:r>
              <w:rPr>
                <w:rFonts w:hint="eastAsia" w:asciiTheme="minorEastAsia" w:hAnsiTheme="minorEastAsia" w:eastAsiaTheme="minorEastAsia" w:cstheme="minorEastAsia"/>
                <w:i w:val="0"/>
                <w:iCs w:val="0"/>
                <w:color w:val="000000"/>
                <w:sz w:val="20"/>
                <w:szCs w:val="20"/>
                <w:u w:val="none"/>
                <w:lang w:val="en-US" w:eastAsia="zh-CN" w:bidi="ar"/>
              </w:rPr>
              <w:br/>
            </w:r>
            <w:r>
              <w:rPr>
                <w:rFonts w:hint="eastAsia" w:asciiTheme="minorEastAsia" w:hAnsiTheme="minorEastAsia" w:eastAsiaTheme="minorEastAsia" w:cstheme="minorEastAsia"/>
                <w:i w:val="0"/>
                <w:iCs w:val="0"/>
                <w:color w:val="000000"/>
                <w:sz w:val="20"/>
                <w:szCs w:val="20"/>
                <w:u w:val="none"/>
                <w:lang w:val="en-US" w:eastAsia="zh-CN" w:bidi="ar"/>
              </w:rPr>
              <w:t xml:space="preserve">2、4×3"中高频驱动单元；</w:t>
            </w:r>
            <w:r>
              <w:rPr>
                <w:rFonts w:hint="eastAsia" w:asciiTheme="minorEastAsia" w:hAnsiTheme="minorEastAsia" w:eastAsiaTheme="minorEastAsia" w:cstheme="minorEastAsia"/>
                <w:i w:val="0"/>
                <w:iCs w:val="0"/>
                <w:color w:val="000000"/>
                <w:sz w:val="20"/>
                <w:szCs w:val="20"/>
                <w:u w:val="none"/>
                <w:lang w:val="en-US" w:eastAsia="zh-CN" w:bidi="ar"/>
              </w:rPr>
              <w:br/>
            </w:r>
            <w:r>
              <w:rPr>
                <w:rFonts w:hint="eastAsia" w:asciiTheme="minorEastAsia" w:hAnsiTheme="minorEastAsia" w:eastAsiaTheme="minorEastAsia" w:cstheme="minorEastAsia"/>
                <w:i w:val="0"/>
                <w:iCs w:val="0"/>
                <w:color w:val="000000"/>
                <w:sz w:val="20"/>
                <w:szCs w:val="20"/>
                <w:u w:val="none"/>
                <w:lang w:val="en-US" w:eastAsia="zh-CN" w:bidi="ar"/>
              </w:rPr>
              <w:t xml:space="preserve">3、额定功率不小于LF：1200W；MHF：400W/LF: 8Ω   MHF: 8Ω  </w:t>
            </w:r>
            <w:r>
              <w:rPr>
                <w:rFonts w:hint="eastAsia" w:asciiTheme="minorEastAsia" w:hAnsiTheme="minorEastAsia" w:eastAsiaTheme="minorEastAsia" w:cstheme="minorEastAsia"/>
                <w:i w:val="0"/>
                <w:iCs w:val="0"/>
                <w:color w:val="000000"/>
                <w:sz w:val="20"/>
                <w:szCs w:val="20"/>
                <w:u w:val="none"/>
                <w:lang w:val="en-US" w:eastAsia="zh-CN" w:bidi="ar"/>
              </w:rPr>
              <w:br/>
            </w:r>
            <w:r>
              <w:rPr>
                <w:rFonts w:hint="eastAsia" w:asciiTheme="minorEastAsia" w:hAnsiTheme="minorEastAsia" w:eastAsiaTheme="minorEastAsia" w:cstheme="minorEastAsia"/>
                <w:i w:val="0"/>
                <w:iCs w:val="0"/>
                <w:color w:val="000000"/>
                <w:sz w:val="20"/>
                <w:szCs w:val="20"/>
                <w:u w:val="none"/>
                <w:lang w:val="en-US" w:eastAsia="zh-CN" w:bidi="ar"/>
              </w:rPr>
              <w:t xml:space="preserve">4、特性灵敏度不小于LF:102dB；MHF:110dB/W/m（有效频率带通平均）</w:t>
            </w:r>
            <w:r>
              <w:rPr>
                <w:rFonts w:hint="eastAsia" w:asciiTheme="minorEastAsia" w:hAnsiTheme="minorEastAsia" w:eastAsiaTheme="minorEastAsia" w:cstheme="minorEastAsia"/>
                <w:i w:val="0"/>
                <w:iCs w:val="0"/>
                <w:color w:val="000000"/>
                <w:sz w:val="20"/>
                <w:szCs w:val="20"/>
                <w:u w:val="none"/>
                <w:lang w:val="en-US" w:eastAsia="zh-CN" w:bidi="ar"/>
              </w:rPr>
              <w:br/>
            </w:r>
            <w:r>
              <w:rPr>
                <w:rFonts w:hint="eastAsia" w:asciiTheme="minorEastAsia" w:hAnsiTheme="minorEastAsia" w:eastAsiaTheme="minorEastAsia" w:cstheme="minorEastAsia"/>
                <w:i w:val="0"/>
                <w:iCs w:val="0"/>
                <w:color w:val="000000"/>
                <w:sz w:val="20"/>
                <w:szCs w:val="20"/>
                <w:u w:val="none"/>
                <w:lang w:val="en-US" w:eastAsia="zh-CN" w:bidi="ar"/>
              </w:rPr>
              <w:t xml:space="preserve">5、连续声压级不小于LF:133dB；MHF:136dB ；</w:t>
            </w:r>
            <w:r>
              <w:rPr>
                <w:rFonts w:hint="eastAsia" w:asciiTheme="minorEastAsia" w:hAnsiTheme="minorEastAsia" w:eastAsiaTheme="minorEastAsia" w:cstheme="minorEastAsia"/>
                <w:i w:val="0"/>
                <w:iCs w:val="0"/>
                <w:color w:val="000000"/>
                <w:sz w:val="20"/>
                <w:szCs w:val="20"/>
                <w:u w:val="none"/>
                <w:lang w:val="en-US" w:eastAsia="zh-CN" w:bidi="ar"/>
              </w:rPr>
              <w:br/>
            </w:r>
            <w:r>
              <w:rPr>
                <w:rFonts w:hint="eastAsia" w:asciiTheme="minorEastAsia" w:hAnsiTheme="minorEastAsia" w:eastAsiaTheme="minorEastAsia" w:cstheme="minorEastAsia"/>
                <w:i w:val="0"/>
                <w:iCs w:val="0"/>
                <w:color w:val="000000"/>
                <w:sz w:val="20"/>
                <w:szCs w:val="20"/>
                <w:u w:val="none"/>
                <w:lang w:val="en-US" w:eastAsia="zh-CN" w:bidi="ar"/>
              </w:rPr>
              <w:t xml:space="preserve">6、峰值声压级不小于LF:139dB；MHF:136dB ；</w:t>
            </w:r>
            <w:r>
              <w:rPr>
                <w:rFonts w:hint="eastAsia" w:asciiTheme="minorEastAsia" w:hAnsiTheme="minorEastAsia" w:eastAsiaTheme="minorEastAsia" w:cstheme="minorEastAsia"/>
                <w:i w:val="0"/>
                <w:iCs w:val="0"/>
                <w:color w:val="000000"/>
                <w:sz w:val="20"/>
                <w:szCs w:val="20"/>
                <w:u w:val="none"/>
                <w:lang w:val="en-US" w:eastAsia="zh-CN" w:bidi="ar"/>
              </w:rPr>
              <w:br/>
            </w:r>
            <w:r>
              <w:rPr>
                <w:rFonts w:hint="eastAsia" w:asciiTheme="minorEastAsia" w:hAnsiTheme="minorEastAsia" w:eastAsiaTheme="minorEastAsia" w:cstheme="minorEastAsia"/>
                <w:i w:val="0"/>
                <w:iCs w:val="0"/>
                <w:color w:val="000000"/>
                <w:sz w:val="20"/>
                <w:szCs w:val="20"/>
                <w:u w:val="none"/>
                <w:lang w:val="en-US" w:eastAsia="zh-CN" w:bidi="ar"/>
              </w:rPr>
              <w:t xml:space="preserve">7、低频截止频率不高于：60Hz；高频截止频率不低于：18KHz</w:t>
            </w:r>
            <w:r>
              <w:rPr>
                <w:rFonts w:hint="eastAsia" w:asciiTheme="minorEastAsia" w:hAnsiTheme="minorEastAsia" w:eastAsiaTheme="minorEastAsia" w:cstheme="minorEastAsia"/>
                <w:i w:val="0"/>
                <w:iCs w:val="0"/>
                <w:color w:val="000000"/>
                <w:sz w:val="20"/>
                <w:szCs w:val="20"/>
                <w:u w:val="none"/>
                <w:lang w:val="en-US" w:eastAsia="zh-CN" w:bidi="ar"/>
              </w:rPr>
              <w:br/>
            </w:r>
            <w:r>
              <w:rPr>
                <w:rFonts w:hint="eastAsia" w:asciiTheme="minorEastAsia" w:hAnsiTheme="minorEastAsia" w:eastAsiaTheme="minorEastAsia" w:cstheme="minorEastAsia"/>
                <w:i w:val="0"/>
                <w:iCs w:val="0"/>
                <w:color w:val="000000"/>
                <w:sz w:val="20"/>
                <w:szCs w:val="20"/>
                <w:u w:val="none"/>
                <w:lang w:val="en-US" w:eastAsia="zh-CN" w:bidi="ar"/>
              </w:rPr>
              <w:t xml:space="preserve">8、覆盖角度： 90ºH  × 50ºV（恒定曲率）；</w:t>
            </w:r>
            <w:r/>
          </w:p>
        </w:tc>
        <w:tc>
          <w:tcPr>
            <w:shd w:val="clear" w:color="auto" w:fill="auto"/>
            <w:tcW w:w="982"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lang w:val="en-US" w:eastAsia="zh-CN" w:bidi="ar"/>
              </w:rPr>
              <w:t xml:space="preserve">台</w:t>
            </w:r>
            <w:r/>
          </w:p>
        </w:tc>
        <w:tc>
          <w:tcPr>
            <w:shd w:val="clear" w:color="auto" w:fill="auto"/>
            <w:tcW w:w="971"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lang w:val="en-US" w:eastAsia="zh-CN" w:bidi="ar"/>
              </w:rPr>
              <w:t xml:space="preserve">2.00 </w:t>
            </w:r>
            <w:r/>
          </w:p>
        </w:tc>
      </w:tr>
      <w:tr>
        <w:trPr>
          <w:trHeight w:val="1984"/>
        </w:trPr>
        <w:tc>
          <w:tcPr>
            <w:shd w:val="clear" w:color="auto" w:fill="auto"/>
            <w:tcW w:w="749"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42</w:t>
            </w:r>
            <w:r/>
          </w:p>
        </w:tc>
        <w:tc>
          <w:tcPr>
            <w:shd w:val="clear" w:color="auto" w:fill="auto"/>
            <w:tcW w:w="1344"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扩声系统设备6</w:t>
            </w:r>
            <w:r/>
          </w:p>
        </w:tc>
        <w:tc>
          <w:tcPr>
            <w:shd w:val="clear" w:color="auto" w:fill="auto"/>
            <w:tcW w:w="4751"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1、名称：功放</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2、规格：120W1、功放类型：CLASS D类 效率≥90%</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2、保护功能：电路通断识别、数字短路保护、直流风机控制系统、宽电压自适应压缩、动态限幅保护，开机软启动延时静噪。</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3、功放增益：32/35/38/41dB(可选择）；</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4、输出功率（RMS）：2×1500W/8Ω，2×2550W/4Ω，2×3570W/2Ω，桥接1×5100W/8Ω；</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5、RMS输出电压(THD=1%,1kHz)≥109V</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6、总谐波失真：0.05%</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7、频率响应：20Hz-20kHz（±0.3dB）</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8、信噪比≥105dB(A记权，20Hz~20kHz)</w:t>
            </w:r>
            <w:r/>
          </w:p>
        </w:tc>
        <w:tc>
          <w:tcPr>
            <w:shd w:val="clear" w:color="auto" w:fill="auto"/>
            <w:tcW w:w="982"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W w:w="971"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1.00 </w:t>
            </w:r>
            <w:r/>
          </w:p>
        </w:tc>
      </w:tr>
      <w:tr>
        <w:trPr>
          <w:trHeight w:val="6428"/>
        </w:trPr>
        <w:tc>
          <w:tcPr>
            <w:shd w:val="clear" w:color="auto" w:fill="auto"/>
            <w:tcW w:w="749" w:type="dxa"/>
            <w:vAlign w:val="center"/>
            <w:textDirection w:val="lrTb"/>
            <w:noWrap w:val="false"/>
          </w:tcPr>
          <w:p>
            <w:pPr>
              <w:jc w:val="center"/>
              <w:keepLines w:val="0"/>
              <w:keepNext w:val="0"/>
              <w:widowControl/>
              <w:rPr>
                <w:rFonts w:hint="default" w:asciiTheme="minorEastAsia" w:hAnsiTheme="minorEastAsia" w:eastAsiaTheme="minorEastAsia" w:cstheme="minorEastAsia"/>
                <w:i w:val="0"/>
                <w:iCs w:val="0"/>
                <w:color w:val="000000"/>
                <w:sz w:val="20"/>
                <w:szCs w:val="20"/>
                <w:u w:val="none"/>
                <w:lang w:val="en-US" w:eastAsia="zh-CN"/>
              </w:rPr>
              <w:suppressLineNumbers w:val="0"/>
            </w:pPr>
            <w:r>
              <w:rPr>
                <w:rFonts w:hint="eastAsia" w:asciiTheme="minorEastAsia" w:hAnsiTheme="minorEastAsia" w:cstheme="minorEastAsia"/>
                <w:i w:val="0"/>
                <w:iCs w:val="0"/>
                <w:color w:val="000000"/>
                <w:sz w:val="20"/>
                <w:szCs w:val="20"/>
                <w:u w:val="none"/>
                <w:lang w:val="en-US" w:eastAsia="zh-CN"/>
              </w:rPr>
              <w:t xml:space="preserve">43</w:t>
            </w:r>
            <w:r/>
          </w:p>
        </w:tc>
        <w:tc>
          <w:tcPr>
            <w:shd w:val="clear" w:color="auto" w:fill="auto"/>
            <w:tcW w:w="1344"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lang w:val="en-US" w:eastAsia="zh-CN" w:bidi="ar"/>
              </w:rPr>
              <w:t xml:space="preserve">智能化动感灯箱</w:t>
            </w:r>
            <w:r/>
          </w:p>
        </w:tc>
        <w:tc>
          <w:tcPr>
            <w:shd w:val="clear" w:color="auto" w:fill="auto"/>
            <w:tcW w:w="4751" w:type="dxa"/>
            <w:vAlign w:val="center"/>
            <w:textDirection w:val="lrTb"/>
            <w:noWrap w:val="false"/>
          </w:tcPr>
          <w:p>
            <w:pPr>
              <w:jc w:val="left"/>
              <w:keepLines w:val="0"/>
              <w:keepNext w:val="0"/>
              <w:spacing w:after="200" w:afterAutospacing="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lang w:val="en-US" w:eastAsia="zh-CN" w:bidi="ar"/>
              </w:rPr>
              <w:t xml:space="preserve">1、名称：灯箱内光源</w:t>
            </w:r>
            <w:r>
              <w:rPr>
                <w:rFonts w:hint="eastAsia" w:asciiTheme="minorEastAsia" w:hAnsiTheme="minorEastAsia" w:eastAsiaTheme="minorEastAsia" w:cstheme="minorEastAsia"/>
                <w:i w:val="0"/>
                <w:iCs w:val="0"/>
                <w:color w:val="000000"/>
                <w:sz w:val="20"/>
                <w:szCs w:val="20"/>
                <w:u w:val="none"/>
                <w:lang w:val="en-US" w:eastAsia="zh-CN" w:bidi="ar"/>
              </w:rPr>
              <w:br/>
            </w:r>
            <w:r>
              <w:rPr>
                <w:rFonts w:hint="eastAsia" w:asciiTheme="minorEastAsia" w:hAnsiTheme="minorEastAsia" w:eastAsiaTheme="minorEastAsia" w:cstheme="minorEastAsia"/>
                <w:i w:val="0"/>
                <w:iCs w:val="0"/>
                <w:color w:val="000000"/>
                <w:sz w:val="20"/>
                <w:szCs w:val="20"/>
                <w:u w:val="none"/>
                <w:lang w:val="en-US" w:eastAsia="zh-CN" w:bidi="ar"/>
              </w:rPr>
              <w:t xml:space="preserve">2、规格：p5单元板5v25w2048灯珠320*160</w:t>
            </w:r>
            <w:r>
              <w:rPr>
                <w:rFonts w:hint="eastAsia" w:asciiTheme="minorEastAsia" w:hAnsiTheme="minorEastAsia" w:eastAsiaTheme="minorEastAsia" w:cstheme="minorEastAsia"/>
                <w:i w:val="0"/>
                <w:iCs w:val="0"/>
                <w:color w:val="000000"/>
                <w:sz w:val="20"/>
                <w:szCs w:val="20"/>
                <w:u w:val="none"/>
                <w:lang w:val="en-US" w:eastAsia="zh-CN" w:bidi="ar"/>
              </w:rPr>
              <w:br/>
            </w:r>
            <w:r>
              <w:rPr>
                <w:rFonts w:hint="eastAsia" w:asciiTheme="minorEastAsia" w:hAnsiTheme="minorEastAsia" w:eastAsiaTheme="minorEastAsia" w:cstheme="minorEastAsia"/>
                <w:i w:val="0"/>
                <w:iCs w:val="0"/>
                <w:color w:val="000000"/>
                <w:sz w:val="20"/>
                <w:szCs w:val="20"/>
                <w:u w:val="none"/>
                <w:lang w:val="en-US" w:eastAsia="zh-CN" w:bidi="ar"/>
              </w:rPr>
              <w:t xml:space="preserve">3、含电源适配器 P5 单元板规格参数</w:t>
            </w:r>
            <w:r>
              <w:rPr>
                <w:rFonts w:hint="eastAsia" w:asciiTheme="minorEastAsia" w:hAnsiTheme="minorEastAsia" w:eastAsiaTheme="minorEastAsia" w:cstheme="minorEastAsia"/>
                <w:i w:val="0"/>
                <w:iCs w:val="0"/>
                <w:color w:val="000000"/>
                <w:sz w:val="20"/>
                <w:szCs w:val="20"/>
                <w:u w:val="none"/>
                <w:lang w:val="en-US" w:eastAsia="zh-CN" w:bidi="ar"/>
              </w:rPr>
              <w:br/>
            </w:r>
            <w:r>
              <w:rPr>
                <w:rFonts w:hint="eastAsia" w:asciiTheme="minorEastAsia" w:hAnsiTheme="minorEastAsia" w:eastAsiaTheme="minorEastAsia" w:cstheme="minorEastAsia"/>
                <w:i w:val="0"/>
                <w:iCs w:val="0"/>
                <w:color w:val="000000"/>
                <w:sz w:val="20"/>
                <w:szCs w:val="20"/>
                <w:u w:val="none"/>
                <w:lang w:val="en-US" w:eastAsia="zh-CN" w:bidi="ar"/>
              </w:rPr>
              <w:t xml:space="preserve">类别 具体参数</w:t>
            </w:r>
            <w:r>
              <w:rPr>
                <w:rFonts w:hint="eastAsia" w:asciiTheme="minorEastAsia" w:hAnsiTheme="minorEastAsia" w:eastAsiaTheme="minorEastAsia" w:cstheme="minorEastAsia"/>
                <w:i w:val="0"/>
                <w:iCs w:val="0"/>
                <w:color w:val="000000"/>
                <w:sz w:val="20"/>
                <w:szCs w:val="20"/>
                <w:u w:val="none"/>
                <w:lang w:val="en-US" w:eastAsia="zh-CN" w:bidi="ar"/>
              </w:rPr>
              <w:br/>
            </w:r>
            <w:r>
              <w:rPr>
                <w:rFonts w:hint="eastAsia" w:asciiTheme="minorEastAsia" w:hAnsiTheme="minorEastAsia" w:eastAsiaTheme="minorEastAsia" w:cstheme="minorEastAsia"/>
                <w:i w:val="0"/>
                <w:iCs w:val="0"/>
                <w:color w:val="000000"/>
                <w:sz w:val="20"/>
                <w:szCs w:val="20"/>
                <w:u w:val="none"/>
                <w:lang w:val="en-US" w:eastAsia="zh-CN" w:bidi="ar"/>
              </w:rPr>
              <w:t xml:space="preserve">基础物理参数 单元板尺寸 320mm×160mm，重量约 400g；像素点间距 5mm，像素密度达 40000 点 /㎡，分辨率为 64×32，对应 2048 个像素点（即 2048 颗灯珠），灯珠多采用 SMD1921、SMD2727 或 SMD2828 表贴三合一封装，像素组成 1R1G1B。</w:t>
            </w:r>
            <w:r>
              <w:rPr>
                <w:rFonts w:hint="eastAsia" w:asciiTheme="minorEastAsia" w:hAnsiTheme="minorEastAsia" w:eastAsiaTheme="minorEastAsia" w:cstheme="minorEastAsia"/>
                <w:i w:val="0"/>
                <w:iCs w:val="0"/>
                <w:color w:val="000000"/>
                <w:sz w:val="20"/>
                <w:szCs w:val="20"/>
                <w:u w:val="none"/>
                <w:lang w:val="en-US" w:eastAsia="zh-CN" w:bidi="ar"/>
              </w:rPr>
              <w:br/>
            </w:r>
            <w:r>
              <w:rPr>
                <w:rFonts w:hint="eastAsia" w:asciiTheme="minorEastAsia" w:hAnsiTheme="minorEastAsia" w:eastAsiaTheme="minorEastAsia" w:cstheme="minorEastAsia"/>
                <w:i w:val="0"/>
                <w:iCs w:val="0"/>
                <w:color w:val="000000"/>
                <w:sz w:val="20"/>
                <w:szCs w:val="20"/>
                <w:u w:val="none"/>
                <w:lang w:val="en-US" w:eastAsia="zh-CN" w:bidi="ar"/>
              </w:rPr>
              <w:t xml:space="preserve">显示性能参数 支持 1677 万种显示颜色，灰度等级 4096 级，可呈现细腻色彩过渡；刷新频率通常≥1920Hz，部分型号可达 4000Hz 以上，避免显示闪烁；室内款亮度多为 800 - 1000cd/㎡，户外款可达 5900cd/㎡，水平与垂直可视角度均约 140°，观看距离≥5m。</w:t>
            </w:r>
            <w:r>
              <w:rPr>
                <w:rFonts w:hint="eastAsia" w:asciiTheme="minorEastAsia" w:hAnsiTheme="minorEastAsia" w:eastAsiaTheme="minorEastAsia" w:cstheme="minorEastAsia"/>
                <w:i w:val="0"/>
                <w:iCs w:val="0"/>
                <w:color w:val="000000"/>
                <w:sz w:val="20"/>
                <w:szCs w:val="20"/>
                <w:u w:val="none"/>
                <w:lang w:val="en-US" w:eastAsia="zh-CN" w:bidi="ar"/>
              </w:rPr>
              <w:br/>
            </w:r>
            <w:r>
              <w:rPr>
                <w:rFonts w:hint="eastAsia" w:asciiTheme="minorEastAsia" w:hAnsiTheme="minorEastAsia" w:eastAsiaTheme="minorEastAsia" w:cstheme="minorEastAsia"/>
                <w:i w:val="0"/>
                <w:iCs w:val="0"/>
                <w:color w:val="000000"/>
                <w:sz w:val="20"/>
                <w:szCs w:val="20"/>
                <w:u w:val="none"/>
                <w:lang w:val="en-US" w:eastAsia="zh-CN" w:bidi="ar"/>
              </w:rPr>
              <w:t xml:space="preserve">电气与驱动参数 额定输入电压 DC5V，额定功率 25W；驱动方式多为 1/8 扫描，采用恒流驱动模式，常用闽台聚积 MBI5020 等系列 IC 驱动芯片，稳定性强；支持与灵星雨等主流控制卡系统适配，可接入 VGA、DVI、HDMI 等多种信号接口。</w:t>
            </w:r>
            <w:r>
              <w:rPr>
                <w:rFonts w:hint="eastAsia" w:asciiTheme="minorEastAsia" w:hAnsiTheme="minorEastAsia" w:eastAsiaTheme="minorEastAsia" w:cstheme="minorEastAsia"/>
                <w:i w:val="0"/>
                <w:iCs w:val="0"/>
                <w:color w:val="000000"/>
                <w:sz w:val="20"/>
                <w:szCs w:val="20"/>
                <w:u w:val="none"/>
                <w:lang w:val="en-US" w:eastAsia="zh-CN" w:bidi="ar"/>
              </w:rPr>
              <w:br/>
            </w:r>
            <w:r>
              <w:rPr>
                <w:rFonts w:hint="eastAsia" w:asciiTheme="minorEastAsia" w:hAnsiTheme="minorEastAsia" w:eastAsiaTheme="minorEastAsia" w:cstheme="minorEastAsia"/>
                <w:i w:val="0"/>
                <w:iCs w:val="0"/>
                <w:color w:val="000000"/>
                <w:sz w:val="20"/>
                <w:szCs w:val="20"/>
                <w:u w:val="none"/>
                <w:lang w:val="en-US" w:eastAsia="zh-CN" w:bidi="ar"/>
              </w:rPr>
              <w:t xml:space="preserve">其他核心参数 灯珠理论寿命 10 万小时，平均无故障时间≥10000 小时；适配 WIN2000、XP 等系统，可通过控制软件实现文字、动画、视频等内容播放，部分支持逐点逐模块亮度校正，色温可在 5000 - 9300K 之间调节。</w:t>
            </w:r>
            <w:r/>
          </w:p>
        </w:tc>
        <w:tc>
          <w:tcPr>
            <w:shd w:val="clear" w:color="auto" w:fill="auto"/>
            <w:tcW w:w="982"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lang w:val="en-US" w:eastAsia="zh-CN" w:bidi="ar"/>
              </w:rPr>
              <w:t xml:space="preserve">套</w:t>
            </w:r>
            <w:r/>
          </w:p>
        </w:tc>
        <w:tc>
          <w:tcPr>
            <w:shd w:val="clear" w:color="auto" w:fill="auto"/>
            <w:tcW w:w="971"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lang w:val="en-US" w:eastAsia="zh-CN" w:bidi="ar"/>
              </w:rPr>
              <w:t xml:space="preserve">264.00 </w:t>
            </w:r>
            <w:r/>
          </w:p>
        </w:tc>
      </w:tr>
      <w:tr>
        <w:trPr>
          <w:trHeight w:val="665"/>
        </w:trPr>
        <w:tc>
          <w:tcPr>
            <w:shd w:val="clear" w:color="auto" w:fill="auto"/>
            <w:tcW w:w="749" w:type="dxa"/>
            <w:vAlign w:val="center"/>
            <w:textDirection w:val="lrTb"/>
            <w:noWrap w:val="false"/>
          </w:tcPr>
          <w:p>
            <w:pPr>
              <w:jc w:val="center"/>
              <w:keepLines w:val="0"/>
              <w:keepNext w:val="0"/>
              <w:widowControl/>
              <w:rPr>
                <w:rFonts w:hint="default" w:asciiTheme="minorEastAsia" w:hAnsiTheme="minorEastAsia" w:eastAsiaTheme="minorEastAsia" w:cstheme="minorEastAsia"/>
                <w:i w:val="0"/>
                <w:iCs w:val="0"/>
                <w:color w:val="000000"/>
                <w:sz w:val="20"/>
                <w:szCs w:val="20"/>
                <w:u w:val="none"/>
                <w:lang w:val="en-US"/>
              </w:rPr>
              <w:suppressLineNumbers w:val="0"/>
            </w:pPr>
            <w:r>
              <w:rPr>
                <w:rFonts w:hint="eastAsia" w:asciiTheme="minorEastAsia" w:hAnsiTheme="minorEastAsia" w:cstheme="minorEastAsia"/>
                <w:i w:val="0"/>
                <w:iCs w:val="0"/>
                <w:color w:val="000000"/>
                <w:sz w:val="20"/>
                <w:szCs w:val="20"/>
                <w:u w:val="none"/>
                <w:lang w:val="en-US" w:eastAsia="zh-CN" w:bidi="ar"/>
              </w:rPr>
              <w:t xml:space="preserve">44</w:t>
            </w:r>
            <w:r/>
          </w:p>
        </w:tc>
        <w:tc>
          <w:tcPr>
            <w:shd w:val="clear" w:color="auto" w:fill="auto"/>
            <w:tcW w:w="1344"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lang w:val="en-US" w:eastAsia="zh-CN" w:bidi="ar"/>
              </w:rPr>
              <w:t xml:space="preserve">采购电力电缆</w:t>
            </w:r>
            <w:r/>
          </w:p>
        </w:tc>
        <w:tc>
          <w:tcPr>
            <w:shd w:val="clear" w:color="auto" w:fill="auto"/>
            <w:tcW w:w="4751"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lang w:val="en-US" w:eastAsia="zh-CN" w:bidi="ar"/>
              </w:rPr>
              <w:t xml:space="preserve">1、名称：三芯电缆</w:t>
            </w:r>
            <w:r>
              <w:rPr>
                <w:rFonts w:hint="eastAsia" w:asciiTheme="minorEastAsia" w:hAnsiTheme="minorEastAsia" w:eastAsiaTheme="minorEastAsia" w:cstheme="minorEastAsia"/>
                <w:i w:val="0"/>
                <w:iCs w:val="0"/>
                <w:color w:val="000000"/>
                <w:sz w:val="20"/>
                <w:szCs w:val="20"/>
                <w:u w:val="none"/>
                <w:lang w:val="en-US" w:eastAsia="zh-CN" w:bidi="ar"/>
              </w:rPr>
              <w:br/>
            </w:r>
            <w:r>
              <w:rPr>
                <w:rFonts w:hint="eastAsia" w:asciiTheme="minorEastAsia" w:hAnsiTheme="minorEastAsia" w:eastAsiaTheme="minorEastAsia" w:cstheme="minorEastAsia"/>
                <w:i w:val="0"/>
                <w:iCs w:val="0"/>
                <w:color w:val="000000"/>
                <w:sz w:val="20"/>
                <w:szCs w:val="20"/>
                <w:u w:val="none"/>
                <w:lang w:val="en-US" w:eastAsia="zh-CN" w:bidi="ar"/>
              </w:rPr>
              <w:t xml:space="preserve">2、规格：380V五芯国标纯铜电缆，满足显示屏的用电需要及用电安全。六类屏蔽网线、光纤、双通道DVI线、HDMI 1.4 线、扎带、标签纸、线管等。</w:t>
            </w:r>
            <w:r/>
          </w:p>
        </w:tc>
        <w:tc>
          <w:tcPr>
            <w:shd w:val="clear" w:color="auto" w:fill="auto"/>
            <w:tcW w:w="982"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lang w:val="en-US" w:eastAsia="zh-CN" w:bidi="ar"/>
              </w:rPr>
              <w:t xml:space="preserve">m</w:t>
            </w:r>
            <w:r/>
          </w:p>
        </w:tc>
        <w:tc>
          <w:tcPr>
            <w:shd w:val="clear" w:color="auto" w:fill="auto"/>
            <w:tcW w:w="971"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lang w:val="en-US" w:eastAsia="zh-CN" w:bidi="ar"/>
              </w:rPr>
              <w:t xml:space="preserve">180.00 </w:t>
            </w:r>
            <w:r/>
          </w:p>
        </w:tc>
      </w:tr>
      <w:tr>
        <w:trPr>
          <w:trHeight w:val="500"/>
        </w:trPr>
        <w:tc>
          <w:tcPr>
            <w:shd w:val="clear" w:color="auto" w:fill="auto"/>
            <w:tcW w:w="749" w:type="dxa"/>
            <w:vAlign w:val="center"/>
            <w:textDirection w:val="lrTb"/>
            <w:noWrap w:val="false"/>
          </w:tcPr>
          <w:p>
            <w:pPr>
              <w:jc w:val="center"/>
              <w:keepLines w:val="0"/>
              <w:keepNext w:val="0"/>
              <w:widowControl/>
              <w:rPr>
                <w:rFonts w:hint="default" w:asciiTheme="minorEastAsia" w:hAnsiTheme="minorEastAsia" w:eastAsiaTheme="minorEastAsia" w:cstheme="minorEastAsia"/>
                <w:i w:val="0"/>
                <w:iCs w:val="0"/>
                <w:color w:val="000000"/>
                <w:sz w:val="20"/>
                <w:szCs w:val="20"/>
                <w:u w:val="none"/>
                <w:lang w:val="en-US" w:eastAsia="zh-CN"/>
              </w:rPr>
              <w:suppressLineNumbers w:val="0"/>
            </w:pPr>
            <w:r>
              <w:rPr>
                <w:rFonts w:hint="eastAsia" w:asciiTheme="minorEastAsia" w:hAnsiTheme="minorEastAsia" w:cstheme="minorEastAsia"/>
                <w:i w:val="0"/>
                <w:iCs w:val="0"/>
                <w:color w:val="000000"/>
                <w:sz w:val="20"/>
                <w:szCs w:val="20"/>
                <w:u w:val="none"/>
                <w:lang w:val="en-US" w:eastAsia="zh-CN"/>
              </w:rPr>
              <w:t xml:space="preserve">45</w:t>
            </w:r>
            <w:r/>
          </w:p>
        </w:tc>
        <w:tc>
          <w:tcPr>
            <w:shd w:val="clear" w:color="auto" w:fill="auto"/>
            <w:tcW w:w="1344"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lang w:val="en-US" w:eastAsia="zh-CN" w:bidi="ar"/>
              </w:rPr>
              <w:t xml:space="preserve">采购双绞线缆</w:t>
            </w:r>
            <w:r/>
          </w:p>
        </w:tc>
        <w:tc>
          <w:tcPr>
            <w:shd w:val="clear" w:color="auto" w:fill="auto"/>
            <w:tcW w:w="4751"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lang w:val="en-US" w:eastAsia="zh-CN" w:bidi="ar"/>
              </w:rPr>
              <w:t xml:space="preserve">1、名称：六类屏蔽网线、光纤、双通道DVI线、HDMI 1.4 线、扎带、标签纸、线管等。</w:t>
            </w:r>
            <w:r>
              <w:rPr>
                <w:rFonts w:hint="eastAsia" w:asciiTheme="minorEastAsia" w:hAnsiTheme="minorEastAsia" w:eastAsiaTheme="minorEastAsia" w:cstheme="minorEastAsia"/>
                <w:i w:val="0"/>
                <w:iCs w:val="0"/>
                <w:color w:val="000000"/>
                <w:sz w:val="20"/>
                <w:szCs w:val="20"/>
                <w:u w:val="none"/>
                <w:lang w:val="en-US" w:eastAsia="zh-CN" w:bidi="ar"/>
              </w:rPr>
              <w:br/>
            </w:r>
            <w:r>
              <w:rPr>
                <w:rFonts w:hint="eastAsia" w:asciiTheme="minorEastAsia" w:hAnsiTheme="minorEastAsia" w:eastAsiaTheme="minorEastAsia" w:cstheme="minorEastAsia"/>
                <w:i w:val="0"/>
                <w:iCs w:val="0"/>
                <w:color w:val="000000"/>
                <w:sz w:val="20"/>
                <w:szCs w:val="20"/>
                <w:u w:val="none"/>
                <w:lang w:val="en-US" w:eastAsia="zh-CN" w:bidi="ar"/>
              </w:rPr>
              <w:t xml:space="preserve">2、含水晶头卡接</w:t>
            </w:r>
            <w:r/>
          </w:p>
        </w:tc>
        <w:tc>
          <w:tcPr>
            <w:shd w:val="clear" w:color="auto" w:fill="auto"/>
            <w:tcW w:w="982"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lang w:val="en-US" w:eastAsia="zh-CN" w:bidi="ar"/>
              </w:rPr>
              <w:t xml:space="preserve">m</w:t>
            </w:r>
            <w:r/>
          </w:p>
        </w:tc>
        <w:tc>
          <w:tcPr>
            <w:shd w:val="clear" w:color="auto" w:fill="auto"/>
            <w:tcW w:w="971"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lang w:val="en-US" w:eastAsia="zh-CN" w:bidi="ar"/>
              </w:rPr>
              <w:t xml:space="preserve">420.00 </w:t>
            </w:r>
            <w:r/>
          </w:p>
        </w:tc>
      </w:tr>
      <w:tr>
        <w:trPr>
          <w:trHeight w:val="1324"/>
        </w:trPr>
        <w:tc>
          <w:tcPr>
            <w:shd w:val="clear" w:color="auto" w:fill="auto"/>
            <w:tcW w:w="749"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lang w:val="en-US" w:eastAsia="zh-CN" w:bidi="ar"/>
              </w:rPr>
              <w:t xml:space="preserve">4</w:t>
            </w:r>
            <w:r>
              <w:rPr>
                <w:rFonts w:hint="eastAsia" w:asciiTheme="minorEastAsia" w:hAnsiTheme="minorEastAsia" w:cstheme="minorEastAsia"/>
                <w:i w:val="0"/>
                <w:iCs w:val="0"/>
                <w:color w:val="000000"/>
                <w:sz w:val="20"/>
                <w:szCs w:val="20"/>
                <w:u w:val="none"/>
                <w:lang w:val="en-US" w:eastAsia="zh-CN" w:bidi="ar"/>
              </w:rPr>
              <w:t xml:space="preserve">6</w:t>
            </w:r>
            <w:r/>
          </w:p>
        </w:tc>
        <w:tc>
          <w:tcPr>
            <w:shd w:val="clear" w:color="auto" w:fill="auto"/>
            <w:tcW w:w="1344"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lang w:val="en-US" w:eastAsia="zh-CN" w:bidi="ar"/>
              </w:rPr>
              <w:t xml:space="preserve">采购序厅影片</w:t>
            </w:r>
            <w:r/>
          </w:p>
        </w:tc>
        <w:tc>
          <w:tcPr>
            <w:shd w:val="clear" w:color="auto" w:fill="auto"/>
            <w:tcW w:w="4751"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lang w:val="en-US" w:eastAsia="zh-CN" w:bidi="ar"/>
              </w:rPr>
              <w:t xml:space="preserve">1、名称：序厅影片制作2、规格：根据甲方</w:t>
            </w:r>
            <w:r>
              <w:rPr>
                <w:rFonts w:hint="eastAsia" w:asciiTheme="minorEastAsia" w:hAnsiTheme="minorEastAsia" w:eastAsiaTheme="minorEastAsia" w:cstheme="minorEastAsia"/>
                <w:i w:val="0"/>
                <w:iCs w:val="0"/>
                <w:color w:val="000000"/>
                <w:sz w:val="20"/>
                <w:szCs w:val="20"/>
                <w:u w:val="none"/>
                <w:lang w:val="en-US" w:eastAsia="zh-CN" w:bidi="ar"/>
              </w:rPr>
              <w:br/>
            </w:r>
            <w:r>
              <w:rPr>
                <w:rFonts w:hint="eastAsia" w:asciiTheme="minorEastAsia" w:hAnsiTheme="minorEastAsia" w:eastAsiaTheme="minorEastAsia" w:cstheme="minorEastAsia"/>
                <w:i w:val="0"/>
                <w:iCs w:val="0"/>
                <w:color w:val="000000"/>
                <w:sz w:val="20"/>
                <w:szCs w:val="20"/>
                <w:u w:val="none"/>
                <w:lang w:val="en-US" w:eastAsia="zh-CN" w:bidi="ar"/>
              </w:rPr>
              <w:t xml:space="preserve">需求，收集，整理内容资料由专业策划成品采购影片大纲、分镜脚本。在确认脚本后，由专业导演带领所需专业制作团队进行具体制作工作 ，包括三维建模、特效制作等 。在所有镜头制作完成后,产出粗剪版本供甲方确认。在粗剪的基础上进行影片后期处理、配音配乐、整体影片包装制作等。渲染美化后 ，输出高质量高清影片内容</w:t>
            </w:r>
            <w:r/>
          </w:p>
        </w:tc>
        <w:tc>
          <w:tcPr>
            <w:shd w:val="clear" w:color="auto" w:fill="auto"/>
            <w:tcW w:w="982"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lang w:val="en-US" w:eastAsia="zh-CN" w:bidi="ar"/>
              </w:rPr>
              <w:t xml:space="preserve">项</w:t>
            </w:r>
            <w:r/>
          </w:p>
        </w:tc>
        <w:tc>
          <w:tcPr>
            <w:shd w:val="clear" w:color="auto" w:fill="auto"/>
            <w:tcW w:w="971"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lang w:val="en-US" w:eastAsia="zh-CN" w:bidi="ar"/>
              </w:rPr>
              <w:t xml:space="preserve">1.00 </w:t>
            </w:r>
            <w:r/>
          </w:p>
        </w:tc>
      </w:tr>
      <w:tr>
        <w:trPr>
          <w:trHeight w:val="1324"/>
        </w:trPr>
        <w:tc>
          <w:tcPr>
            <w:shd w:val="clear" w:color="auto" w:fill="auto"/>
            <w:tcW w:w="749"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lang w:val="en-US" w:eastAsia="zh-CN" w:bidi="ar"/>
              </w:rPr>
              <w:t xml:space="preserve">4</w:t>
            </w:r>
            <w:r>
              <w:rPr>
                <w:rFonts w:hint="eastAsia" w:asciiTheme="minorEastAsia" w:hAnsiTheme="minorEastAsia" w:cstheme="minorEastAsia"/>
                <w:i w:val="0"/>
                <w:iCs w:val="0"/>
                <w:color w:val="000000"/>
                <w:sz w:val="20"/>
                <w:szCs w:val="20"/>
                <w:u w:val="none"/>
                <w:lang w:val="en-US" w:eastAsia="zh-CN" w:bidi="ar"/>
              </w:rPr>
              <w:t xml:space="preserve">7</w:t>
            </w:r>
            <w:r/>
          </w:p>
        </w:tc>
        <w:tc>
          <w:tcPr>
            <w:shd w:val="clear" w:color="auto" w:fill="auto"/>
            <w:tcW w:w="1344"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lang w:val="en-US" w:eastAsia="zh-CN" w:bidi="ar"/>
              </w:rPr>
              <w:t xml:space="preserve">采购第一展厅影片</w:t>
            </w:r>
            <w:r/>
          </w:p>
        </w:tc>
        <w:tc>
          <w:tcPr>
            <w:shd w:val="clear" w:color="auto" w:fill="auto"/>
            <w:tcW w:w="4751" w:type="dxa"/>
            <w:vAlign w:val="center"/>
            <w:textDirection w:val="lrTb"/>
            <w:noWrap w:val="false"/>
          </w:tcPr>
          <w:p>
            <w:pPr>
              <w:numPr>
                <w:ilvl w:val="0"/>
                <w:numId w:val="3"/>
              </w:numPr>
              <w:jc w:val="left"/>
              <w:keepLines w:val="0"/>
              <w:keepNext w:val="0"/>
              <w:widowControl/>
              <w:rPr>
                <w:rFonts w:hint="eastAsia" w:asciiTheme="minorEastAsia" w:hAnsiTheme="minorEastAsia" w:eastAsiaTheme="minorEastAsia" w:cstheme="minorEastAsia"/>
                <w:i w:val="0"/>
                <w:iCs w:val="0"/>
                <w:color w:val="000000"/>
                <w:sz w:val="20"/>
                <w:szCs w:val="20"/>
                <w:u w:val="none"/>
                <w:lang w:val="en-US" w:eastAsia="zh-CN" w:bidi="ar"/>
              </w:rPr>
              <w:suppressLineNumbers w:val="0"/>
            </w:pPr>
            <w:r>
              <w:rPr>
                <w:rFonts w:hint="eastAsia" w:asciiTheme="minorEastAsia" w:hAnsiTheme="minorEastAsia" w:eastAsiaTheme="minorEastAsia" w:cstheme="minorEastAsia"/>
                <w:i w:val="0"/>
                <w:iCs w:val="0"/>
                <w:color w:val="000000"/>
                <w:sz w:val="20"/>
                <w:szCs w:val="20"/>
                <w:u w:val="none"/>
                <w:lang w:val="en-US" w:eastAsia="zh-CN" w:bidi="ar"/>
              </w:rPr>
              <w:t xml:space="preserve">名称：第一展厅影片制作</w:t>
            </w:r>
            <w:r/>
          </w:p>
          <w:p>
            <w:pPr>
              <w:numPr>
                <w:ilvl w:val="0"/>
                <w:numId w:val="0"/>
              </w:num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lang w:val="en-US" w:eastAsia="zh-CN" w:bidi="ar"/>
              </w:rPr>
              <w:t xml:space="preserve">2、规格：根据甲方需求，收集 ，整理内容资料由专业策划成品采购影片大纲、分镜脚本。在确认脚本后 ，  由专业导演带领所需专业制作团队进行具体制作工作 ，包括三维建模、特效制作等 。在所有镜头制作完成后, 产出粗剪版本供甲方确认。在粗剪的基础上进行影片后期处理、配音配乐、整体影片包装制作等。渲染美化后 ，输出高质量高清影片内容</w:t>
            </w:r>
            <w:r/>
          </w:p>
        </w:tc>
        <w:tc>
          <w:tcPr>
            <w:shd w:val="clear" w:color="auto" w:fill="auto"/>
            <w:tcW w:w="982"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lang w:val="en-US" w:eastAsia="zh-CN" w:bidi="ar"/>
              </w:rPr>
              <w:t xml:space="preserve">项</w:t>
            </w:r>
            <w:r/>
          </w:p>
        </w:tc>
        <w:tc>
          <w:tcPr>
            <w:shd w:val="clear" w:color="auto" w:fill="auto"/>
            <w:tcW w:w="971"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lang w:val="en-US" w:eastAsia="zh-CN" w:bidi="ar"/>
              </w:rPr>
              <w:t xml:space="preserve">1.00 </w:t>
            </w:r>
            <w:r/>
          </w:p>
        </w:tc>
      </w:tr>
      <w:tr>
        <w:trPr>
          <w:trHeight w:val="1654"/>
        </w:trPr>
        <w:tc>
          <w:tcPr>
            <w:shd w:val="clear" w:color="auto" w:fill="auto"/>
            <w:tcW w:w="749"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lang w:val="en-US" w:eastAsia="zh-CN" w:bidi="ar"/>
              </w:rPr>
              <w:t xml:space="preserve">4</w:t>
            </w:r>
            <w:r>
              <w:rPr>
                <w:rFonts w:hint="eastAsia" w:asciiTheme="minorEastAsia" w:hAnsiTheme="minorEastAsia" w:cstheme="minorEastAsia"/>
                <w:i w:val="0"/>
                <w:iCs w:val="0"/>
                <w:color w:val="000000"/>
                <w:sz w:val="20"/>
                <w:szCs w:val="20"/>
                <w:u w:val="none"/>
                <w:lang w:val="en-US" w:eastAsia="zh-CN" w:bidi="ar"/>
              </w:rPr>
              <w:t xml:space="preserve">8</w:t>
            </w:r>
            <w:r/>
          </w:p>
        </w:tc>
        <w:tc>
          <w:tcPr>
            <w:shd w:val="clear" w:color="auto" w:fill="auto"/>
            <w:tcW w:w="1344"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lang w:val="en-US" w:eastAsia="zh-CN" w:bidi="ar"/>
              </w:rPr>
              <w:t xml:space="preserve">采购第二展厅影片</w:t>
            </w:r>
            <w:r/>
          </w:p>
        </w:tc>
        <w:tc>
          <w:tcPr>
            <w:shd w:val="clear" w:color="auto" w:fill="auto"/>
            <w:tcW w:w="4751" w:type="dxa"/>
            <w:vAlign w:val="center"/>
            <w:textDirection w:val="lrTb"/>
            <w:noWrap w:val="false"/>
          </w:tcPr>
          <w:p>
            <w:pPr>
              <w:numPr>
                <w:ilvl w:val="0"/>
                <w:numId w:val="4"/>
              </w:numPr>
              <w:jc w:val="left"/>
              <w:keepLines w:val="0"/>
              <w:keepNext w:val="0"/>
              <w:widowControl/>
              <w:rPr>
                <w:rFonts w:hint="eastAsia" w:asciiTheme="minorEastAsia" w:hAnsiTheme="minorEastAsia" w:eastAsiaTheme="minorEastAsia" w:cstheme="minorEastAsia"/>
                <w:i w:val="0"/>
                <w:iCs w:val="0"/>
                <w:color w:val="000000"/>
                <w:sz w:val="20"/>
                <w:szCs w:val="20"/>
                <w:u w:val="none"/>
                <w:lang w:val="en-US" w:eastAsia="zh-CN" w:bidi="ar"/>
              </w:rPr>
              <w:suppressLineNumbers w:val="0"/>
            </w:pPr>
            <w:r>
              <w:rPr>
                <w:rFonts w:hint="eastAsia" w:asciiTheme="minorEastAsia" w:hAnsiTheme="minorEastAsia" w:eastAsiaTheme="minorEastAsia" w:cstheme="minorEastAsia"/>
                <w:i w:val="0"/>
                <w:iCs w:val="0"/>
                <w:color w:val="000000"/>
                <w:sz w:val="20"/>
                <w:szCs w:val="20"/>
                <w:u w:val="none"/>
                <w:lang w:val="en-US" w:eastAsia="zh-CN" w:bidi="ar"/>
              </w:rPr>
              <w:t xml:space="preserve">名称：第二展厅影片制作</w:t>
            </w:r>
            <w:r/>
          </w:p>
          <w:p>
            <w:pPr>
              <w:numPr>
                <w:ilvl w:val="0"/>
                <w:numId w:val="0"/>
              </w:num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lang w:val="en-US" w:eastAsia="zh-CN" w:bidi="ar"/>
              </w:rPr>
              <w:t xml:space="preserve">2、规格：根据甲方需求，收集 ，整理内容资料由专业策划成品采购影片大纲、分镜脚本。在确认脚本后，由专业导演带领所需专业制作团队进行具体制作工作 ，包括三维建模、特效制作等 。在所有镜头制作完成后, 产出粗剪版本供甲方确认。在粗剪的基础上进行影片后期处理、配音配乐、整体影片包装制作等。渲染美化后 ，输出高质量高清影片内容</w:t>
            </w:r>
            <w:r/>
          </w:p>
        </w:tc>
        <w:tc>
          <w:tcPr>
            <w:shd w:val="clear" w:color="auto" w:fill="auto"/>
            <w:tcW w:w="982"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lang w:val="en-US" w:eastAsia="zh-CN" w:bidi="ar"/>
              </w:rPr>
              <w:t xml:space="preserve">项</w:t>
            </w:r>
            <w:r/>
          </w:p>
        </w:tc>
        <w:tc>
          <w:tcPr>
            <w:shd w:val="clear" w:color="auto" w:fill="auto"/>
            <w:tcW w:w="971"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lang w:val="en-US" w:eastAsia="zh-CN" w:bidi="ar"/>
              </w:rPr>
              <w:t xml:space="preserve">1.00 </w:t>
            </w:r>
            <w:r/>
          </w:p>
        </w:tc>
      </w:tr>
      <w:tr>
        <w:trPr>
          <w:trHeight w:val="1654"/>
        </w:trPr>
        <w:tc>
          <w:tcPr>
            <w:shd w:val="clear" w:color="auto" w:fill="auto"/>
            <w:tcW w:w="749"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lang w:val="en-US" w:eastAsia="zh-CN" w:bidi="ar"/>
              </w:rPr>
              <w:t xml:space="preserve">4</w:t>
            </w:r>
            <w:r>
              <w:rPr>
                <w:rFonts w:hint="eastAsia" w:asciiTheme="minorEastAsia" w:hAnsiTheme="minorEastAsia" w:cstheme="minorEastAsia"/>
                <w:i w:val="0"/>
                <w:iCs w:val="0"/>
                <w:color w:val="000000"/>
                <w:sz w:val="20"/>
                <w:szCs w:val="20"/>
                <w:u w:val="none"/>
                <w:lang w:val="en-US" w:eastAsia="zh-CN" w:bidi="ar"/>
              </w:rPr>
              <w:t xml:space="preserve">9</w:t>
            </w:r>
            <w:r/>
          </w:p>
        </w:tc>
        <w:tc>
          <w:tcPr>
            <w:shd w:val="clear" w:color="auto" w:fill="auto"/>
            <w:tcW w:w="1344"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lang w:val="en-US" w:eastAsia="zh-CN" w:bidi="ar"/>
              </w:rPr>
              <w:t xml:space="preserve">采购第三展厅影片</w:t>
            </w:r>
            <w:r/>
          </w:p>
        </w:tc>
        <w:tc>
          <w:tcPr>
            <w:shd w:val="clear" w:color="auto" w:fill="auto"/>
            <w:tcW w:w="4751" w:type="dxa"/>
            <w:vAlign w:val="center"/>
            <w:textDirection w:val="lrTb"/>
            <w:noWrap w:val="false"/>
          </w:tcPr>
          <w:p>
            <w:pPr>
              <w:numPr>
                <w:ilvl w:val="0"/>
                <w:numId w:val="5"/>
              </w:numPr>
              <w:jc w:val="left"/>
              <w:keepLines w:val="0"/>
              <w:keepNext w:val="0"/>
              <w:widowControl/>
              <w:rPr>
                <w:rFonts w:hint="eastAsia" w:asciiTheme="minorEastAsia" w:hAnsiTheme="minorEastAsia" w:eastAsiaTheme="minorEastAsia" w:cstheme="minorEastAsia"/>
                <w:i w:val="0"/>
                <w:iCs w:val="0"/>
                <w:color w:val="000000"/>
                <w:sz w:val="20"/>
                <w:szCs w:val="20"/>
                <w:u w:val="none"/>
                <w:lang w:val="en-US" w:eastAsia="zh-CN" w:bidi="ar"/>
              </w:rPr>
              <w:suppressLineNumbers w:val="0"/>
            </w:pPr>
            <w:r>
              <w:rPr>
                <w:rFonts w:hint="eastAsia" w:asciiTheme="minorEastAsia" w:hAnsiTheme="minorEastAsia" w:eastAsiaTheme="minorEastAsia" w:cstheme="minorEastAsia"/>
                <w:i w:val="0"/>
                <w:iCs w:val="0"/>
                <w:color w:val="000000"/>
                <w:sz w:val="20"/>
                <w:szCs w:val="20"/>
                <w:u w:val="none"/>
                <w:lang w:val="en-US" w:eastAsia="zh-CN" w:bidi="ar"/>
              </w:rPr>
              <w:t xml:space="preserve">名称：第三展厅影片制作</w:t>
            </w:r>
            <w:r/>
          </w:p>
          <w:p>
            <w:pPr>
              <w:numPr>
                <w:ilvl w:val="0"/>
                <w:numId w:val="0"/>
              </w:num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lang w:val="en-US" w:eastAsia="zh-CN" w:bidi="ar"/>
              </w:rPr>
              <w:t xml:space="preserve">2、规格：根据甲方需求， 收集 ，整理内容资料由专业策划成品采购影片大纲、分镜脚本。在确认脚本后，由专业导演带领所需专业制作团队进行具体制作工作 ，包括三维建模、特效制作等 。在所有镜头制作完成后,  产出粗剪版本供甲方确认。在粗剪的基础上进行影片后期处理、配音配乐、整体影片包装制作等。渲染美化后 ，输出高质量高清影片内容</w:t>
            </w:r>
            <w:r/>
          </w:p>
        </w:tc>
        <w:tc>
          <w:tcPr>
            <w:shd w:val="clear" w:color="auto" w:fill="auto"/>
            <w:tcW w:w="982"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lang w:val="en-US" w:eastAsia="zh-CN" w:bidi="ar"/>
              </w:rPr>
              <w:t xml:space="preserve">项</w:t>
            </w:r>
            <w:r/>
          </w:p>
        </w:tc>
        <w:tc>
          <w:tcPr>
            <w:shd w:val="clear" w:color="auto" w:fill="auto"/>
            <w:tcW w:w="971"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lang w:val="en-US" w:eastAsia="zh-CN" w:bidi="ar"/>
              </w:rPr>
              <w:t xml:space="preserve">1.00 </w:t>
            </w:r>
            <w:r/>
          </w:p>
        </w:tc>
      </w:tr>
      <w:tr>
        <w:trPr>
          <w:trHeight w:val="1654"/>
        </w:trPr>
        <w:tc>
          <w:tcPr>
            <w:shd w:val="clear" w:color="auto" w:fill="auto"/>
            <w:tcW w:w="749" w:type="dxa"/>
            <w:vAlign w:val="center"/>
            <w:textDirection w:val="lrTb"/>
            <w:noWrap w:val="false"/>
          </w:tcPr>
          <w:p>
            <w:pPr>
              <w:jc w:val="center"/>
              <w:keepLines w:val="0"/>
              <w:keepNext w:val="0"/>
              <w:widowControl/>
              <w:rPr>
                <w:rFonts w:hint="default" w:asciiTheme="minorEastAsia" w:hAnsiTheme="minorEastAsia" w:eastAsiaTheme="minorEastAsia" w:cstheme="minorEastAsia"/>
                <w:i w:val="0"/>
                <w:iCs w:val="0"/>
                <w:color w:val="000000"/>
                <w:sz w:val="20"/>
                <w:szCs w:val="20"/>
                <w:u w:val="none"/>
                <w:lang w:val="en-US"/>
              </w:rPr>
              <w:suppressLineNumbers w:val="0"/>
            </w:pPr>
            <w:r>
              <w:rPr>
                <w:rFonts w:hint="eastAsia" w:asciiTheme="minorEastAsia" w:hAnsiTheme="minorEastAsia" w:cstheme="minorEastAsia"/>
                <w:i w:val="0"/>
                <w:iCs w:val="0"/>
                <w:color w:val="000000"/>
                <w:sz w:val="20"/>
                <w:szCs w:val="20"/>
                <w:u w:val="none"/>
                <w:lang w:val="en-US" w:eastAsia="zh-CN" w:bidi="ar"/>
              </w:rPr>
              <w:t xml:space="preserve">50</w:t>
            </w:r>
            <w:r/>
          </w:p>
        </w:tc>
        <w:tc>
          <w:tcPr>
            <w:shd w:val="clear" w:color="auto" w:fill="auto"/>
            <w:tcW w:w="1344"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lang w:val="en-US" w:eastAsia="zh-CN" w:bidi="ar"/>
              </w:rPr>
              <w:t xml:space="preserve">采购第四展厅影片</w:t>
            </w:r>
            <w:r/>
          </w:p>
        </w:tc>
        <w:tc>
          <w:tcPr>
            <w:shd w:val="clear" w:color="auto" w:fill="auto"/>
            <w:tcW w:w="4751" w:type="dxa"/>
            <w:vAlign w:val="center"/>
            <w:textDirection w:val="lrTb"/>
            <w:noWrap w:val="false"/>
          </w:tcPr>
          <w:p>
            <w:pPr>
              <w:numPr>
                <w:ilvl w:val="0"/>
                <w:numId w:val="6"/>
              </w:numPr>
              <w:jc w:val="left"/>
              <w:keepLines w:val="0"/>
              <w:keepNext w:val="0"/>
              <w:widowControl/>
              <w:rPr>
                <w:rFonts w:hint="eastAsia" w:asciiTheme="minorEastAsia" w:hAnsiTheme="minorEastAsia" w:eastAsiaTheme="minorEastAsia" w:cstheme="minorEastAsia"/>
                <w:i w:val="0"/>
                <w:iCs w:val="0"/>
                <w:color w:val="000000"/>
                <w:sz w:val="20"/>
                <w:szCs w:val="20"/>
                <w:u w:val="none"/>
                <w:lang w:val="en-US" w:eastAsia="zh-CN" w:bidi="ar"/>
              </w:rPr>
              <w:suppressLineNumbers w:val="0"/>
            </w:pPr>
            <w:r>
              <w:rPr>
                <w:rFonts w:hint="eastAsia" w:asciiTheme="minorEastAsia" w:hAnsiTheme="minorEastAsia" w:eastAsiaTheme="minorEastAsia" w:cstheme="minorEastAsia"/>
                <w:i w:val="0"/>
                <w:iCs w:val="0"/>
                <w:color w:val="000000"/>
                <w:sz w:val="20"/>
                <w:szCs w:val="20"/>
                <w:u w:val="none"/>
                <w:lang w:val="en-US" w:eastAsia="zh-CN" w:bidi="ar"/>
              </w:rPr>
              <w:t xml:space="preserve">名称：第四展厅影片制作</w:t>
            </w:r>
            <w:r/>
          </w:p>
          <w:p>
            <w:pPr>
              <w:numPr>
                <w:ilvl w:val="0"/>
                <w:numId w:val="0"/>
              </w:num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lang w:val="en-US" w:eastAsia="zh-CN" w:bidi="ar"/>
              </w:rPr>
              <w:t xml:space="preserve">2、规格：根据甲方需求 收集，整理内容资料由专业策划成品采购影片大纲、分镜脚本。在确认脚本后 ，由专业导演带领所需专业制作团队进行具体制作工作 ，包括三维建模、特效制作等 。在所有镜头制作完成后, 产出粗剪版本供甲方确认。在粗剪的基础上进行影片后期处理、配音配乐、整体影片包装制作等。渲染美化后 ，输出高质量高清影片内容</w:t>
            </w:r>
            <w:r/>
          </w:p>
        </w:tc>
        <w:tc>
          <w:tcPr>
            <w:shd w:val="clear" w:color="auto" w:fill="auto"/>
            <w:tcW w:w="982"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lang w:val="en-US" w:eastAsia="zh-CN" w:bidi="ar"/>
              </w:rPr>
              <w:t xml:space="preserve">项</w:t>
            </w:r>
            <w:r/>
          </w:p>
        </w:tc>
        <w:tc>
          <w:tcPr>
            <w:shd w:val="clear" w:color="auto" w:fill="auto"/>
            <w:tcW w:w="971"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lang w:val="en-US" w:eastAsia="zh-CN" w:bidi="ar"/>
              </w:rPr>
              <w:t xml:space="preserve">1.00 </w:t>
            </w:r>
            <w:r/>
          </w:p>
        </w:tc>
      </w:tr>
      <w:tr>
        <w:trPr>
          <w:trHeight w:val="995"/>
        </w:trPr>
        <w:tc>
          <w:tcPr>
            <w:shd w:val="clear" w:color="auto" w:fill="auto"/>
            <w:tcW w:w="749" w:type="dxa"/>
            <w:vAlign w:val="center"/>
            <w:textDirection w:val="lrTb"/>
            <w:noWrap w:val="false"/>
          </w:tcPr>
          <w:p>
            <w:pPr>
              <w:jc w:val="center"/>
              <w:keepLines w:val="0"/>
              <w:keepNext w:val="0"/>
              <w:widowControl/>
              <w:rPr>
                <w:rFonts w:hint="default" w:asciiTheme="minorEastAsia" w:hAnsiTheme="minorEastAsia" w:eastAsiaTheme="minorEastAsia" w:cstheme="minorEastAsia"/>
                <w:i w:val="0"/>
                <w:iCs w:val="0"/>
                <w:color w:val="000000"/>
                <w:sz w:val="20"/>
                <w:szCs w:val="20"/>
                <w:u w:val="none"/>
                <w:lang w:val="en-US"/>
              </w:rPr>
              <w:suppressLineNumbers w:val="0"/>
            </w:pPr>
            <w:r>
              <w:rPr>
                <w:rFonts w:hint="eastAsia" w:asciiTheme="minorEastAsia" w:hAnsiTheme="minorEastAsia" w:cstheme="minorEastAsia"/>
                <w:i w:val="0"/>
                <w:iCs w:val="0"/>
                <w:color w:val="000000"/>
                <w:sz w:val="20"/>
                <w:szCs w:val="20"/>
                <w:u w:val="none"/>
                <w:lang w:val="en-US" w:eastAsia="zh-CN" w:bidi="ar"/>
              </w:rPr>
              <w:t xml:space="preserve">51</w:t>
            </w:r>
            <w:r/>
          </w:p>
        </w:tc>
        <w:tc>
          <w:tcPr>
            <w:shd w:val="clear" w:color="auto" w:fill="auto"/>
            <w:tcW w:w="1344"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lang w:val="en-US" w:eastAsia="zh-CN" w:bidi="ar"/>
              </w:rPr>
              <w:t xml:space="preserve">采购第五展厅影片</w:t>
            </w:r>
            <w:r/>
          </w:p>
        </w:tc>
        <w:tc>
          <w:tcPr>
            <w:shd w:val="clear" w:color="auto" w:fill="auto"/>
            <w:tcW w:w="4751" w:type="dxa"/>
            <w:vAlign w:val="center"/>
            <w:textDirection w:val="lrTb"/>
            <w:noWrap w:val="false"/>
          </w:tcPr>
          <w:p>
            <w:pPr>
              <w:numPr>
                <w:ilvl w:val="0"/>
                <w:numId w:val="7"/>
              </w:numPr>
              <w:jc w:val="left"/>
              <w:keepLines w:val="0"/>
              <w:keepNext w:val="0"/>
              <w:widowControl/>
              <w:rPr>
                <w:rFonts w:hint="eastAsia" w:asciiTheme="minorEastAsia" w:hAnsiTheme="minorEastAsia" w:eastAsiaTheme="minorEastAsia" w:cstheme="minorEastAsia"/>
                <w:i w:val="0"/>
                <w:iCs w:val="0"/>
                <w:color w:val="000000"/>
                <w:sz w:val="20"/>
                <w:szCs w:val="20"/>
                <w:u w:val="none"/>
                <w:lang w:val="en-US" w:eastAsia="zh-CN" w:bidi="ar"/>
              </w:rPr>
              <w:suppressLineNumbers w:val="0"/>
            </w:pPr>
            <w:r>
              <w:rPr>
                <w:rFonts w:hint="eastAsia" w:asciiTheme="minorEastAsia" w:hAnsiTheme="minorEastAsia" w:eastAsiaTheme="minorEastAsia" w:cstheme="minorEastAsia"/>
                <w:i w:val="0"/>
                <w:iCs w:val="0"/>
                <w:color w:val="000000"/>
                <w:sz w:val="20"/>
                <w:szCs w:val="20"/>
                <w:u w:val="none"/>
                <w:lang w:val="en-US" w:eastAsia="zh-CN" w:bidi="ar"/>
              </w:rPr>
              <w:t xml:space="preserve">名称：第五展厅影片制作</w:t>
            </w:r>
            <w:r/>
          </w:p>
          <w:p>
            <w:pPr>
              <w:numPr>
                <w:ilvl w:val="0"/>
                <w:numId w:val="0"/>
              </w:num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lang w:val="en-US" w:eastAsia="zh-CN" w:bidi="ar"/>
              </w:rPr>
              <w:t xml:space="preserve">2、规格：根据甲方需求，收集 ，整理内容资料由专业策划成品采购影片大纲、分镜脚本。在确认脚本后 ，由专业导演带领所需专业制作团队进行具体制作工作 ，包括三维建模、特效制作等 。在所有镜头制作完成后,  产出粗剪版本供甲方确认。在粗剪的基础上进行影片后期处理、配音配乐、整体影片包装制作等。渲染美化后 ，输出高质量高清影片内容</w:t>
            </w:r>
            <w:r/>
          </w:p>
        </w:tc>
        <w:tc>
          <w:tcPr>
            <w:shd w:val="clear" w:color="auto" w:fill="auto"/>
            <w:tcW w:w="982"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lang w:val="en-US" w:eastAsia="zh-CN" w:bidi="ar"/>
              </w:rPr>
              <w:t xml:space="preserve">项</w:t>
            </w:r>
            <w:r/>
          </w:p>
        </w:tc>
        <w:tc>
          <w:tcPr>
            <w:shd w:val="clear" w:color="auto" w:fill="auto"/>
            <w:tcW w:w="971"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lang w:val="en-US" w:eastAsia="zh-CN" w:bidi="ar"/>
              </w:rPr>
              <w:t xml:space="preserve">1.00 </w:t>
            </w:r>
            <w:r/>
          </w:p>
        </w:tc>
      </w:tr>
      <w:tr>
        <w:trPr>
          <w:trHeight w:val="1654"/>
        </w:trPr>
        <w:tc>
          <w:tcPr>
            <w:shd w:val="clear" w:color="auto" w:fill="auto"/>
            <w:tcW w:w="749" w:type="dxa"/>
            <w:vAlign w:val="center"/>
            <w:textDirection w:val="lrTb"/>
            <w:noWrap w:val="false"/>
          </w:tcPr>
          <w:p>
            <w:pPr>
              <w:jc w:val="center"/>
              <w:keepLines w:val="0"/>
              <w:keepNext w:val="0"/>
              <w:widowControl/>
              <w:rPr>
                <w:rFonts w:hint="default" w:asciiTheme="minorEastAsia" w:hAnsiTheme="minorEastAsia" w:eastAsiaTheme="minorEastAsia" w:cstheme="minorEastAsia"/>
                <w:i w:val="0"/>
                <w:iCs w:val="0"/>
                <w:color w:val="000000"/>
                <w:sz w:val="20"/>
                <w:szCs w:val="20"/>
                <w:u w:val="none"/>
                <w:lang w:val="en-US"/>
              </w:rPr>
              <w:suppressLineNumbers w:val="0"/>
            </w:pPr>
            <w:r>
              <w:rPr>
                <w:rFonts w:hint="eastAsia" w:asciiTheme="minorEastAsia" w:hAnsiTheme="minorEastAsia" w:cstheme="minorEastAsia"/>
                <w:i w:val="0"/>
                <w:iCs w:val="0"/>
                <w:color w:val="000000"/>
                <w:sz w:val="20"/>
                <w:szCs w:val="20"/>
                <w:u w:val="none"/>
                <w:lang w:val="en-US" w:eastAsia="zh-CN" w:bidi="ar"/>
              </w:rPr>
              <w:t xml:space="preserve">52</w:t>
            </w:r>
            <w:r/>
          </w:p>
        </w:tc>
        <w:tc>
          <w:tcPr>
            <w:shd w:val="clear" w:color="auto" w:fill="auto"/>
            <w:tcW w:w="1344"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lang w:val="en-US" w:eastAsia="zh-CN" w:bidi="ar"/>
              </w:rPr>
              <w:t xml:space="preserve">采购第六展厅影片</w:t>
            </w:r>
            <w:r/>
          </w:p>
        </w:tc>
        <w:tc>
          <w:tcPr>
            <w:shd w:val="clear" w:color="auto" w:fill="auto"/>
            <w:tcW w:w="4751"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lang w:val="en-US" w:eastAsia="zh-CN" w:bidi="ar"/>
              </w:rPr>
              <w:suppressLineNumbers w:val="0"/>
            </w:pPr>
            <w:r>
              <w:rPr>
                <w:rFonts w:hint="eastAsia" w:asciiTheme="minorEastAsia" w:hAnsiTheme="minorEastAsia" w:eastAsiaTheme="minorEastAsia" w:cstheme="minorEastAsia"/>
                <w:i w:val="0"/>
                <w:iCs w:val="0"/>
                <w:color w:val="000000"/>
                <w:sz w:val="20"/>
                <w:szCs w:val="20"/>
                <w:u w:val="none"/>
                <w:lang w:val="en-US" w:eastAsia="zh-CN" w:bidi="ar"/>
              </w:rPr>
              <w:t xml:space="preserve">1、名称：第六展厅影片制作</w:t>
            </w:r>
            <w:r/>
          </w:p>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lang w:val="en-US" w:eastAsia="zh-CN" w:bidi="ar"/>
              </w:rPr>
              <w:t xml:space="preserve">2、规格：根据甲方需求，收集 ，整理内容资料由专业策划成品采购影片大纲、分镜脚本。在确认脚本后，由专业导演带领所需专业制作团队进行具体制作工作 ，包括三维建模、特效制作等 。在所有镜头制作完成后, 产出粗剪版本供甲方确认。在粗剪的基础上进行影片后期处理、配音配乐、整体影片包装制作等。渲染美化后 ，输出高质量高清影片内容</w:t>
            </w:r>
            <w:r/>
          </w:p>
        </w:tc>
        <w:tc>
          <w:tcPr>
            <w:shd w:val="clear" w:color="auto" w:fill="auto"/>
            <w:tcW w:w="982"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lang w:val="en-US" w:eastAsia="zh-CN" w:bidi="ar"/>
              </w:rPr>
              <w:t xml:space="preserve">项</w:t>
            </w:r>
            <w:r/>
          </w:p>
        </w:tc>
        <w:tc>
          <w:tcPr>
            <w:shd w:val="clear" w:color="auto" w:fill="auto"/>
            <w:tcW w:w="971"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lang w:val="en-US" w:eastAsia="zh-CN" w:bidi="ar"/>
              </w:rPr>
              <w:t xml:space="preserve">1.00 </w:t>
            </w:r>
            <w:r/>
          </w:p>
        </w:tc>
      </w:tr>
      <w:tr>
        <w:trPr>
          <w:trHeight w:val="144"/>
        </w:trPr>
        <w:tc>
          <w:tcPr>
            <w:shd w:val="clear" w:color="auto" w:fill="auto"/>
            <w:tcW w:w="749" w:type="dxa"/>
            <w:vAlign w:val="center"/>
            <w:textDirection w:val="lrTb"/>
            <w:noWrap w:val="false"/>
          </w:tcPr>
          <w:p>
            <w:pPr>
              <w:jc w:val="center"/>
              <w:keepLines w:val="0"/>
              <w:keepNext w:val="0"/>
              <w:widowControl/>
              <w:rPr>
                <w:rFonts w:hint="default" w:asciiTheme="minorEastAsia" w:hAnsiTheme="minorEastAsia" w:eastAsiaTheme="minorEastAsia" w:cstheme="minorEastAsia"/>
                <w:i w:val="0"/>
                <w:iCs w:val="0"/>
                <w:color w:val="000000"/>
                <w:sz w:val="20"/>
                <w:szCs w:val="20"/>
                <w:u w:val="none"/>
                <w:lang w:val="en-US"/>
              </w:rPr>
              <w:suppressLineNumbers w:val="0"/>
            </w:pPr>
            <w:r>
              <w:rPr>
                <w:rFonts w:hint="eastAsia" w:asciiTheme="minorEastAsia" w:hAnsiTheme="minorEastAsia" w:cstheme="minorEastAsia"/>
                <w:i w:val="0"/>
                <w:iCs w:val="0"/>
                <w:color w:val="000000"/>
                <w:sz w:val="20"/>
                <w:szCs w:val="20"/>
                <w:u w:val="none"/>
                <w:lang w:val="en-US" w:eastAsia="zh-CN" w:bidi="ar"/>
              </w:rPr>
              <w:t xml:space="preserve">53</w:t>
            </w:r>
            <w:r/>
          </w:p>
        </w:tc>
        <w:tc>
          <w:tcPr>
            <w:shd w:val="clear" w:color="auto" w:fill="auto"/>
            <w:tcW w:w="1344"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lang w:val="en-US" w:eastAsia="zh-CN" w:bidi="ar"/>
              </w:rPr>
              <w:t xml:space="preserve">采购第七展厅影片</w:t>
            </w:r>
            <w:r/>
          </w:p>
        </w:tc>
        <w:tc>
          <w:tcPr>
            <w:shd w:val="clear" w:color="auto" w:fill="auto"/>
            <w:tcW w:w="4751" w:type="dxa"/>
            <w:vAlign w:val="center"/>
            <w:textDirection w:val="lrTb"/>
            <w:noWrap w:val="false"/>
          </w:tcPr>
          <w:p>
            <w:pPr>
              <w:numPr>
                <w:ilvl w:val="0"/>
                <w:numId w:val="8"/>
              </w:numPr>
              <w:jc w:val="left"/>
              <w:keepLines w:val="0"/>
              <w:keepNext w:val="0"/>
              <w:widowControl/>
              <w:rPr>
                <w:rFonts w:hint="eastAsia" w:asciiTheme="minorEastAsia" w:hAnsiTheme="minorEastAsia" w:eastAsiaTheme="minorEastAsia" w:cstheme="minorEastAsia"/>
                <w:i w:val="0"/>
                <w:iCs w:val="0"/>
                <w:color w:val="000000"/>
                <w:sz w:val="20"/>
                <w:szCs w:val="20"/>
                <w:u w:val="none"/>
                <w:lang w:val="en-US" w:eastAsia="zh-CN" w:bidi="ar"/>
              </w:rPr>
              <w:suppressLineNumbers w:val="0"/>
            </w:pPr>
            <w:r>
              <w:rPr>
                <w:rFonts w:hint="eastAsia" w:asciiTheme="minorEastAsia" w:hAnsiTheme="minorEastAsia" w:eastAsiaTheme="minorEastAsia" w:cstheme="minorEastAsia"/>
                <w:i w:val="0"/>
                <w:iCs w:val="0"/>
                <w:color w:val="000000"/>
                <w:sz w:val="20"/>
                <w:szCs w:val="20"/>
                <w:u w:val="none"/>
                <w:lang w:val="en-US" w:eastAsia="zh-CN" w:bidi="ar"/>
              </w:rPr>
              <w:t xml:space="preserve">名称：第七展厅影片制作</w:t>
            </w:r>
            <w:r/>
          </w:p>
          <w:p>
            <w:pPr>
              <w:numPr>
                <w:ilvl w:val="0"/>
                <w:numId w:val="0"/>
              </w:num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lang w:val="en-US" w:eastAsia="zh-CN" w:bidi="ar"/>
              </w:rPr>
              <w:t xml:space="preserve">2、规格：根据甲方需求， 收集 ，整理内容资料由专业策划成品采购影片大纲、分镜脚本。在确认脚本后，由专业导演带领所需专业制作团队进行具体制作工作 ，包括三维建模、特效制作等 。在所有镜头制作完成后, 产出粗剪版本供甲方确认。在粗剪的基础上进行影片后期处理、配音配乐、整体影片包装制作等。渲染美化后 ，输出高质量高清影片内容</w:t>
            </w:r>
            <w:r/>
          </w:p>
        </w:tc>
        <w:tc>
          <w:tcPr>
            <w:shd w:val="clear" w:color="auto" w:fill="auto"/>
            <w:tcW w:w="982"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lang w:val="en-US" w:eastAsia="zh-CN" w:bidi="ar"/>
              </w:rPr>
              <w:t xml:space="preserve">项</w:t>
            </w:r>
            <w:r/>
          </w:p>
        </w:tc>
        <w:tc>
          <w:tcPr>
            <w:shd w:val="clear" w:color="auto" w:fill="auto"/>
            <w:tcW w:w="971"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lang w:val="en-US" w:eastAsia="zh-CN" w:bidi="ar"/>
              </w:rPr>
              <w:t xml:space="preserve">1.00 </w:t>
            </w:r>
            <w:r/>
          </w:p>
        </w:tc>
      </w:tr>
      <w:tr>
        <w:trPr>
          <w:trHeight w:val="335"/>
        </w:trPr>
        <w:tc>
          <w:tcPr>
            <w:shd w:val="clear" w:color="auto" w:fill="auto"/>
            <w:tcW w:w="749" w:type="dxa"/>
            <w:vAlign w:val="center"/>
            <w:textDirection w:val="lrTb"/>
            <w:noWrap w:val="false"/>
          </w:tcPr>
          <w:p>
            <w:pPr>
              <w:jc w:val="center"/>
              <w:keepLines w:val="0"/>
              <w:keepNext w:val="0"/>
              <w:widowControl/>
              <w:rPr>
                <w:rFonts w:hint="default" w:asciiTheme="minorEastAsia" w:hAnsiTheme="minorEastAsia" w:eastAsiaTheme="minorEastAsia" w:cstheme="minorEastAsia"/>
                <w:i w:val="0"/>
                <w:iCs w:val="0"/>
                <w:color w:val="000000"/>
                <w:sz w:val="20"/>
                <w:szCs w:val="20"/>
                <w:u w:val="none"/>
                <w:lang w:val="en-US"/>
              </w:rPr>
              <w:suppressLineNumbers w:val="0"/>
            </w:pPr>
            <w:r>
              <w:rPr>
                <w:rFonts w:hint="eastAsia" w:asciiTheme="minorEastAsia" w:hAnsiTheme="minorEastAsia" w:cstheme="minorEastAsia"/>
                <w:i w:val="0"/>
                <w:iCs w:val="0"/>
                <w:color w:val="000000"/>
                <w:sz w:val="20"/>
                <w:szCs w:val="20"/>
                <w:u w:val="none"/>
                <w:lang w:val="en-US" w:eastAsia="zh-CN" w:bidi="ar"/>
              </w:rPr>
              <w:t xml:space="preserve">54</w:t>
            </w:r>
            <w:r/>
          </w:p>
        </w:tc>
        <w:tc>
          <w:tcPr>
            <w:shd w:val="clear" w:color="auto" w:fill="auto"/>
            <w:tcW w:w="1344"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lang w:val="en-US" w:eastAsia="zh-CN" w:bidi="ar"/>
              </w:rPr>
              <w:t xml:space="preserve">空调氟利昂</w:t>
            </w:r>
            <w:r/>
          </w:p>
        </w:tc>
        <w:tc>
          <w:tcPr>
            <w:shd w:val="clear" w:color="auto" w:fill="auto"/>
            <w:tcW w:w="4751" w:type="dxa"/>
            <w:vAlign w:val="center"/>
            <w:vMerge w:val="restart"/>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lang w:val="en-US" w:eastAsia="zh-CN" w:bidi="ar"/>
              </w:rPr>
              <w:t xml:space="preserve">1、名称： 采购室外机氟利昂及检查原有空调分属系统采购更换配件等项目</w:t>
            </w:r>
            <w:r/>
          </w:p>
        </w:tc>
        <w:tc>
          <w:tcPr>
            <w:shd w:val="clear" w:color="auto" w:fill="auto"/>
            <w:tcW w:w="982"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lang w:val="en-US" w:eastAsia="zh-CN" w:bidi="ar"/>
              </w:rPr>
              <w:t xml:space="preserve">台(组</w:t>
            </w:r>
            <w:r>
              <w:rPr>
                <w:rFonts w:hint="eastAsia" w:asciiTheme="minorEastAsia" w:hAnsiTheme="minorEastAsia" w:eastAsiaTheme="minorEastAsia" w:cstheme="minorEastAsia"/>
                <w:i w:val="0"/>
                <w:iCs w:val="0"/>
                <w:color w:val="000000"/>
                <w:sz w:val="20"/>
                <w:szCs w:val="20"/>
                <w:u w:val="none"/>
                <w:lang w:val="en-US" w:eastAsia="zh-CN" w:bidi="ar"/>
              </w:rPr>
              <w:br/>
            </w:r>
            <w:r>
              <w:rPr>
                <w:rFonts w:hint="eastAsia" w:asciiTheme="minorEastAsia" w:hAnsiTheme="minorEastAsia" w:eastAsiaTheme="minorEastAsia" w:cstheme="minorEastAsia"/>
                <w:i w:val="0"/>
                <w:iCs w:val="0"/>
                <w:color w:val="000000"/>
                <w:sz w:val="20"/>
                <w:szCs w:val="20"/>
                <w:u w:val="none"/>
                <w:lang w:val="en-US" w:eastAsia="zh-CN" w:bidi="ar"/>
              </w:rPr>
              <w:t xml:space="preserve">)</w:t>
            </w:r>
            <w:r/>
          </w:p>
        </w:tc>
        <w:tc>
          <w:tcPr>
            <w:shd w:val="clear" w:color="auto" w:fill="auto"/>
            <w:tcW w:w="971"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lang w:val="en-US" w:eastAsia="zh-CN" w:bidi="ar"/>
              </w:rPr>
              <w:t xml:space="preserve">22.00 </w:t>
            </w:r>
            <w:r/>
          </w:p>
        </w:tc>
      </w:tr>
      <w:tr>
        <w:trPr>
          <w:trHeight w:val="335"/>
        </w:trPr>
        <w:tc>
          <w:tcPr>
            <w:shd w:val="clear" w:color="auto" w:fill="auto"/>
            <w:tcW w:w="749" w:type="dxa"/>
            <w:vAlign w:val="center"/>
            <w:textDirection w:val="lrTb"/>
            <w:noWrap w:val="false"/>
          </w:tcPr>
          <w:p>
            <w:pPr>
              <w:jc w:val="center"/>
              <w:keepLines w:val="0"/>
              <w:keepNext w:val="0"/>
              <w:widowControl/>
              <w:rPr>
                <w:rFonts w:hint="default" w:asciiTheme="minorEastAsia" w:hAnsiTheme="minorEastAsia" w:eastAsiaTheme="minorEastAsia" w:cstheme="minorEastAsia"/>
                <w:i w:val="0"/>
                <w:iCs w:val="0"/>
                <w:color w:val="000000"/>
                <w:sz w:val="20"/>
                <w:szCs w:val="20"/>
                <w:u w:val="none"/>
                <w:lang w:val="en-US"/>
              </w:rPr>
              <w:suppressLineNumbers w:val="0"/>
            </w:pPr>
            <w:r>
              <w:rPr>
                <w:rFonts w:hint="eastAsia" w:asciiTheme="minorEastAsia" w:hAnsiTheme="minorEastAsia" w:cstheme="minorEastAsia"/>
                <w:i w:val="0"/>
                <w:iCs w:val="0"/>
                <w:color w:val="000000"/>
                <w:sz w:val="20"/>
                <w:szCs w:val="20"/>
                <w:u w:val="none"/>
                <w:lang w:val="en-US" w:eastAsia="zh-CN" w:bidi="ar"/>
              </w:rPr>
              <w:t xml:space="preserve">55</w:t>
            </w:r>
            <w:r/>
          </w:p>
        </w:tc>
        <w:tc>
          <w:tcPr>
            <w:shd w:val="clear" w:color="auto" w:fill="auto"/>
            <w:tcW w:w="1344"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lang w:val="en-US" w:eastAsia="zh-CN" w:bidi="ar"/>
              </w:rPr>
              <w:t xml:space="preserve">空调配件</w:t>
            </w:r>
            <w:r/>
          </w:p>
        </w:tc>
        <w:tc>
          <w:tcPr>
            <w:shd w:val="clear" w:color="auto" w:fill="auto"/>
            <w:tcW w:w="4751" w:type="dxa"/>
            <w:vAlign w:val="center"/>
            <w:vMerge w:val="continue"/>
            <w:textDirection w:val="lrTb"/>
            <w:noWrap w:val="false"/>
          </w:tcPr>
          <w:p>
            <w:pPr>
              <w:jc w:val="left"/>
              <w:rPr>
                <w:rFonts w:hint="eastAsia" w:asciiTheme="minorEastAsia" w:hAnsiTheme="minorEastAsia" w:eastAsiaTheme="minorEastAsia" w:cstheme="minorEastAsia"/>
                <w:i w:val="0"/>
                <w:iCs w:val="0"/>
                <w:color w:val="000000"/>
                <w:sz w:val="20"/>
                <w:szCs w:val="20"/>
                <w:u w:val="none"/>
              </w:rPr>
            </w:pPr>
            <w:r>
              <w:rPr>
                <w:rFonts w:hint="eastAsia" w:asciiTheme="minorEastAsia" w:hAnsiTheme="minorEastAsia" w:eastAsiaTheme="minorEastAsia" w:cstheme="minorEastAsia"/>
                <w:i w:val="0"/>
                <w:iCs w:val="0"/>
                <w:color w:val="000000"/>
                <w:sz w:val="20"/>
                <w:szCs w:val="20"/>
                <w:u w:val="none"/>
              </w:rPr>
            </w:r>
            <w:r/>
          </w:p>
        </w:tc>
        <w:tc>
          <w:tcPr>
            <w:shd w:val="clear" w:color="auto" w:fill="auto"/>
            <w:tcW w:w="982"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lang w:val="en-US" w:eastAsia="zh-CN" w:bidi="ar"/>
              </w:rPr>
              <w:t xml:space="preserve">台(组</w:t>
            </w:r>
            <w:r>
              <w:rPr>
                <w:rFonts w:hint="eastAsia" w:asciiTheme="minorEastAsia" w:hAnsiTheme="minorEastAsia" w:eastAsiaTheme="minorEastAsia" w:cstheme="minorEastAsia"/>
                <w:i w:val="0"/>
                <w:iCs w:val="0"/>
                <w:color w:val="000000"/>
                <w:sz w:val="20"/>
                <w:szCs w:val="20"/>
                <w:u w:val="none"/>
                <w:lang w:val="en-US" w:eastAsia="zh-CN" w:bidi="ar"/>
              </w:rPr>
              <w:br/>
            </w:r>
            <w:r>
              <w:rPr>
                <w:rFonts w:hint="eastAsia" w:asciiTheme="minorEastAsia" w:hAnsiTheme="minorEastAsia" w:eastAsiaTheme="minorEastAsia" w:cstheme="minorEastAsia"/>
                <w:i w:val="0"/>
                <w:iCs w:val="0"/>
                <w:color w:val="000000"/>
                <w:sz w:val="20"/>
                <w:szCs w:val="20"/>
                <w:u w:val="none"/>
                <w:lang w:val="en-US" w:eastAsia="zh-CN" w:bidi="ar"/>
              </w:rPr>
              <w:t xml:space="preserve">)</w:t>
            </w:r>
            <w:r/>
          </w:p>
        </w:tc>
        <w:tc>
          <w:tcPr>
            <w:shd w:val="clear" w:color="auto" w:fill="auto"/>
            <w:tcW w:w="971"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lang w:val="en-US" w:eastAsia="zh-CN" w:bidi="ar"/>
              </w:rPr>
              <w:t xml:space="preserve">3.00 </w:t>
            </w:r>
            <w:r/>
          </w:p>
        </w:tc>
      </w:tr>
      <w:tr>
        <w:trPr>
          <w:trHeight w:val="335"/>
        </w:trPr>
        <w:tc>
          <w:tcPr>
            <w:shd w:val="clear" w:color="auto" w:fill="auto"/>
            <w:tcW w:w="749" w:type="dxa"/>
            <w:vAlign w:val="center"/>
            <w:textDirection w:val="lrTb"/>
            <w:noWrap w:val="false"/>
          </w:tcPr>
          <w:p>
            <w:pPr>
              <w:jc w:val="center"/>
              <w:keepLines w:val="0"/>
              <w:keepNext w:val="0"/>
              <w:widowControl/>
              <w:rPr>
                <w:rFonts w:hint="default" w:asciiTheme="minorEastAsia" w:hAnsiTheme="minorEastAsia" w:eastAsiaTheme="minorEastAsia" w:cstheme="minorEastAsia"/>
                <w:i w:val="0"/>
                <w:iCs w:val="0"/>
                <w:color w:val="000000"/>
                <w:sz w:val="20"/>
                <w:szCs w:val="20"/>
                <w:u w:val="none"/>
                <w:lang w:val="en-US"/>
              </w:rPr>
              <w:suppressLineNumbers w:val="0"/>
            </w:pPr>
            <w:r>
              <w:rPr>
                <w:rFonts w:hint="eastAsia" w:asciiTheme="minorEastAsia" w:hAnsiTheme="minorEastAsia" w:cstheme="minorEastAsia"/>
                <w:i w:val="0"/>
                <w:iCs w:val="0"/>
                <w:color w:val="000000"/>
                <w:sz w:val="20"/>
                <w:szCs w:val="20"/>
                <w:u w:val="none"/>
                <w:lang w:val="en-US" w:eastAsia="zh-CN" w:bidi="ar"/>
              </w:rPr>
              <w:t xml:space="preserve">56</w:t>
            </w:r>
            <w:r/>
          </w:p>
        </w:tc>
        <w:tc>
          <w:tcPr>
            <w:shd w:val="clear" w:color="auto" w:fill="auto"/>
            <w:tcW w:w="1344"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lang w:val="en-US" w:eastAsia="zh-CN" w:bidi="ar"/>
              </w:rPr>
              <w:t xml:space="preserve">空调保温</w:t>
            </w:r>
            <w:r/>
          </w:p>
        </w:tc>
        <w:tc>
          <w:tcPr>
            <w:shd w:val="clear" w:color="auto" w:fill="auto"/>
            <w:tcW w:w="4751" w:type="dxa"/>
            <w:vAlign w:val="center"/>
            <w:vMerge w:val="restart"/>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lang w:val="en-US" w:eastAsia="zh-CN" w:bidi="ar"/>
              </w:rPr>
              <w:t xml:space="preserve">1、名称：新采购新风空调风道铁皮加保温（包含原有风道的清除） 室内机移机等项目</w:t>
            </w:r>
            <w:r/>
          </w:p>
        </w:tc>
        <w:tc>
          <w:tcPr>
            <w:shd w:val="clear" w:color="auto" w:fill="auto"/>
            <w:tcW w:w="982"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lang w:val="en-US" w:eastAsia="zh-CN" w:bidi="ar"/>
              </w:rPr>
              <w:t xml:space="preserve">台(组</w:t>
            </w:r>
            <w:r>
              <w:rPr>
                <w:rFonts w:hint="eastAsia" w:asciiTheme="minorEastAsia" w:hAnsiTheme="minorEastAsia" w:eastAsiaTheme="minorEastAsia" w:cstheme="minorEastAsia"/>
                <w:i w:val="0"/>
                <w:iCs w:val="0"/>
                <w:color w:val="000000"/>
                <w:sz w:val="20"/>
                <w:szCs w:val="20"/>
                <w:u w:val="none"/>
                <w:lang w:val="en-US" w:eastAsia="zh-CN" w:bidi="ar"/>
              </w:rPr>
              <w:br/>
            </w:r>
            <w:r>
              <w:rPr>
                <w:rFonts w:hint="eastAsia" w:asciiTheme="minorEastAsia" w:hAnsiTheme="minorEastAsia" w:eastAsiaTheme="minorEastAsia" w:cstheme="minorEastAsia"/>
                <w:i w:val="0"/>
                <w:iCs w:val="0"/>
                <w:color w:val="000000"/>
                <w:sz w:val="20"/>
                <w:szCs w:val="20"/>
                <w:u w:val="none"/>
                <w:lang w:val="en-US" w:eastAsia="zh-CN" w:bidi="ar"/>
              </w:rPr>
              <w:t xml:space="preserve">)</w:t>
            </w:r>
            <w:r/>
          </w:p>
        </w:tc>
        <w:tc>
          <w:tcPr>
            <w:shd w:val="clear" w:color="auto" w:fill="auto"/>
            <w:tcW w:w="971"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lang w:val="en-US" w:eastAsia="zh-CN" w:bidi="ar"/>
              </w:rPr>
              <w:t xml:space="preserve">13.00 </w:t>
            </w:r>
            <w:r/>
          </w:p>
        </w:tc>
      </w:tr>
      <w:tr>
        <w:trPr>
          <w:trHeight w:val="335"/>
        </w:trPr>
        <w:tc>
          <w:tcPr>
            <w:shd w:val="clear" w:color="auto" w:fill="auto"/>
            <w:tcW w:w="749" w:type="dxa"/>
            <w:vAlign w:val="center"/>
            <w:textDirection w:val="lrTb"/>
            <w:noWrap w:val="false"/>
          </w:tcPr>
          <w:p>
            <w:pPr>
              <w:jc w:val="center"/>
              <w:keepLines w:val="0"/>
              <w:keepNext w:val="0"/>
              <w:widowControl/>
              <w:rPr>
                <w:rFonts w:hint="default" w:asciiTheme="minorEastAsia" w:hAnsiTheme="minorEastAsia" w:eastAsiaTheme="minorEastAsia" w:cstheme="minorEastAsia"/>
                <w:i w:val="0"/>
                <w:iCs w:val="0"/>
                <w:color w:val="000000"/>
                <w:sz w:val="20"/>
                <w:szCs w:val="20"/>
                <w:u w:val="none"/>
                <w:lang w:val="en-US"/>
              </w:rPr>
              <w:suppressLineNumbers w:val="0"/>
            </w:pPr>
            <w:r>
              <w:rPr>
                <w:rFonts w:hint="eastAsia" w:asciiTheme="minorEastAsia" w:hAnsiTheme="minorEastAsia" w:cstheme="minorEastAsia"/>
                <w:i w:val="0"/>
                <w:iCs w:val="0"/>
                <w:color w:val="000000"/>
                <w:sz w:val="20"/>
                <w:szCs w:val="20"/>
                <w:u w:val="none"/>
                <w:lang w:val="en-US" w:eastAsia="zh-CN" w:bidi="ar"/>
              </w:rPr>
              <w:t xml:space="preserve">57</w:t>
            </w:r>
            <w:r/>
          </w:p>
        </w:tc>
        <w:tc>
          <w:tcPr>
            <w:shd w:val="clear" w:color="auto" w:fill="auto"/>
            <w:tcW w:w="1344"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lang w:val="en-US" w:eastAsia="zh-CN" w:bidi="ar"/>
              </w:rPr>
              <w:t xml:space="preserve">空调器</w:t>
            </w:r>
            <w:r/>
          </w:p>
        </w:tc>
        <w:tc>
          <w:tcPr>
            <w:shd w:val="clear" w:color="auto" w:fill="auto"/>
            <w:tcW w:w="4751" w:type="dxa"/>
            <w:vAlign w:val="center"/>
            <w:vMerge w:val="continue"/>
            <w:textDirection w:val="lrTb"/>
            <w:noWrap w:val="false"/>
          </w:tcPr>
          <w:p>
            <w:pPr>
              <w:jc w:val="left"/>
              <w:rPr>
                <w:rFonts w:hint="eastAsia" w:asciiTheme="minorEastAsia" w:hAnsiTheme="minorEastAsia" w:eastAsiaTheme="minorEastAsia" w:cstheme="minorEastAsia"/>
                <w:i w:val="0"/>
                <w:iCs w:val="0"/>
                <w:color w:val="000000"/>
                <w:sz w:val="20"/>
                <w:szCs w:val="20"/>
                <w:u w:val="none"/>
              </w:rPr>
            </w:pPr>
            <w:r>
              <w:rPr>
                <w:rFonts w:hint="eastAsia" w:asciiTheme="minorEastAsia" w:hAnsiTheme="minorEastAsia" w:eastAsiaTheme="minorEastAsia" w:cstheme="minorEastAsia"/>
                <w:i w:val="0"/>
                <w:iCs w:val="0"/>
                <w:color w:val="000000"/>
                <w:sz w:val="20"/>
                <w:szCs w:val="20"/>
                <w:u w:val="none"/>
              </w:rPr>
            </w:r>
            <w:r/>
          </w:p>
        </w:tc>
        <w:tc>
          <w:tcPr>
            <w:shd w:val="clear" w:color="auto" w:fill="auto"/>
            <w:tcW w:w="982"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lang w:val="en-US" w:eastAsia="zh-CN" w:bidi="ar"/>
              </w:rPr>
              <w:t xml:space="preserve">台(组</w:t>
            </w:r>
            <w:r>
              <w:rPr>
                <w:rFonts w:hint="eastAsia" w:asciiTheme="minorEastAsia" w:hAnsiTheme="minorEastAsia" w:eastAsiaTheme="minorEastAsia" w:cstheme="minorEastAsia"/>
                <w:i w:val="0"/>
                <w:iCs w:val="0"/>
                <w:color w:val="000000"/>
                <w:sz w:val="20"/>
                <w:szCs w:val="20"/>
                <w:u w:val="none"/>
                <w:lang w:val="en-US" w:eastAsia="zh-CN" w:bidi="ar"/>
              </w:rPr>
              <w:br/>
            </w:r>
            <w:r>
              <w:rPr>
                <w:rFonts w:hint="eastAsia" w:asciiTheme="minorEastAsia" w:hAnsiTheme="minorEastAsia" w:eastAsiaTheme="minorEastAsia" w:cstheme="minorEastAsia"/>
                <w:i w:val="0"/>
                <w:iCs w:val="0"/>
                <w:color w:val="000000"/>
                <w:sz w:val="20"/>
                <w:szCs w:val="20"/>
                <w:u w:val="none"/>
                <w:lang w:val="en-US" w:eastAsia="zh-CN" w:bidi="ar"/>
              </w:rPr>
              <w:t xml:space="preserve">)</w:t>
            </w:r>
            <w:r/>
          </w:p>
        </w:tc>
        <w:tc>
          <w:tcPr>
            <w:shd w:val="clear" w:color="auto" w:fill="auto"/>
            <w:tcW w:w="971"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lang w:val="en-US" w:eastAsia="zh-CN" w:bidi="ar"/>
              </w:rPr>
              <w:t xml:space="preserve">5.00 </w:t>
            </w:r>
            <w:r/>
          </w:p>
        </w:tc>
      </w:tr>
      <w:tr>
        <w:trPr>
          <w:trHeight w:val="335"/>
        </w:trPr>
        <w:tc>
          <w:tcPr>
            <w:shd w:val="clear" w:color="auto" w:fill="auto"/>
            <w:tcW w:w="749" w:type="dxa"/>
            <w:vAlign w:val="center"/>
            <w:textDirection w:val="lrTb"/>
            <w:noWrap w:val="false"/>
          </w:tcPr>
          <w:p>
            <w:pPr>
              <w:jc w:val="center"/>
              <w:keepLines w:val="0"/>
              <w:keepNext w:val="0"/>
              <w:widowControl/>
              <w:rPr>
                <w:rFonts w:hint="default" w:asciiTheme="minorEastAsia" w:hAnsiTheme="minorEastAsia" w:eastAsiaTheme="minorEastAsia" w:cstheme="minorEastAsia"/>
                <w:i w:val="0"/>
                <w:iCs w:val="0"/>
                <w:color w:val="000000"/>
                <w:sz w:val="20"/>
                <w:szCs w:val="20"/>
                <w:u w:val="none"/>
                <w:lang w:val="en-US"/>
              </w:rPr>
              <w:suppressLineNumbers w:val="0"/>
            </w:pPr>
            <w:r>
              <w:rPr>
                <w:rFonts w:hint="eastAsia" w:asciiTheme="minorEastAsia" w:hAnsiTheme="minorEastAsia" w:cstheme="minorEastAsia"/>
                <w:i w:val="0"/>
                <w:iCs w:val="0"/>
                <w:color w:val="000000"/>
                <w:sz w:val="20"/>
                <w:szCs w:val="20"/>
                <w:u w:val="none"/>
                <w:lang w:val="en-US" w:eastAsia="zh-CN" w:bidi="ar"/>
              </w:rPr>
              <w:t xml:space="preserve">58</w:t>
            </w:r>
            <w:r/>
          </w:p>
        </w:tc>
        <w:tc>
          <w:tcPr>
            <w:shd w:val="clear" w:color="auto" w:fill="auto"/>
            <w:tcW w:w="1344"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lang w:val="en-US" w:eastAsia="zh-CN" w:bidi="ar"/>
              </w:rPr>
              <w:t xml:space="preserve">碳钢通风管道</w:t>
            </w:r>
            <w:r/>
          </w:p>
        </w:tc>
        <w:tc>
          <w:tcPr>
            <w:shd w:val="clear" w:color="auto" w:fill="auto"/>
            <w:tcW w:w="4751" w:type="dxa"/>
            <w:vAlign w:val="center"/>
            <w:vMerge w:val="continue"/>
            <w:textDirection w:val="lrTb"/>
            <w:noWrap w:val="false"/>
          </w:tcPr>
          <w:p>
            <w:pPr>
              <w:jc w:val="left"/>
              <w:rPr>
                <w:rFonts w:hint="eastAsia" w:asciiTheme="minorEastAsia" w:hAnsiTheme="minorEastAsia" w:eastAsiaTheme="minorEastAsia" w:cstheme="minorEastAsia"/>
                <w:i w:val="0"/>
                <w:iCs w:val="0"/>
                <w:color w:val="000000"/>
                <w:sz w:val="20"/>
                <w:szCs w:val="20"/>
                <w:u w:val="none"/>
              </w:rPr>
            </w:pPr>
            <w:r>
              <w:rPr>
                <w:rFonts w:hint="eastAsia" w:asciiTheme="minorEastAsia" w:hAnsiTheme="minorEastAsia" w:eastAsiaTheme="minorEastAsia" w:cstheme="minorEastAsia"/>
                <w:i w:val="0"/>
                <w:iCs w:val="0"/>
                <w:color w:val="000000"/>
                <w:sz w:val="20"/>
                <w:szCs w:val="20"/>
                <w:u w:val="none"/>
              </w:rPr>
            </w:r>
            <w:r/>
          </w:p>
        </w:tc>
        <w:tc>
          <w:tcPr>
            <w:shd w:val="clear" w:color="auto" w:fill="auto"/>
            <w:tcW w:w="982"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lang w:val="en-US" w:eastAsia="zh-CN" w:bidi="ar"/>
              </w:rPr>
              <w:t xml:space="preserve">m2</w:t>
            </w:r>
            <w:r/>
          </w:p>
        </w:tc>
        <w:tc>
          <w:tcPr>
            <w:shd w:val="clear" w:color="auto" w:fill="auto"/>
            <w:tcW w:w="971"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lang w:val="en-US" w:eastAsia="zh-CN" w:bidi="ar"/>
              </w:rPr>
              <w:t xml:space="preserve">45.00 </w:t>
            </w:r>
            <w:r/>
          </w:p>
        </w:tc>
      </w:tr>
      <w:tr>
        <w:trPr>
          <w:trHeight w:val="171"/>
        </w:trPr>
        <w:tc>
          <w:tcPr>
            <w:shd w:val="clear" w:color="auto" w:fill="auto"/>
            <w:tcW w:w="749" w:type="dxa"/>
            <w:vAlign w:val="center"/>
            <w:textDirection w:val="lrTb"/>
            <w:noWrap w:val="false"/>
          </w:tcPr>
          <w:p>
            <w:pPr>
              <w:jc w:val="center"/>
              <w:keepLines w:val="0"/>
              <w:keepNext w:val="0"/>
              <w:widowControl/>
              <w:rPr>
                <w:rFonts w:hint="default" w:asciiTheme="minorEastAsia" w:hAnsiTheme="minorEastAsia" w:eastAsiaTheme="minorEastAsia" w:cstheme="minorEastAsia"/>
                <w:i w:val="0"/>
                <w:iCs w:val="0"/>
                <w:color w:val="000000"/>
                <w:sz w:val="20"/>
                <w:szCs w:val="20"/>
                <w:u w:val="none"/>
                <w:lang w:val="en-US"/>
              </w:rPr>
              <w:suppressLineNumbers w:val="0"/>
            </w:pPr>
            <w:r>
              <w:rPr>
                <w:rFonts w:hint="eastAsia" w:asciiTheme="minorEastAsia" w:hAnsiTheme="minorEastAsia" w:cstheme="minorEastAsia"/>
                <w:i w:val="0"/>
                <w:iCs w:val="0"/>
                <w:color w:val="000000"/>
                <w:sz w:val="20"/>
                <w:szCs w:val="20"/>
                <w:u w:val="none"/>
                <w:lang w:val="en-US" w:eastAsia="zh-CN" w:bidi="ar"/>
              </w:rPr>
              <w:t xml:space="preserve">59</w:t>
            </w:r>
            <w:r/>
          </w:p>
        </w:tc>
        <w:tc>
          <w:tcPr>
            <w:shd w:val="clear" w:color="auto" w:fill="auto"/>
            <w:tcW w:w="1344"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lang w:val="en-US" w:eastAsia="zh-CN" w:bidi="ar"/>
              </w:rPr>
              <w:t xml:space="preserve">空调电路</w:t>
            </w:r>
            <w:r/>
          </w:p>
        </w:tc>
        <w:tc>
          <w:tcPr>
            <w:shd w:val="clear" w:color="auto" w:fill="auto"/>
            <w:tcW w:w="4751"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lang w:val="en-US" w:eastAsia="zh-CN" w:bidi="ar"/>
              </w:rPr>
              <w:t xml:space="preserve">1、名称：  采购空调电线路</w:t>
            </w:r>
            <w:r/>
          </w:p>
        </w:tc>
        <w:tc>
          <w:tcPr>
            <w:shd w:val="clear" w:color="auto" w:fill="auto"/>
            <w:tcW w:w="982"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lang w:val="en-US" w:eastAsia="zh-CN" w:bidi="ar"/>
              </w:rPr>
              <w:t xml:space="preserve">m</w:t>
            </w:r>
            <w:r/>
          </w:p>
        </w:tc>
        <w:tc>
          <w:tcPr>
            <w:shd w:val="clear" w:color="auto" w:fill="auto"/>
            <w:tcW w:w="971"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lang w:val="en-US" w:eastAsia="zh-CN" w:bidi="ar"/>
              </w:rPr>
              <w:t xml:space="preserve">150.00 </w:t>
            </w:r>
            <w:r/>
          </w:p>
        </w:tc>
      </w:tr>
      <w:tr>
        <w:trPr>
          <w:trHeight w:val="171"/>
        </w:trPr>
        <w:tc>
          <w:tcPr>
            <w:shd w:val="clear" w:color="auto" w:fill="auto"/>
            <w:tcW w:w="749"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60</w:t>
            </w:r>
            <w:r/>
          </w:p>
        </w:tc>
        <w:tc>
          <w:tcPr>
            <w:shd w:val="clear" w:color="auto" w:fill="auto"/>
            <w:tcW w:w="1344"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空调控制器</w:t>
            </w:r>
            <w:r/>
          </w:p>
        </w:tc>
        <w:tc>
          <w:tcPr>
            <w:shd w:val="clear" w:color="auto" w:fill="auto"/>
            <w:tcW w:w="4751"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一、核心控制能力 兼容Wi-Fi 802.11 b/g/n、蓝牙5.0及ZigBee 3.0协议，可集中管控美的全系空调、热水器、新风、灯光等10类设备，单系统最大接入设备数30台。控制响应延迟≤80ms，多设备联动同步误差＜15ms，支持20组场景模式预设（如“回家模式”“离家模式”），场景切换时间≤2秒，适配多元使用需求。</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二、硬件与交互参数 搭载四核ARM Cortex-A35处理器，主频1.2GHz，搭配1GB DDR4内存+8GB存储，保障多任务稳定运行。接口含千兆网口×1、RS485串口×2、USB 2.0接口×1，支持外接温湿度传感器及扩展模块。支持手机APP、语音（兼容美的美居音箱）、本地触控三种控制方式，内置权限分级管理功能。</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三、运行与安全参数工作电压AC 100-240V，功率≤10W，具备过流、过压、防短路三重保护。工作温度-5℃-45℃，湿度10%-90%无结露，支持7×24小时连续运行，平均无故障时间≥60000小时。数据传输采用AES-128加密，内置电量统计功能，能耗数据采集精度≤±2%，可联动峰谷电智能调节。</w:t>
            </w:r>
            <w:r/>
          </w:p>
        </w:tc>
        <w:tc>
          <w:tcPr>
            <w:shd w:val="clear" w:color="auto" w:fill="auto"/>
            <w:tcW w:w="982"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W w:w="971"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1.00 </w:t>
            </w:r>
            <w:r/>
          </w:p>
        </w:tc>
      </w:tr>
      <w:tr>
        <w:trPr>
          <w:trHeight w:val="90"/>
        </w:trPr>
        <w:tc>
          <w:tcPr>
            <w:shd w:val="clear" w:color="auto" w:fill="auto"/>
            <w:tcW w:w="749" w:type="dxa"/>
            <w:vAlign w:val="center"/>
            <w:textDirection w:val="lrTb"/>
            <w:noWrap w:val="false"/>
          </w:tcPr>
          <w:p>
            <w:pPr>
              <w:jc w:val="center"/>
              <w:keepLines w:val="0"/>
              <w:keepNext w:val="0"/>
              <w:widowControl/>
              <w:rPr>
                <w:rFonts w:hint="default" w:asciiTheme="minorEastAsia" w:hAnsiTheme="minorEastAsia" w:eastAsiaTheme="minorEastAsia" w:cstheme="minorEastAsia"/>
                <w:i w:val="0"/>
                <w:iCs w:val="0"/>
                <w:color w:val="000000"/>
                <w:sz w:val="20"/>
                <w:szCs w:val="20"/>
                <w:u w:val="none"/>
                <w:lang w:val="en-US"/>
              </w:rPr>
              <w:suppressLineNumbers w:val="0"/>
            </w:pPr>
            <w:r>
              <w:rPr>
                <w:rFonts w:hint="eastAsia" w:asciiTheme="minorEastAsia" w:hAnsiTheme="minorEastAsia" w:cstheme="minorEastAsia"/>
                <w:i w:val="0"/>
                <w:iCs w:val="0"/>
                <w:color w:val="000000"/>
                <w:sz w:val="20"/>
                <w:szCs w:val="20"/>
                <w:u w:val="none"/>
                <w:lang w:val="en-US" w:eastAsia="zh-CN" w:bidi="ar"/>
              </w:rPr>
              <w:t xml:space="preserve">61</w:t>
            </w:r>
            <w:r/>
          </w:p>
        </w:tc>
        <w:tc>
          <w:tcPr>
            <w:shd w:val="clear" w:color="auto" w:fill="auto"/>
            <w:tcW w:w="1344"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lang w:val="en-US" w:eastAsia="zh-CN" w:bidi="ar"/>
              </w:rPr>
              <w:t xml:space="preserve">电子感应门</w:t>
            </w:r>
            <w:r/>
          </w:p>
        </w:tc>
        <w:tc>
          <w:tcPr>
            <w:shd w:val="clear" w:color="auto" w:fill="auto"/>
            <w:tcW w:w="4751" w:type="dxa"/>
            <w:vAlign w:val="center"/>
            <w:textDirection w:val="lrTb"/>
            <w:noWrap w:val="false"/>
          </w:tcPr>
          <w:p>
            <w:pPr>
              <w:numPr>
                <w:ilvl w:val="0"/>
                <w:numId w:val="9"/>
              </w:numPr>
              <w:jc w:val="left"/>
              <w:keepLines w:val="0"/>
              <w:keepNext w:val="0"/>
              <w:widowControl/>
              <w:rPr>
                <w:rFonts w:hint="eastAsia" w:asciiTheme="minorEastAsia" w:hAnsiTheme="minorEastAsia" w:eastAsiaTheme="minorEastAsia" w:cstheme="minorEastAsia"/>
                <w:i w:val="0"/>
                <w:iCs w:val="0"/>
                <w:color w:val="000000"/>
                <w:sz w:val="20"/>
                <w:szCs w:val="20"/>
                <w:u w:val="none"/>
                <w:lang w:val="en-US" w:eastAsia="zh-CN" w:bidi="ar"/>
              </w:rPr>
              <w:suppressLineNumbers w:val="0"/>
            </w:pPr>
            <w:r>
              <w:rPr>
                <w:rFonts w:hint="eastAsia" w:asciiTheme="minorEastAsia" w:hAnsiTheme="minorEastAsia" w:eastAsiaTheme="minorEastAsia" w:cstheme="minorEastAsia"/>
                <w:i w:val="0"/>
                <w:iCs w:val="0"/>
                <w:color w:val="000000"/>
                <w:sz w:val="20"/>
                <w:szCs w:val="20"/>
                <w:u w:val="none"/>
                <w:lang w:val="en-US" w:eastAsia="zh-CN" w:bidi="ar"/>
              </w:rPr>
              <w:t xml:space="preserve">规格尺寸:总长7.5m，总宽3.49m（含门框及安装预留间隙）；实际通行宽度可按需调整，适配使用需求。</w:t>
            </w:r>
            <w:r/>
          </w:p>
          <w:p>
            <w:pPr>
              <w:numPr>
                <w:ilvl w:val="0"/>
                <w:numId w:val="9"/>
              </w:numPr>
              <w:ind w:left="0" w:firstLine="0"/>
              <w:jc w:val="left"/>
              <w:keepLines w:val="0"/>
              <w:keepNext w:val="0"/>
              <w:widowControl/>
              <w:rPr>
                <w:rFonts w:hint="eastAsia" w:asciiTheme="minorEastAsia" w:hAnsiTheme="minorEastAsia" w:eastAsiaTheme="minorEastAsia" w:cstheme="minorEastAsia"/>
                <w:i w:val="0"/>
                <w:iCs w:val="0"/>
                <w:color w:val="000000"/>
                <w:sz w:val="20"/>
                <w:szCs w:val="20"/>
                <w:u w:val="none"/>
                <w:lang w:val="en-US" w:eastAsia="zh-CN" w:bidi="ar"/>
              </w:rPr>
              <w:suppressLineNumbers w:val="0"/>
            </w:pPr>
            <w:r>
              <w:rPr>
                <w:rFonts w:hint="eastAsia" w:asciiTheme="minorEastAsia" w:hAnsiTheme="minorEastAsia" w:eastAsiaTheme="minorEastAsia" w:cstheme="minorEastAsia"/>
                <w:i w:val="0"/>
                <w:iCs w:val="0"/>
                <w:color w:val="000000"/>
                <w:sz w:val="20"/>
                <w:szCs w:val="20"/>
                <w:u w:val="none"/>
                <w:lang w:val="en-US" w:eastAsia="zh-CN" w:bidi="ar"/>
              </w:rPr>
              <w:t xml:space="preserve">门框材质及表面处理:采用6063-T5铝合金，门框壁厚≥1.2mm，抗变形、承重性好。表面棕砂纹静电粉末喷涂，耐盐雾≥48小时（GB/T 10125-2021），色泽均匀，耐磨易清洁。</w:t>
            </w:r>
            <w:r/>
          </w:p>
          <w:p>
            <w:pPr>
              <w:numPr>
                <w:ilvl w:val="0"/>
                <w:numId w:val="9"/>
              </w:numPr>
              <w:ind w:left="0" w:firstLine="0"/>
              <w:jc w:val="left"/>
              <w:keepLines w:val="0"/>
              <w:keepNext w:val="0"/>
              <w:widowControl/>
              <w:rPr>
                <w:rFonts w:hint="eastAsia" w:asciiTheme="minorEastAsia" w:hAnsiTheme="minorEastAsia" w:eastAsiaTheme="minorEastAsia" w:cstheme="minorEastAsia"/>
                <w:i w:val="0"/>
                <w:iCs w:val="0"/>
                <w:color w:val="000000"/>
                <w:sz w:val="20"/>
                <w:szCs w:val="20"/>
                <w:u w:val="none"/>
                <w:lang w:val="en-US" w:eastAsia="zh-CN" w:bidi="ar"/>
              </w:rPr>
              <w:suppressLineNumbers w:val="0"/>
            </w:pPr>
            <w:r>
              <w:rPr>
                <w:rFonts w:hint="eastAsia" w:asciiTheme="minorEastAsia" w:hAnsiTheme="minorEastAsia" w:eastAsiaTheme="minorEastAsia" w:cstheme="minorEastAsia"/>
                <w:i w:val="0"/>
                <w:iCs w:val="0"/>
                <w:color w:val="000000"/>
                <w:sz w:val="20"/>
                <w:szCs w:val="20"/>
                <w:u w:val="none"/>
                <w:lang w:val="en-US" w:eastAsia="zh-CN" w:bidi="ar"/>
              </w:rPr>
              <w:t xml:space="preserve">门扇结构及材质:门扇框架为6063-T5铝合金，边框壁厚≥1.0mm，结构稳定。全玻璃通透设计，无芯材，兼顾采光与美观，适配多种装修风格。</w:t>
            </w:r>
            <w:r>
              <w:rPr>
                <w:rFonts w:hint="eastAsia" w:asciiTheme="minorEastAsia" w:hAnsiTheme="minorEastAsia" w:eastAsiaTheme="minorEastAsia" w:cstheme="minorEastAsia"/>
                <w:i w:val="0"/>
                <w:iCs w:val="0"/>
                <w:color w:val="000000"/>
                <w:sz w:val="20"/>
                <w:szCs w:val="20"/>
                <w:u w:val="none"/>
                <w:lang w:val="en-US" w:eastAsia="zh-CN" w:bidi="ar"/>
              </w:rPr>
              <w:br/>
            </w:r>
            <w:r>
              <w:rPr>
                <w:rFonts w:hint="eastAsia" w:asciiTheme="minorEastAsia" w:hAnsiTheme="minorEastAsia" w:eastAsiaTheme="minorEastAsia" w:cstheme="minorEastAsia"/>
                <w:i w:val="0"/>
                <w:iCs w:val="0"/>
                <w:color w:val="000000"/>
                <w:sz w:val="20"/>
                <w:szCs w:val="20"/>
                <w:u w:val="none"/>
                <w:lang w:val="en-US" w:eastAsia="zh-CN" w:bidi="ar"/>
              </w:rPr>
              <w:t xml:space="preserve">四、玻璃配置:选用10mm安全钢化玻璃（GB/T 9963-2016），破碎后呈钝角小颗粒，安全可靠。透光率≥85%，抗冲击、弯曲强度达行业一级，无裂纹、气泡等缺陷。</w:t>
            </w:r>
            <w:r/>
          </w:p>
          <w:p>
            <w:pPr>
              <w:numPr>
                <w:ilvl w:val="0"/>
                <w:numId w:val="0"/>
              </w:numPr>
              <w:jc w:val="left"/>
              <w:keepLines w:val="0"/>
              <w:keepNext w:val="0"/>
              <w:widowControl/>
              <w:rPr>
                <w:rFonts w:hint="eastAsia" w:asciiTheme="minorEastAsia" w:hAnsiTheme="minorEastAsia" w:eastAsiaTheme="minorEastAsia" w:cstheme="minorEastAsia"/>
                <w:i w:val="0"/>
                <w:iCs w:val="0"/>
                <w:color w:val="000000"/>
                <w:sz w:val="20"/>
                <w:szCs w:val="20"/>
                <w:u w:val="none"/>
                <w:lang w:val="en-US" w:eastAsia="zh-CN" w:bidi="ar"/>
              </w:rPr>
              <w:suppressLineNumbers w:val="0"/>
            </w:pPr>
            <w:r>
              <w:rPr>
                <w:rFonts w:hint="eastAsia" w:asciiTheme="minorEastAsia" w:hAnsiTheme="minorEastAsia" w:eastAsiaTheme="minorEastAsia" w:cstheme="minorEastAsia"/>
                <w:i w:val="0"/>
                <w:iCs w:val="0"/>
                <w:color w:val="000000"/>
                <w:sz w:val="20"/>
                <w:szCs w:val="20"/>
                <w:u w:val="none"/>
                <w:lang w:val="en-US" w:eastAsia="zh-CN" w:bidi="ar"/>
              </w:rPr>
              <w:t xml:space="preserve">五、电</w:t>
            </w:r>
            <w:r>
              <w:rPr>
                <w:rFonts w:hint="eastAsia" w:asciiTheme="minorEastAsia" w:hAnsiTheme="minorEastAsia" w:eastAsiaTheme="minorEastAsia" w:cstheme="minorEastAsia"/>
                <w:i w:val="0"/>
                <w:iCs w:val="0"/>
                <w:color w:val="000000"/>
                <w:sz w:val="20"/>
                <w:szCs w:val="20"/>
                <w:u w:val="none"/>
                <w:lang w:val="en-US" w:eastAsia="zh-CN" w:bidi="ar"/>
              </w:rPr>
              <w:t xml:space="preserve">子感应控制设备:（一）感应方式微波+红外双重感应，防误触，感应距离0.5-3m可调，适配不同人流场景。（二）控制模块工业级PLC控制器，支持常开/常闭/自动一键切换，响应时间≤0.3s，运行稳定。（三）驱动系统直流无刷电机（额定功率≥120W），运行速度0.2-0.5m/s可调，噪音≤55dB（A），节能静音。（四）安全防护双重防夹传感器，遇障碍反向开启；配紧急停止、断电手动开启功能，满足应急逃生。具备过载、过压、短路保护，杜绝安全隐患。（五）辅助功能延时关闭0-30s可调，适配不同通行效率需求，减少能耗。</w:t>
            </w:r>
            <w:r/>
          </w:p>
          <w:p>
            <w:pPr>
              <w:numPr>
                <w:ilvl w:val="0"/>
                <w:numId w:val="0"/>
              </w:numPr>
              <w:jc w:val="left"/>
              <w:keepLines w:val="0"/>
              <w:keepNext w:val="0"/>
              <w:widowControl/>
              <w:rPr>
                <w:rFonts w:hint="eastAsia" w:asciiTheme="minorEastAsia" w:hAnsiTheme="minorEastAsia" w:eastAsiaTheme="minorEastAsia" w:cstheme="minorEastAsia"/>
                <w:i w:val="0"/>
                <w:iCs w:val="0"/>
                <w:color w:val="000000"/>
                <w:sz w:val="20"/>
                <w:szCs w:val="20"/>
                <w:u w:val="none"/>
                <w:lang w:val="en-US" w:eastAsia="zh-CN" w:bidi="ar"/>
              </w:rPr>
              <w:suppressLineNumbers w:val="0"/>
            </w:pPr>
            <w:r>
              <w:rPr>
                <w:rFonts w:hint="eastAsia" w:asciiTheme="minorEastAsia" w:hAnsiTheme="minorEastAsia" w:eastAsiaTheme="minorEastAsia" w:cstheme="minorEastAsia"/>
                <w:i w:val="0"/>
                <w:iCs w:val="0"/>
                <w:color w:val="000000"/>
                <w:sz w:val="20"/>
                <w:szCs w:val="20"/>
                <w:u w:val="none"/>
                <w:lang w:val="en-US" w:eastAsia="zh-CN" w:bidi="ar"/>
              </w:rPr>
              <w:t xml:space="preserve">六、五金配件304不锈钢合页（单副承重≥80kg），启闭顺滑；电磁锁（吸力≥200kg，断电解锁），防盗安全。辅材均防锈防腐（符合GB/T 3098），保障使用寿命。</w:t>
            </w:r>
            <w:r/>
          </w:p>
          <w:p>
            <w:pPr>
              <w:numPr>
                <w:ilvl w:val="0"/>
                <w:numId w:val="0"/>
              </w:num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lang w:val="en-US" w:eastAsia="zh-CN" w:bidi="ar"/>
              </w:rPr>
              <w:t xml:space="preserve">七、安装及验收标准安装遵循JGJ 100-2015，门框垂直度偏差≤2mm/m，门扇启闭灵活、密封良好。</w:t>
            </w:r>
            <w:r/>
          </w:p>
        </w:tc>
        <w:tc>
          <w:tcPr>
            <w:shd w:val="clear" w:color="auto" w:fill="auto"/>
            <w:tcW w:w="982"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lang w:val="en-US" w:eastAsia="zh-CN" w:bidi="ar"/>
              </w:rPr>
              <w:t xml:space="preserve">m2</w:t>
            </w:r>
            <w:r/>
          </w:p>
        </w:tc>
        <w:tc>
          <w:tcPr>
            <w:shd w:val="clear" w:color="auto" w:fill="auto"/>
            <w:tcW w:w="971"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lang w:val="en-US" w:eastAsia="zh-CN" w:bidi="ar"/>
              </w:rPr>
              <w:t xml:space="preserve">26.18</w:t>
            </w:r>
            <w:r/>
          </w:p>
        </w:tc>
      </w:tr>
      <w:tr>
        <w:trPr>
          <w:trHeight w:val="3302"/>
        </w:trPr>
        <w:tc>
          <w:tcPr>
            <w:shd w:val="clear" w:color="auto" w:fill="auto"/>
            <w:tcW w:w="749" w:type="dxa"/>
            <w:vAlign w:val="center"/>
            <w:textDirection w:val="lrTb"/>
            <w:noWrap w:val="false"/>
          </w:tcPr>
          <w:p>
            <w:pPr>
              <w:jc w:val="center"/>
              <w:keepLines w:val="0"/>
              <w:keepNext w:val="0"/>
              <w:widowControl/>
              <w:rPr>
                <w:rFonts w:hint="default" w:asciiTheme="minorEastAsia" w:hAnsiTheme="minorEastAsia" w:eastAsiaTheme="minorEastAsia" w:cstheme="minorEastAsia"/>
                <w:i w:val="0"/>
                <w:iCs w:val="0"/>
                <w:color w:val="000000"/>
                <w:sz w:val="20"/>
                <w:szCs w:val="20"/>
                <w:u w:val="none"/>
                <w:lang w:val="en-US"/>
              </w:rPr>
              <w:suppressLineNumbers w:val="0"/>
            </w:pPr>
            <w:r>
              <w:rPr>
                <w:rFonts w:hint="eastAsia" w:asciiTheme="minorEastAsia" w:hAnsiTheme="minorEastAsia" w:cstheme="minorEastAsia"/>
                <w:i w:val="0"/>
                <w:iCs w:val="0"/>
                <w:color w:val="000000"/>
                <w:sz w:val="20"/>
                <w:szCs w:val="20"/>
                <w:u w:val="none"/>
                <w:lang w:val="en-US" w:eastAsia="zh-CN" w:bidi="ar"/>
              </w:rPr>
              <w:t xml:space="preserve">62</w:t>
            </w:r>
            <w:r/>
          </w:p>
        </w:tc>
        <w:tc>
          <w:tcPr>
            <w:shd w:val="clear" w:color="auto" w:fill="auto"/>
            <w:tcW w:w="1344"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lang w:val="en-US" w:eastAsia="zh-CN" w:bidi="ar"/>
              </w:rPr>
              <w:t xml:space="preserve">采购石材</w:t>
            </w:r>
            <w:r/>
          </w:p>
        </w:tc>
        <w:tc>
          <w:tcPr>
            <w:shd w:val="clear" w:color="auto" w:fill="auto"/>
            <w:tcW w:w="4751" w:type="dxa"/>
            <w:vAlign w:val="center"/>
            <w:textDirection w:val="lrTb"/>
            <w:noWrap w:val="false"/>
          </w:tcPr>
          <w:p>
            <w:pPr>
              <w:numPr>
                <w:ilvl w:val="0"/>
                <w:numId w:val="10"/>
              </w:numPr>
              <w:jc w:val="left"/>
              <w:keepLines w:val="0"/>
              <w:keepNext w:val="0"/>
              <w:widowControl/>
              <w:rPr>
                <w:rFonts w:hint="eastAsia" w:asciiTheme="minorEastAsia" w:hAnsiTheme="minorEastAsia" w:eastAsiaTheme="minorEastAsia" w:cstheme="minorEastAsia"/>
                <w:i w:val="0"/>
                <w:iCs w:val="0"/>
                <w:color w:val="000000"/>
                <w:sz w:val="20"/>
                <w:szCs w:val="20"/>
                <w:u w:val="none"/>
                <w:lang w:val="en-US" w:eastAsia="zh-CN" w:bidi="ar"/>
              </w:rPr>
              <w:suppressLineNumbers w:val="0"/>
            </w:pPr>
            <w:r>
              <w:rPr>
                <w:rFonts w:hint="eastAsia" w:asciiTheme="minorEastAsia" w:hAnsiTheme="minorEastAsia" w:eastAsiaTheme="minorEastAsia" w:cstheme="minorEastAsia"/>
                <w:i w:val="0"/>
                <w:iCs w:val="0"/>
                <w:color w:val="000000"/>
                <w:sz w:val="20"/>
                <w:szCs w:val="20"/>
                <w:u w:val="none"/>
                <w:lang w:val="en-US" w:eastAsia="zh-CN" w:bidi="ar"/>
              </w:rPr>
              <w:t xml:space="preserve">面层石材</w:t>
            </w:r>
            <w:r/>
          </w:p>
          <w:p>
            <w:pPr>
              <w:numPr>
                <w:ilvl w:val="0"/>
                <w:numId w:val="11"/>
              </w:numPr>
              <w:jc w:val="left"/>
              <w:keepLines w:val="0"/>
              <w:keepNext w:val="0"/>
              <w:widowControl/>
              <w:rPr>
                <w:rFonts w:hint="eastAsia" w:asciiTheme="minorEastAsia" w:hAnsiTheme="minorEastAsia" w:eastAsiaTheme="minorEastAsia" w:cstheme="minorEastAsia"/>
                <w:i w:val="0"/>
                <w:iCs w:val="0"/>
                <w:color w:val="000000"/>
                <w:sz w:val="20"/>
                <w:szCs w:val="20"/>
                <w:u w:val="none"/>
                <w:lang w:val="en-US" w:eastAsia="zh-CN" w:bidi="ar"/>
              </w:rPr>
              <w:suppressLineNumbers w:val="0"/>
            </w:pPr>
            <w:r>
              <w:rPr>
                <w:rFonts w:hint="eastAsia" w:asciiTheme="minorEastAsia" w:hAnsiTheme="minorEastAsia" w:eastAsiaTheme="minorEastAsia" w:cstheme="minorEastAsia"/>
                <w:i w:val="0"/>
                <w:iCs w:val="0"/>
                <w:color w:val="000000"/>
                <w:sz w:val="20"/>
                <w:szCs w:val="20"/>
                <w:u w:val="none"/>
                <w:lang w:val="en-US" w:eastAsia="zh-CN" w:bidi="ar"/>
              </w:rPr>
              <w:t xml:space="preserve">工艺：干挂，符合幕墙干挂规范；2. 材质：温德姆灰天然大理石，GB/T 19766-2016一级品，无裂纹、色差等缺陷；3. 规格：厚度50mm，尺寸偏差符合行业要求；4. 拼接：密缝安装，缝宽≤2mm，嵌缝平整严密；5. 表面：抛光（光泽度≥85°）+打蜡防护，防水防污.</w:t>
            </w:r>
            <w:r/>
          </w:p>
          <w:p>
            <w:pPr>
              <w:numPr>
                <w:ilvl w:val="0"/>
                <w:numId w:val="10"/>
              </w:numPr>
              <w:ind w:left="0" w:firstLine="0"/>
              <w:jc w:val="left"/>
              <w:keepLines w:val="0"/>
              <w:keepNext w:val="0"/>
              <w:widowControl/>
              <w:rPr>
                <w:rFonts w:hint="eastAsia" w:asciiTheme="minorEastAsia" w:hAnsiTheme="minorEastAsia" w:eastAsiaTheme="minorEastAsia" w:cstheme="minorEastAsia"/>
                <w:i w:val="0"/>
                <w:iCs w:val="0"/>
                <w:color w:val="000000"/>
                <w:sz w:val="20"/>
                <w:szCs w:val="20"/>
                <w:u w:val="none"/>
                <w:lang w:val="en-US" w:eastAsia="zh-CN" w:bidi="ar"/>
              </w:rPr>
              <w:suppressLineNumbers w:val="0"/>
            </w:pPr>
            <w:r>
              <w:rPr>
                <w:rFonts w:hint="eastAsia" w:asciiTheme="minorEastAsia" w:hAnsiTheme="minorEastAsia" w:eastAsiaTheme="minorEastAsia" w:cstheme="minorEastAsia"/>
                <w:i w:val="0"/>
                <w:iCs w:val="0"/>
                <w:color w:val="000000"/>
                <w:sz w:val="20"/>
                <w:szCs w:val="20"/>
                <w:u w:val="none"/>
                <w:lang w:val="en-US" w:eastAsia="zh-CN" w:bidi="ar"/>
              </w:rPr>
              <w:t xml:space="preserve">钢龙骨1. 材质：热镀锌角钢，GB/T 2518-2019，镀锌层均匀无缺陷，耐腐蚀；2. 规格：型号按受力计算（如∠50×50×5等），尺寸及壁厚公差达型钢一级精度；3. 工艺：下料精准、切口平整，焊接满焊牢固，焊后清渣补防锈漆，节点符合规范；</w:t>
            </w:r>
            <w:r/>
          </w:p>
          <w:p>
            <w:pPr>
              <w:numPr>
                <w:ilvl w:val="0"/>
                <w:numId w:val="0"/>
              </w:num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lang w:val="en-US" w:eastAsia="zh-CN" w:bidi="ar"/>
              </w:rPr>
              <w:t xml:space="preserve">三、预埋及连接件1. 后植镀锌钢板埋件：热镀锌，GB/T 2518-2019，厚度≥12mm（可调整），孔位精准（孔径偏差≤1mm）；2. 化学螺栓：高强度，碳钢/不锈钢，规格按受力计算（建议≥M12×160mm）。</w:t>
            </w:r>
            <w:r/>
          </w:p>
        </w:tc>
        <w:tc>
          <w:tcPr>
            <w:shd w:val="clear" w:color="auto" w:fill="auto"/>
            <w:tcW w:w="982"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lang w:val="en-US" w:eastAsia="zh-CN" w:bidi="ar"/>
              </w:rPr>
              <w:t xml:space="preserve">m2</w:t>
            </w:r>
            <w:r/>
          </w:p>
        </w:tc>
        <w:tc>
          <w:tcPr>
            <w:shd w:val="clear" w:color="auto" w:fill="auto"/>
            <w:tcW w:w="971"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lang w:val="en-US" w:eastAsia="zh-CN" w:bidi="ar"/>
              </w:rPr>
              <w:t xml:space="preserve">165</w:t>
            </w:r>
            <w:r/>
          </w:p>
        </w:tc>
      </w:tr>
      <w:tr>
        <w:trPr>
          <w:trHeight w:val="3632"/>
        </w:trPr>
        <w:tc>
          <w:tcPr>
            <w:shd w:val="clear" w:color="auto" w:fill="auto"/>
            <w:tcW w:w="749" w:type="dxa"/>
            <w:vAlign w:val="center"/>
            <w:textDirection w:val="lrTb"/>
            <w:noWrap w:val="false"/>
          </w:tcPr>
          <w:p>
            <w:pPr>
              <w:jc w:val="center"/>
              <w:keepLines w:val="0"/>
              <w:keepNext w:val="0"/>
              <w:widowControl/>
              <w:rPr>
                <w:rFonts w:hint="default" w:asciiTheme="minorEastAsia" w:hAnsiTheme="minorEastAsia" w:eastAsiaTheme="minorEastAsia" w:cstheme="minorEastAsia"/>
                <w:i w:val="0"/>
                <w:iCs w:val="0"/>
                <w:color w:val="000000"/>
                <w:sz w:val="20"/>
                <w:szCs w:val="20"/>
                <w:u w:val="none"/>
                <w:lang w:val="en-US"/>
              </w:rPr>
              <w:suppressLineNumbers w:val="0"/>
            </w:pPr>
            <w:r>
              <w:rPr>
                <w:rFonts w:hint="eastAsia" w:asciiTheme="minorEastAsia" w:hAnsiTheme="minorEastAsia" w:cstheme="minorEastAsia"/>
                <w:i w:val="0"/>
                <w:iCs w:val="0"/>
                <w:color w:val="000000"/>
                <w:sz w:val="20"/>
                <w:szCs w:val="20"/>
                <w:u w:val="none"/>
                <w:lang w:val="en-US" w:eastAsia="zh-CN" w:bidi="ar"/>
              </w:rPr>
              <w:t xml:space="preserve">63</w:t>
            </w:r>
            <w:r/>
          </w:p>
        </w:tc>
        <w:tc>
          <w:tcPr>
            <w:shd w:val="clear" w:color="auto" w:fill="auto"/>
            <w:tcW w:w="1344"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lang w:val="en-US" w:eastAsia="zh-CN" w:bidi="ar"/>
              </w:rPr>
              <w:t xml:space="preserve">黄砂岩浮雕</w:t>
            </w:r>
            <w:r/>
          </w:p>
        </w:tc>
        <w:tc>
          <w:tcPr>
            <w:shd w:val="clear" w:color="auto" w:fill="auto"/>
            <w:tcW w:w="4751" w:type="dxa"/>
            <w:vAlign w:val="center"/>
            <w:textDirection w:val="lrTb"/>
            <w:noWrap w:val="false"/>
          </w:tcPr>
          <w:p>
            <w:pPr>
              <w:numPr>
                <w:ilvl w:val="0"/>
                <w:numId w:val="12"/>
              </w:numPr>
              <w:jc w:val="left"/>
              <w:keepLines w:val="0"/>
              <w:keepNext w:val="0"/>
              <w:widowControl/>
              <w:rPr>
                <w:rFonts w:hint="eastAsia" w:asciiTheme="minorEastAsia" w:hAnsiTheme="minorEastAsia" w:eastAsiaTheme="minorEastAsia" w:cstheme="minorEastAsia"/>
                <w:i w:val="0"/>
                <w:iCs w:val="0"/>
                <w:color w:val="000000"/>
                <w:sz w:val="20"/>
                <w:szCs w:val="20"/>
                <w:u w:val="none"/>
                <w:lang w:val="en-US" w:eastAsia="zh-CN" w:bidi="ar"/>
              </w:rPr>
              <w:suppressLineNumbers w:val="0"/>
            </w:pPr>
            <w:r>
              <w:rPr>
                <w:rFonts w:hint="eastAsia" w:asciiTheme="minorEastAsia" w:hAnsiTheme="minorEastAsia" w:eastAsiaTheme="minorEastAsia" w:cstheme="minorEastAsia"/>
                <w:i w:val="0"/>
                <w:iCs w:val="0"/>
                <w:color w:val="000000"/>
                <w:sz w:val="20"/>
                <w:szCs w:val="20"/>
                <w:u w:val="none"/>
                <w:lang w:val="en-US" w:eastAsia="zh-CN" w:bidi="ar"/>
              </w:rPr>
              <w:t xml:space="preserve">黄砂岩浮雕墙面</w:t>
            </w:r>
            <w:r/>
          </w:p>
          <w:p>
            <w:pPr>
              <w:numPr>
                <w:ilvl w:val="0"/>
                <w:numId w:val="0"/>
              </w:numPr>
              <w:jc w:val="left"/>
              <w:keepLines w:val="0"/>
              <w:keepNext w:val="0"/>
              <w:widowControl/>
              <w:rPr>
                <w:rFonts w:hint="eastAsia" w:asciiTheme="minorEastAsia" w:hAnsiTheme="minorEastAsia" w:eastAsiaTheme="minorEastAsia" w:cstheme="minorEastAsia"/>
                <w:i w:val="0"/>
                <w:iCs w:val="0"/>
                <w:color w:val="000000"/>
                <w:sz w:val="20"/>
                <w:szCs w:val="20"/>
                <w:u w:val="none"/>
                <w:lang w:val="en-US" w:eastAsia="zh-CN" w:bidi="ar"/>
              </w:rPr>
              <w:suppressLineNumbers w:val="0"/>
            </w:pPr>
            <w:r>
              <w:rPr>
                <w:rFonts w:hint="eastAsia" w:asciiTheme="minorEastAsia" w:hAnsiTheme="minorEastAsia" w:eastAsiaTheme="minorEastAsia" w:cstheme="minorEastAsia"/>
                <w:i w:val="0"/>
                <w:iCs w:val="0"/>
                <w:color w:val="000000"/>
                <w:sz w:val="20"/>
                <w:szCs w:val="20"/>
                <w:u w:val="none"/>
                <w:lang w:val="en-US" w:eastAsia="zh-CN" w:bidi="ar"/>
              </w:rPr>
              <w:t xml:space="preserve">材质：天然黄砂岩，质地坚硬致密，无缺陷，色泽均匀.- 规格：厚度≥4cm，表面平整度误差≤2mm/m，尺寸可定制.- 工艺：雕刻深度≥2.5cm，线条流畅，细节精细，表面打磨光滑。- 安装：干挂，遵循GB/T 50210，牢固平整，抗震安全。</w:t>
            </w:r>
            <w:r/>
          </w:p>
          <w:p>
            <w:pPr>
              <w:numPr>
                <w:ilvl w:val="0"/>
                <w:numId w:val="0"/>
              </w:numPr>
              <w:jc w:val="left"/>
              <w:keepLines w:val="0"/>
              <w:keepNext w:val="0"/>
              <w:widowControl/>
              <w:rPr>
                <w:rFonts w:hint="eastAsia" w:asciiTheme="minorEastAsia" w:hAnsiTheme="minorEastAsia" w:eastAsiaTheme="minorEastAsia" w:cstheme="minorEastAsia"/>
                <w:i w:val="0"/>
                <w:iCs w:val="0"/>
                <w:color w:val="000000"/>
                <w:sz w:val="20"/>
                <w:szCs w:val="20"/>
                <w:u w:val="none"/>
                <w:lang w:val="en-US" w:eastAsia="zh-CN" w:bidi="ar"/>
              </w:rPr>
              <w:suppressLineNumbers w:val="0"/>
            </w:pPr>
            <w:r>
              <w:rPr>
                <w:rFonts w:hint="eastAsia" w:asciiTheme="minorEastAsia" w:hAnsiTheme="minorEastAsia" w:eastAsiaTheme="minorEastAsia" w:cstheme="minorEastAsia"/>
                <w:i w:val="0"/>
                <w:iCs w:val="0"/>
                <w:color w:val="000000"/>
                <w:sz w:val="20"/>
                <w:szCs w:val="20"/>
                <w:u w:val="none"/>
                <w:lang w:val="en-US" w:eastAsia="zh-CN" w:bidi="ar"/>
              </w:rPr>
              <w:t xml:space="preserve">二、干挂角钢龙骨 材质：热镀锌角钢，符合GB/T 2518-2019，镀锌层均匀无缺陷。- 规格：型号按受力计算（建议∠50×50×5、∠63×63×6等），尺寸偏差符合型钢一级精度。- 工艺：下料精准，满焊牢固，焊后清渣补漆，节点符合规范。</w:t>
            </w:r>
            <w:r/>
          </w:p>
          <w:p>
            <w:pPr>
              <w:numPr>
                <w:ilvl w:val="0"/>
                <w:numId w:val="0"/>
              </w:num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lang w:val="en-US" w:eastAsia="zh-CN" w:bidi="ar"/>
              </w:rPr>
              <w:t xml:space="preserve">三、预埋铁件及化学螺栓。- 后植镀锌钢板埋件：热镀锌，符合GB/T 2518-2019；厚度≥12mm；孔径偏差≤1mm，孔位间距合规。- 化学螺栓：高强度，材质碳钢/不锈钢；建议≥M12×160mm。</w:t>
            </w:r>
            <w:r/>
          </w:p>
        </w:tc>
        <w:tc>
          <w:tcPr>
            <w:shd w:val="clear" w:color="auto" w:fill="auto"/>
            <w:tcW w:w="982"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lang w:val="en-US" w:eastAsia="zh-CN" w:bidi="ar"/>
              </w:rPr>
              <w:t xml:space="preserve">m2</w:t>
            </w:r>
            <w:r/>
          </w:p>
        </w:tc>
        <w:tc>
          <w:tcPr>
            <w:shd w:val="clear" w:color="auto" w:fill="auto"/>
            <w:tcW w:w="971"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lang w:val="en-US" w:eastAsia="zh-CN" w:bidi="ar"/>
              </w:rPr>
              <w:t xml:space="preserve">58.5</w:t>
            </w:r>
            <w:r/>
          </w:p>
        </w:tc>
      </w:tr>
      <w:tr>
        <w:trPr>
          <w:trHeight w:val="2148"/>
        </w:trPr>
        <w:tc>
          <w:tcPr>
            <w:shd w:val="clear" w:color="auto" w:fill="auto"/>
            <w:tcW w:w="749" w:type="dxa"/>
            <w:vAlign w:val="center"/>
            <w:textDirection w:val="lrTb"/>
            <w:noWrap w:val="false"/>
          </w:tcPr>
          <w:p>
            <w:pPr>
              <w:jc w:val="center"/>
              <w:keepLines w:val="0"/>
              <w:keepNext w:val="0"/>
              <w:widowControl/>
              <w:rPr>
                <w:rFonts w:hint="default" w:asciiTheme="minorEastAsia" w:hAnsiTheme="minorEastAsia" w:eastAsiaTheme="minorEastAsia" w:cstheme="minorEastAsia"/>
                <w:i w:val="0"/>
                <w:iCs w:val="0"/>
                <w:color w:val="000000"/>
                <w:sz w:val="20"/>
                <w:szCs w:val="20"/>
                <w:u w:val="none"/>
                <w:lang w:val="en-US"/>
              </w:rPr>
              <w:suppressLineNumbers w:val="0"/>
            </w:pPr>
            <w:r>
              <w:rPr>
                <w:rFonts w:hint="eastAsia" w:asciiTheme="minorEastAsia" w:hAnsiTheme="minorEastAsia" w:cstheme="minorEastAsia"/>
                <w:i w:val="0"/>
                <w:iCs w:val="0"/>
                <w:color w:val="000000"/>
                <w:sz w:val="20"/>
                <w:szCs w:val="20"/>
                <w:u w:val="none"/>
                <w:lang w:val="en-US" w:eastAsia="zh-CN" w:bidi="ar"/>
              </w:rPr>
              <w:t xml:space="preserve">64</w:t>
            </w:r>
            <w:r/>
          </w:p>
        </w:tc>
        <w:tc>
          <w:tcPr>
            <w:shd w:val="clear" w:color="auto" w:fill="auto"/>
            <w:tcW w:w="1344"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lang w:val="en-US" w:eastAsia="zh-CN" w:bidi="ar"/>
              </w:rPr>
              <w:t xml:space="preserve">控制器</w:t>
            </w:r>
            <w:r/>
          </w:p>
        </w:tc>
        <w:tc>
          <w:tcPr>
            <w:shd w:val="clear" w:color="auto" w:fill="auto"/>
            <w:tcW w:w="4751"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lang w:val="en-US" w:eastAsia="zh-CN" w:bidi="ar"/>
              </w:rPr>
              <w:t xml:space="preserve">-核心功能：联动控制（0.5-0.8m/s，可设一步/两步降）；配现场手动控制盒；支持消防控制室远程控制及状态反馈；具备过载、短路等保护，限位自动停止</w:t>
            </w:r>
            <w:r>
              <w:rPr>
                <w:rFonts w:hint="eastAsia" w:asciiTheme="minorEastAsia" w:hAnsiTheme="minorEastAsia" w:eastAsiaTheme="minorEastAsia" w:cstheme="minorEastAsia"/>
                <w:i w:val="0"/>
                <w:iCs w:val="0"/>
                <w:color w:val="000000"/>
                <w:sz w:val="20"/>
                <w:szCs w:val="20"/>
                <w:u w:val="none"/>
                <w:lang w:val="en-US" w:eastAsia="zh-CN" w:bidi="ar"/>
              </w:rPr>
              <w:br/>
            </w:r>
            <w:r>
              <w:rPr>
                <w:rFonts w:hint="eastAsia" w:asciiTheme="minorEastAsia" w:hAnsiTheme="minorEastAsia" w:eastAsiaTheme="minorEastAsia" w:cstheme="minorEastAsia"/>
                <w:i w:val="0"/>
                <w:iCs w:val="0"/>
                <w:color w:val="000000"/>
                <w:sz w:val="20"/>
                <w:szCs w:val="20"/>
                <w:u w:val="none"/>
                <w:lang w:val="en-US" w:eastAsia="zh-CN" w:bidi="ar"/>
              </w:rPr>
              <w:t xml:space="preserve">- 技术参数：AC 220V±10%、50Hz；输出功率适配电机（建议≤3kW）；支持RS485/CAN总线，有无源触点接口；工作温度-10℃~+55℃，湿度≤95%（无冷凝），防护等级≥IP54。- 结构与材质：外壳冷轧钢板/阻燃ABS（厚度≥1.2mm）；元器件布局合理，端子牢固；表面无划痕，标识清晰，孔位精准。</w:t>
            </w:r>
            <w:r/>
          </w:p>
        </w:tc>
        <w:tc>
          <w:tcPr>
            <w:shd w:val="clear" w:color="auto" w:fill="auto"/>
            <w:tcW w:w="982"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lang w:val="en-US" w:eastAsia="zh-CN" w:bidi="ar"/>
              </w:rPr>
              <w:t xml:space="preserve">个</w:t>
            </w:r>
            <w:r/>
          </w:p>
        </w:tc>
        <w:tc>
          <w:tcPr>
            <w:shd w:val="clear" w:color="auto" w:fill="auto"/>
            <w:tcW w:w="971"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lang w:val="en-US" w:eastAsia="zh-CN" w:bidi="ar"/>
              </w:rPr>
              <w:t xml:space="preserve">78</w:t>
            </w:r>
            <w:r/>
          </w:p>
        </w:tc>
      </w:tr>
      <w:tr>
        <w:trPr>
          <w:trHeight w:val="90"/>
        </w:trPr>
        <w:tc>
          <w:tcPr>
            <w:shd w:val="clear" w:color="auto" w:fill="auto"/>
            <w:tcW w:w="749" w:type="dxa"/>
            <w:vAlign w:val="center"/>
            <w:textDirection w:val="lrTb"/>
            <w:noWrap w:val="false"/>
          </w:tcPr>
          <w:p>
            <w:pPr>
              <w:jc w:val="center"/>
              <w:keepLines w:val="0"/>
              <w:keepNext w:val="0"/>
              <w:widowControl/>
              <w:rPr>
                <w:rFonts w:hint="default" w:asciiTheme="minorEastAsia" w:hAnsiTheme="minorEastAsia" w:eastAsiaTheme="minorEastAsia" w:cstheme="minorEastAsia"/>
                <w:i w:val="0"/>
                <w:iCs w:val="0"/>
                <w:color w:val="000000"/>
                <w:sz w:val="20"/>
                <w:szCs w:val="20"/>
                <w:u w:val="none"/>
                <w:lang w:val="en-US"/>
              </w:rPr>
              <w:suppressLineNumbers w:val="0"/>
            </w:pPr>
            <w:r>
              <w:rPr>
                <w:rFonts w:hint="eastAsia" w:asciiTheme="minorEastAsia" w:hAnsiTheme="minorEastAsia" w:cstheme="minorEastAsia"/>
                <w:i w:val="0"/>
                <w:iCs w:val="0"/>
                <w:color w:val="000000"/>
                <w:sz w:val="20"/>
                <w:szCs w:val="20"/>
                <w:u w:val="none"/>
                <w:lang w:val="en-US" w:eastAsia="zh-CN" w:bidi="ar"/>
              </w:rPr>
              <w:t xml:space="preserve">65</w:t>
            </w:r>
            <w:r/>
          </w:p>
        </w:tc>
        <w:tc>
          <w:tcPr>
            <w:shd w:val="clear" w:color="auto" w:fill="auto"/>
            <w:tcW w:w="1344"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lang w:val="en-US" w:eastAsia="zh-CN" w:bidi="ar"/>
              </w:rPr>
              <w:t xml:space="preserve">监控摄像设备</w:t>
            </w:r>
            <w:r/>
          </w:p>
        </w:tc>
        <w:tc>
          <w:tcPr>
            <w:shd w:val="clear" w:color="auto" w:fill="auto"/>
            <w:tcW w:w="4751"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lang w:val="en-US" w:eastAsia="zh-CN" w:bidi="ar"/>
              </w:rPr>
              <w:t xml:space="preserve">- 核心功能：联动控制（0.5-0.8m/s，可设一步/两步降）；配现场手动控制盒；支持消防控制室远程控制及状态反馈；具备过载、短路等保护，限位自动停止。- 技术参数：AC 220V±10%、50Hz；输出功率适配电机（建议≤3kW）；支持RS485/CAN总线，有无源触点接口；工作温度-10℃~+55℃，湿度≤95%（无冷凝），防护等级≥IP54。- 结构与材质：外壳冷轧钢板/阻燃ABS（厚度≥1.2mm）；元器件布局合理，端子牢固；表面无划痕，标识清晰，孔位精准。</w:t>
            </w:r>
            <w:r/>
          </w:p>
        </w:tc>
        <w:tc>
          <w:tcPr>
            <w:shd w:val="clear" w:color="auto" w:fill="auto"/>
            <w:tcW w:w="982"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lang w:val="en-US" w:eastAsia="zh-CN" w:bidi="ar"/>
              </w:rPr>
              <w:t xml:space="preserve">台</w:t>
            </w:r>
            <w:r/>
          </w:p>
        </w:tc>
        <w:tc>
          <w:tcPr>
            <w:shd w:val="clear" w:color="auto" w:fill="auto"/>
            <w:tcW w:w="971"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lang w:val="en-US" w:eastAsia="zh-CN" w:bidi="ar"/>
              </w:rPr>
              <w:t xml:space="preserve">12</w:t>
            </w:r>
            <w:r/>
          </w:p>
        </w:tc>
      </w:tr>
      <w:tr>
        <w:trPr>
          <w:trHeight w:val="1819"/>
        </w:trPr>
        <w:tc>
          <w:tcPr>
            <w:shd w:val="clear" w:color="auto" w:fill="auto"/>
            <w:tcW w:w="749" w:type="dxa"/>
            <w:vAlign w:val="center"/>
            <w:textDirection w:val="lrTb"/>
            <w:noWrap w:val="false"/>
          </w:tcPr>
          <w:p>
            <w:pPr>
              <w:jc w:val="center"/>
              <w:keepLines w:val="0"/>
              <w:keepNext w:val="0"/>
              <w:widowControl/>
              <w:rPr>
                <w:rFonts w:hint="default" w:asciiTheme="minorEastAsia" w:hAnsiTheme="minorEastAsia" w:eastAsiaTheme="minorEastAsia" w:cstheme="minorEastAsia"/>
                <w:i w:val="0"/>
                <w:iCs w:val="0"/>
                <w:color w:val="000000"/>
                <w:sz w:val="20"/>
                <w:szCs w:val="20"/>
                <w:u w:val="none"/>
                <w:lang w:val="en-US"/>
              </w:rPr>
              <w:suppressLineNumbers w:val="0"/>
            </w:pPr>
            <w:r>
              <w:rPr>
                <w:rFonts w:hint="eastAsia" w:asciiTheme="minorEastAsia" w:hAnsiTheme="minorEastAsia" w:cstheme="minorEastAsia"/>
                <w:i w:val="0"/>
                <w:iCs w:val="0"/>
                <w:color w:val="000000"/>
                <w:sz w:val="20"/>
                <w:szCs w:val="20"/>
                <w:u w:val="none"/>
                <w:lang w:val="en-US" w:eastAsia="zh-CN" w:bidi="ar"/>
              </w:rPr>
              <w:t xml:space="preserve">66</w:t>
            </w:r>
            <w:r/>
          </w:p>
        </w:tc>
        <w:tc>
          <w:tcPr>
            <w:shd w:val="clear" w:color="auto" w:fill="auto"/>
            <w:tcW w:w="1344"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lang w:val="en-US" w:eastAsia="zh-CN" w:bidi="ar"/>
              </w:rPr>
              <w:t xml:space="preserve">灭火器</w:t>
            </w:r>
            <w:r/>
          </w:p>
        </w:tc>
        <w:tc>
          <w:tcPr>
            <w:shd w:val="clear" w:color="auto" w:fill="auto"/>
            <w:tcW w:w="4751"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lang w:val="en-US" w:eastAsia="zh-CN" w:bidi="ar"/>
              </w:rPr>
              <w:t xml:space="preserve">- 规格型号：ABC类干粉，推荐充装量4kg。- 核心性能：灭火级别≥MFZ/ABC4，喷射时间≥12秒、距离≥3米；额定工作压力≥1.2MPa，密封无渗漏；工作温度-20℃~+55℃。- 结构与材质：碳钢瓶体（防锈处理）；喷管长度≥400mm，阀门灵活；配防滑底座。- 安全环保：灭火剂无毒无污染，残留物易清理，部件无尖锐棱角。</w:t>
            </w:r>
            <w:r/>
          </w:p>
        </w:tc>
        <w:tc>
          <w:tcPr>
            <w:shd w:val="clear" w:color="auto" w:fill="auto"/>
            <w:tcW w:w="982"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lang w:val="en-US" w:eastAsia="zh-CN" w:bidi="ar"/>
              </w:rPr>
              <w:t xml:space="preserve">个</w:t>
            </w:r>
            <w:r/>
          </w:p>
        </w:tc>
        <w:tc>
          <w:tcPr>
            <w:shd w:val="clear" w:color="auto" w:fill="auto"/>
            <w:tcW w:w="971"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lang w:val="en-US" w:eastAsia="zh-CN" w:bidi="ar"/>
              </w:rPr>
              <w:t xml:space="preserve">20</w:t>
            </w:r>
            <w:r/>
          </w:p>
        </w:tc>
      </w:tr>
      <w:tr>
        <w:trPr>
          <w:trHeight w:val="2148"/>
        </w:trPr>
        <w:tc>
          <w:tcPr>
            <w:shd w:val="clear" w:color="auto" w:fill="auto"/>
            <w:tcW w:w="749" w:type="dxa"/>
            <w:vAlign w:val="center"/>
            <w:textDirection w:val="lrTb"/>
            <w:noWrap w:val="false"/>
          </w:tcPr>
          <w:p>
            <w:pPr>
              <w:jc w:val="center"/>
              <w:keepLines w:val="0"/>
              <w:keepNext w:val="0"/>
              <w:widowControl/>
              <w:rPr>
                <w:rFonts w:hint="default" w:asciiTheme="minorEastAsia" w:hAnsiTheme="minorEastAsia" w:eastAsiaTheme="minorEastAsia" w:cstheme="minorEastAsia"/>
                <w:i w:val="0"/>
                <w:iCs w:val="0"/>
                <w:color w:val="000000"/>
                <w:sz w:val="20"/>
                <w:szCs w:val="20"/>
                <w:u w:val="none"/>
                <w:lang w:val="en-US" w:eastAsia="zh-CN"/>
              </w:rPr>
              <w:suppressLineNumbers w:val="0"/>
            </w:pPr>
            <w:r>
              <w:rPr>
                <w:rFonts w:hint="eastAsia" w:asciiTheme="minorEastAsia" w:hAnsiTheme="minorEastAsia" w:cstheme="minorEastAsia"/>
                <w:i w:val="0"/>
                <w:iCs w:val="0"/>
                <w:color w:val="000000"/>
                <w:sz w:val="20"/>
                <w:szCs w:val="20"/>
                <w:u w:val="none"/>
                <w:lang w:val="en-US" w:eastAsia="zh-CN"/>
              </w:rPr>
              <w:t xml:space="preserve">67</w:t>
            </w:r>
            <w:r/>
          </w:p>
        </w:tc>
        <w:tc>
          <w:tcPr>
            <w:shd w:val="clear" w:color="auto" w:fill="auto"/>
            <w:tcW w:w="1344"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lang w:val="en-US" w:eastAsia="zh-CN" w:bidi="ar"/>
              </w:rPr>
              <w:t xml:space="preserve">通风接口</w:t>
            </w:r>
            <w:r/>
          </w:p>
        </w:tc>
        <w:tc>
          <w:tcPr>
            <w:shd w:val="clear" w:color="auto" w:fill="auto"/>
            <w:tcW w:w="4751"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lang w:val="en-US" w:eastAsia="zh-CN" w:bidi="ar"/>
              </w:rPr>
              <w:t xml:space="preserve">- 基本规格：400mm×400mm（长×宽），尺寸偏差≤±2mm，边框宽度≥20mm，安装孔位间距符合行业标准。- 材质要求：铝合金（厚度≥1.2mm），阳极氧化/静电喷涂，默认白色（可选灰色）。- 结构设计：双层百叶（叶片厚≥1.0mm，0°-90°手动调节），漏风率≤5%；边框一体成型、四角圆角；支持嵌入式/法兰式，预留固定孔≥4个（孔径≥6mm）。- 性能要求：有效通风面积≥85%，风阻系数≤2.5Pa·s/m²，运行噪音≤35dB；防潮防尘，易清洁。</w:t>
            </w:r>
            <w:r/>
          </w:p>
        </w:tc>
        <w:tc>
          <w:tcPr>
            <w:shd w:val="clear" w:color="auto" w:fill="auto"/>
            <w:tcW w:w="982"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lang w:val="en-US" w:eastAsia="zh-CN" w:bidi="ar"/>
              </w:rPr>
              <w:t xml:space="preserve">个</w:t>
            </w:r>
            <w:r/>
          </w:p>
        </w:tc>
        <w:tc>
          <w:tcPr>
            <w:shd w:val="clear" w:color="auto" w:fill="auto"/>
            <w:tcW w:w="971"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lang w:val="en-US" w:eastAsia="zh-CN" w:bidi="ar"/>
              </w:rPr>
              <w:t xml:space="preserve">6</w:t>
            </w:r>
            <w:r/>
          </w:p>
        </w:tc>
      </w:tr>
      <w:tr>
        <w:trPr>
          <w:trHeight w:val="312"/>
        </w:trPr>
        <w:tc>
          <w:tcPr>
            <w:shd w:val="clear" w:color="auto" w:fill="auto"/>
            <w:tcW w:w="749" w:type="dxa"/>
            <w:vAlign w:val="center"/>
            <w:vMerge w:val="restart"/>
            <w:textDirection w:val="lrTb"/>
            <w:noWrap w:val="false"/>
          </w:tcPr>
          <w:p>
            <w:pPr>
              <w:jc w:val="center"/>
              <w:keepLines w:val="0"/>
              <w:keepNext w:val="0"/>
              <w:widowControl/>
              <w:rPr>
                <w:rFonts w:hint="default" w:asciiTheme="minorEastAsia" w:hAnsiTheme="minorEastAsia" w:eastAsiaTheme="minorEastAsia" w:cstheme="minorEastAsia"/>
                <w:i w:val="0"/>
                <w:iCs w:val="0"/>
                <w:color w:val="000000"/>
                <w:sz w:val="20"/>
                <w:szCs w:val="20"/>
                <w:u w:val="none"/>
                <w:lang w:val="en-US"/>
              </w:rPr>
              <w:suppressLineNumbers w:val="0"/>
            </w:pPr>
            <w:r>
              <w:rPr>
                <w:rFonts w:hint="eastAsia" w:asciiTheme="minorEastAsia" w:hAnsiTheme="minorEastAsia" w:cstheme="minorEastAsia"/>
                <w:i w:val="0"/>
                <w:iCs w:val="0"/>
                <w:color w:val="000000"/>
                <w:sz w:val="20"/>
                <w:szCs w:val="20"/>
                <w:u w:val="none"/>
                <w:lang w:val="en-US" w:eastAsia="zh-CN" w:bidi="ar"/>
              </w:rPr>
              <w:t xml:space="preserve">68</w:t>
            </w:r>
            <w:r/>
          </w:p>
        </w:tc>
        <w:tc>
          <w:tcPr>
            <w:shd w:val="clear" w:color="auto" w:fill="auto"/>
            <w:tcW w:w="1344" w:type="dxa"/>
            <w:vAlign w:val="center"/>
            <w:vMerge w:val="restart"/>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lang w:val="en-US" w:eastAsia="zh-CN" w:bidi="ar"/>
              </w:rPr>
              <w:t xml:space="preserve">显示设备</w:t>
            </w:r>
            <w:r/>
          </w:p>
        </w:tc>
        <w:tc>
          <w:tcPr>
            <w:shd w:val="clear" w:color="auto" w:fill="auto"/>
            <w:tcW w:w="4751" w:type="dxa"/>
            <w:vAlign w:val="center"/>
            <w:vMerge w:val="restart"/>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lang w:val="en-US" w:eastAsia="zh-CN" w:bidi="ar"/>
              </w:rPr>
              <w:suppressLineNumbers w:val="0"/>
            </w:pPr>
            <w:r>
              <w:rPr>
                <w:rFonts w:hint="eastAsia" w:asciiTheme="minorEastAsia" w:hAnsiTheme="minorEastAsia" w:eastAsiaTheme="minorEastAsia" w:cstheme="minorEastAsia"/>
                <w:i w:val="0"/>
                <w:iCs w:val="0"/>
                <w:color w:val="000000"/>
                <w:sz w:val="20"/>
                <w:szCs w:val="20"/>
                <w:u w:val="none"/>
                <w:lang w:val="en-US" w:eastAsia="zh-CN" w:bidi="ar"/>
              </w:rPr>
              <w:t xml:space="preserve">一：显示屏框架（16.47㎡）- 材质：Q235B钢；100×50方管，壁厚≥3.0mm（偏差≤±0.2mm），承重≥200kg/㎡。- 加工：下料偏差≤±3mm，垂直度≤1°；满焊（焊缝高≥6mm），加固角码≥5mm；垂直度≤2mm/m，水平度≤1mm/m- 表面：喷砂/酸洗磷化除锈，静电喷涂/氟碳漆（户外优先），涂层≥60μm，默认黑色。- 适配：定制尺寸，预留固定孔≥8mm（间距≤500mm）；支脚≥8mm，适配M12-M16螺栓，线缆孔≥50mm。</w:t>
            </w:r>
            <w:r/>
          </w:p>
          <w:p>
            <w:pPr>
              <w:jc w:val="left"/>
              <w:keepLines w:val="0"/>
              <w:keepNext w:val="0"/>
              <w:widowControl/>
              <w:rPr>
                <w:rFonts w:hint="eastAsia" w:asciiTheme="minorEastAsia" w:hAnsiTheme="minorEastAsia" w:eastAsiaTheme="minorEastAsia" w:cstheme="minorEastAsia"/>
                <w:i w:val="0"/>
                <w:iCs w:val="0"/>
                <w:color w:val="000000"/>
                <w:sz w:val="20"/>
                <w:szCs w:val="20"/>
                <w:u w:val="none"/>
                <w:lang w:val="en-US" w:eastAsia="zh-CN" w:bidi="ar"/>
              </w:rPr>
              <w:suppressLineNumbers w:val="0"/>
            </w:pPr>
            <w:r>
              <w:rPr>
                <w:rFonts w:hint="eastAsia" w:asciiTheme="minorEastAsia" w:hAnsiTheme="minorEastAsia" w:eastAsiaTheme="minorEastAsia" w:cstheme="minorEastAsia"/>
                <w:i w:val="0"/>
                <w:iCs w:val="0"/>
                <w:color w:val="000000"/>
                <w:sz w:val="20"/>
                <w:szCs w:val="20"/>
                <w:u w:val="none"/>
                <w:lang w:val="en-US" w:eastAsia="zh-CN" w:bidi="ar"/>
              </w:rPr>
              <w:t xml:space="preserve">二：显示屏开关电源（200W40A，4</w:t>
            </w:r>
            <w:r>
              <w:rPr>
                <w:rFonts w:hint="eastAsia" w:asciiTheme="minorEastAsia" w:hAnsiTheme="minorEastAsia" w:eastAsiaTheme="minorEastAsia" w:cstheme="minorEastAsia"/>
                <w:i w:val="0"/>
                <w:iCs w:val="0"/>
                <w:color w:val="000000"/>
                <w:sz w:val="20"/>
                <w:szCs w:val="20"/>
                <w:u w:val="none"/>
                <w:lang w:val="en-US" w:eastAsia="zh-CN" w:bidi="ar"/>
              </w:rPr>
              <w:t xml:space="preserve">7台）资质：符合GB/T 14714-2013，兼容诺瓦设备- 参数：额定200W/40A，输出DC5V（精度≤±2%）；输入AC100-240V，功率因数≥0.9；纹波≤50mVp-p，负载调整率≤±1%- 保护：短路、过载、过压、过温保护，故障自动恢复- 结构：冷轧钢板/阻燃ABS（≥1.2mm），防护IP20（室内）/IP43（户外）；内置温控风扇，满载壳温≤60℃，噪音≤40dB- 适配：工作-10℃~+60℃，湿度10%-90%；MTBF≥50000小时，支持并联；待机功耗≤0.5W，阻燃V0级。</w:t>
            </w:r>
            <w:r/>
          </w:p>
          <w:p>
            <w:pPr>
              <w:jc w:val="left"/>
              <w:keepLines w:val="0"/>
              <w:keepNext w:val="0"/>
              <w:widowControl/>
              <w:rPr>
                <w:rFonts w:hint="eastAsia" w:asciiTheme="minorEastAsia" w:hAnsiTheme="minorEastAsia" w:eastAsiaTheme="minorEastAsia" w:cstheme="minorEastAsia"/>
                <w:i w:val="0"/>
                <w:iCs w:val="0"/>
                <w:color w:val="000000"/>
                <w:sz w:val="20"/>
                <w:szCs w:val="20"/>
                <w:u w:val="none"/>
                <w:lang w:val="en-US" w:eastAsia="zh-CN" w:bidi="ar"/>
              </w:rPr>
              <w:suppressLineNumbers w:val="0"/>
            </w:pPr>
            <w:r>
              <w:rPr>
                <w:rFonts w:hint="eastAsia" w:asciiTheme="minorEastAsia" w:hAnsiTheme="minorEastAsia" w:eastAsiaTheme="minorEastAsia" w:cstheme="minorEastAsia"/>
                <w:i w:val="0"/>
                <w:iCs w:val="0"/>
                <w:color w:val="000000"/>
                <w:sz w:val="20"/>
                <w:szCs w:val="20"/>
                <w:u w:val="none"/>
                <w:lang w:val="en-US" w:eastAsia="zh-CN" w:bidi="ar"/>
              </w:rPr>
              <w:t xml:space="preserve">三：配电箱（1台）规格：额定20KW、AC380V/220V，电流≥50A（感性≥63A）；立式≥600×800×300mm，壁挂≥500×700×250mm- 材质：冷轧钢板（框架≥1.5mm，门板≥1.2mm），静电喷涂；防护IP30（室内）/IP54（户外），钢化玻璃观察窗≥5mm- 配置：知名品牌元件，含总断路器、分路断路器、漏电保护器（≤30mA，≤0.1s）；铜排≥3×30mm，线径≥6mm²，内置散热风扇- 功能：过载、短路、漏电等保护；配备指示灯，预留RS485接口，应急分断按钮。</w:t>
            </w:r>
            <w:r/>
          </w:p>
          <w:p>
            <w:pPr>
              <w:jc w:val="left"/>
              <w:keepLines w:val="0"/>
              <w:keepNext w:val="0"/>
              <w:widowControl/>
              <w:rPr>
                <w:rFonts w:hint="eastAsia" w:asciiTheme="minorEastAsia" w:hAnsiTheme="minorEastAsia" w:eastAsiaTheme="minorEastAsia" w:cstheme="minorEastAsia"/>
                <w:i w:val="0"/>
                <w:iCs w:val="0"/>
                <w:color w:val="000000"/>
                <w:sz w:val="20"/>
                <w:szCs w:val="20"/>
                <w:u w:val="none"/>
                <w:lang w:val="en-US" w:eastAsia="zh-CN" w:bidi="ar"/>
              </w:rPr>
              <w:suppressLineNumbers w:val="0"/>
            </w:pPr>
            <w:r>
              <w:rPr>
                <w:rFonts w:hint="eastAsia" w:asciiTheme="minorEastAsia" w:hAnsiTheme="minorEastAsia" w:eastAsiaTheme="minorEastAsia" w:cstheme="minorEastAsia"/>
                <w:i w:val="0"/>
                <w:iCs w:val="0"/>
                <w:color w:val="000000"/>
                <w:sz w:val="20"/>
                <w:szCs w:val="20"/>
                <w:u w:val="none"/>
                <w:lang w:val="en-US" w:eastAsia="zh-CN" w:bidi="ar"/>
              </w:rPr>
              <w:t xml:space="preserve">四：电力电缆（75m）- 规格：YJV-5×6铜芯，0.6/1kV；单芯6mm²，直流电阻≤3.08Ω/km- 结构：XLPE绝缘≥1.0mm，PVC护套≥1.8mm；阻燃UL94 V0级，弯曲半径≥15倍外径- 性能：工作-40℃~+90℃，敷设≥0℃；3.5kV/5min耐压无击穿；芯线颜色区分清晰，外皮标识完整。</w:t>
            </w:r>
            <w:r/>
          </w:p>
          <w:p>
            <w:pPr>
              <w:jc w:val="left"/>
              <w:keepLines w:val="0"/>
              <w:keepNext w:val="0"/>
              <w:widowControl/>
              <w:rPr>
                <w:rFonts w:hint="eastAsia" w:asciiTheme="minorEastAsia" w:hAnsiTheme="minorEastAsia" w:eastAsiaTheme="minorEastAsia" w:cstheme="minorEastAsia"/>
                <w:i w:val="0"/>
                <w:iCs w:val="0"/>
                <w:color w:val="000000"/>
                <w:sz w:val="20"/>
                <w:szCs w:val="20"/>
                <w:u w:val="none"/>
                <w:lang w:val="en-US" w:eastAsia="zh-CN" w:bidi="ar"/>
              </w:rPr>
              <w:suppressLineNumbers w:val="0"/>
            </w:pPr>
            <w:r>
              <w:rPr>
                <w:rFonts w:hint="eastAsia" w:asciiTheme="minorEastAsia" w:hAnsiTheme="minorEastAsia" w:eastAsiaTheme="minorEastAsia" w:cstheme="minorEastAsia"/>
                <w:i w:val="0"/>
                <w:iCs w:val="0"/>
                <w:color w:val="000000"/>
                <w:sz w:val="20"/>
                <w:szCs w:val="20"/>
                <w:u w:val="none"/>
                <w:lang w:val="en-US" w:eastAsia="zh-CN" w:bidi="ar"/>
              </w:rPr>
              <w:t xml:space="preserve">五：接口卡（20套）-  性能：最大带载512×384（PWM IC）/384×384（通用IC）；支持单点校正、3D显示，预存画面设置- 接口：16个HUB75E接口，千兆网口，5pin液晶模块接口，DC3.8-5.5V输入- 可靠：支持环路、双程序备份；实时监测温度、电压；板卡145.7×91.5×18.3mm，工作-20℃~+70℃。</w:t>
            </w:r>
            <w:r/>
          </w:p>
          <w:p>
            <w:pPr>
              <w:jc w:val="left"/>
              <w:keepLines w:val="0"/>
              <w:keepNext w:val="0"/>
              <w:widowControl/>
              <w:rPr>
                <w:rFonts w:hint="eastAsia" w:asciiTheme="minorEastAsia" w:hAnsiTheme="minorEastAsia" w:eastAsiaTheme="minorEastAsia" w:cstheme="minorEastAsia"/>
                <w:i w:val="0"/>
                <w:iCs w:val="0"/>
                <w:color w:val="000000"/>
                <w:sz w:val="20"/>
                <w:szCs w:val="20"/>
                <w:u w:val="none"/>
                <w:lang w:val="en-US" w:eastAsia="zh-CN" w:bidi="ar"/>
              </w:rPr>
              <w:suppressLineNumbers w:val="0"/>
            </w:pPr>
            <w:r>
              <w:rPr>
                <w:rFonts w:hint="eastAsia" w:asciiTheme="minorEastAsia" w:hAnsiTheme="minorEastAsia" w:eastAsiaTheme="minorEastAsia" w:cstheme="minorEastAsia"/>
                <w:i w:val="0"/>
                <w:iCs w:val="0"/>
                <w:color w:val="000000"/>
                <w:sz w:val="20"/>
                <w:szCs w:val="20"/>
                <w:u w:val="none"/>
                <w:lang w:val="en-US" w:eastAsia="zh-CN" w:bidi="ar"/>
              </w:rPr>
              <w:t xml:space="preserve">六：显示卡（Q2.5H，14.34㎡）- 参数：像素间距2.5mm，密度160000点/㎡，分辨率2560×896；亮度≥450cd/㎡，对比度≥5000:1，刷新率≥3840Hz- 结构：320×160mm模组，拼接缝≤1mm，平整度≤1mm；压铸铝/镁合金箱体，前后维护- 适配：平均功耗≤152W/㎡，峰值≤457W/㎡；工作-20℃~40℃，灯珠寿命≥100000小时。</w:t>
            </w:r>
            <w:r/>
          </w:p>
          <w:p>
            <w:pPr>
              <w:jc w:val="left"/>
              <w:keepLines w:val="0"/>
              <w:keepNext w:val="0"/>
              <w:widowControl/>
              <w:rPr>
                <w:rFonts w:hint="eastAsia" w:asciiTheme="minorEastAsia" w:hAnsiTheme="minorEastAsia" w:eastAsiaTheme="minorEastAsia" w:cstheme="minorEastAsia"/>
                <w:i w:val="0"/>
                <w:iCs w:val="0"/>
                <w:color w:val="000000"/>
                <w:sz w:val="20"/>
                <w:szCs w:val="20"/>
                <w:u w:val="none"/>
                <w:lang w:val="en-US" w:eastAsia="zh-CN" w:bidi="ar"/>
              </w:rPr>
              <w:suppressLineNumbers w:val="0"/>
            </w:pPr>
            <w:r>
              <w:rPr>
                <w:rFonts w:hint="eastAsia" w:asciiTheme="minorEastAsia" w:hAnsiTheme="minorEastAsia" w:eastAsiaTheme="minorEastAsia" w:cstheme="minorEastAsia"/>
                <w:i w:val="0"/>
                <w:iCs w:val="0"/>
                <w:color w:val="000000"/>
                <w:sz w:val="20"/>
                <w:szCs w:val="20"/>
                <w:u w:val="none"/>
                <w:lang w:val="en-US" w:eastAsia="zh-CN" w:bidi="ar"/>
              </w:rPr>
              <w:t xml:space="preserve">七：服务器显示设备（1台）- 资质：原厂- 性能：≥16路HDMI输入、8路输出，支持4K@60Hz解码；16×16拼接，色彩校正≥16bit，切换响应≤50ms- 配置：≥8GB DDR4内存，≥512GB SSD；2个千兆网口，2个RS232/RS485，4个USB3.0- 结构：1U机架式，冷轧钢板；工作0℃~45℃，噪音≤45dB；双机热备可选</w:t>
            </w:r>
            <w:r/>
          </w:p>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lang w:val="en-US" w:eastAsia="zh-CN" w:bidi="ar"/>
              </w:rPr>
              <w:t xml:space="preserve">八：跳线（CAT6-UTP，20根）- 规格：2米（偏差≤±3cm），纯铜导体≥0.5mm，带宽≥250MHz，支持千兆传输- 结构：RJ45镀金触点≥50μm，插拔≥1000次；PVC/LSZH护套，抗拉≥150N-</w:t>
            </w:r>
            <w:r/>
          </w:p>
        </w:tc>
        <w:tc>
          <w:tcPr>
            <w:shd w:val="clear" w:color="auto" w:fill="auto"/>
            <w:tcW w:w="982" w:type="dxa"/>
            <w:vAlign w:val="center"/>
            <w:vMerge w:val="restart"/>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lang w:val="en-US" w:eastAsia="zh-CN" w:bidi="ar"/>
              </w:rPr>
              <w:t xml:space="preserve">m2</w:t>
            </w:r>
            <w:r/>
          </w:p>
        </w:tc>
        <w:tc>
          <w:tcPr>
            <w:shd w:val="clear" w:color="auto" w:fill="auto"/>
            <w:tcW w:w="971" w:type="dxa"/>
            <w:vAlign w:val="center"/>
            <w:vMerge w:val="restart"/>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lang w:val="en-US" w:eastAsia="zh-CN" w:bidi="ar"/>
              </w:rPr>
              <w:t xml:space="preserve">14.34</w:t>
            </w:r>
            <w:r/>
          </w:p>
        </w:tc>
      </w:tr>
      <w:tr>
        <w:trPr>
          <w:trHeight w:val="2478"/>
        </w:trPr>
        <w:tc>
          <w:tcPr>
            <w:shd w:val="clear" w:color="auto" w:fill="auto"/>
            <w:tcW w:w="749" w:type="dxa"/>
            <w:vAlign w:val="center"/>
            <w:textDirection w:val="lrTb"/>
            <w:noWrap w:val="false"/>
          </w:tcPr>
          <w:p>
            <w:pPr>
              <w:jc w:val="center"/>
              <w:keepLines w:val="0"/>
              <w:keepNext w:val="0"/>
              <w:widowControl/>
              <w:rPr>
                <w:rFonts w:hint="default" w:asciiTheme="minorEastAsia" w:hAnsiTheme="minorEastAsia" w:eastAsiaTheme="minorEastAsia" w:cstheme="minorEastAsia"/>
                <w:i w:val="0"/>
                <w:iCs w:val="0"/>
                <w:color w:val="000000"/>
                <w:sz w:val="20"/>
                <w:szCs w:val="20"/>
                <w:u w:val="none"/>
                <w:lang w:val="en-US"/>
              </w:rPr>
              <w:suppressLineNumbers w:val="0"/>
            </w:pPr>
            <w:r>
              <w:rPr>
                <w:rFonts w:hint="eastAsia" w:asciiTheme="minorEastAsia" w:hAnsiTheme="minorEastAsia" w:cstheme="minorEastAsia"/>
                <w:i w:val="0"/>
                <w:iCs w:val="0"/>
                <w:color w:val="000000"/>
                <w:sz w:val="20"/>
                <w:szCs w:val="20"/>
                <w:u w:val="none"/>
                <w:lang w:val="en-US" w:eastAsia="zh-CN" w:bidi="ar"/>
              </w:rPr>
              <w:t xml:space="preserve">68</w:t>
            </w:r>
            <w:r/>
          </w:p>
        </w:tc>
        <w:tc>
          <w:tcPr>
            <w:shd w:val="clear" w:color="auto" w:fill="auto"/>
            <w:tcW w:w="1344"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lang w:val="en-US" w:eastAsia="zh-CN" w:bidi="ar"/>
              </w:rPr>
              <w:t xml:space="preserve">输入设备</w:t>
            </w:r>
            <w:r/>
          </w:p>
        </w:tc>
        <w:tc>
          <w:tcPr>
            <w:shd w:val="clear" w:color="auto" w:fill="auto"/>
            <w:tcW w:w="4751"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lang w:val="en-US" w:eastAsia="zh-CN" w:bidi="ar"/>
              </w:rPr>
              <w:suppressLineNumbers w:val="0"/>
            </w:pPr>
            <w:r>
              <w:rPr>
                <w:rFonts w:hint="eastAsia" w:asciiTheme="minorEastAsia" w:hAnsiTheme="minorEastAsia" w:eastAsiaTheme="minorEastAsia" w:cstheme="minorEastAsia"/>
                <w:i w:val="0"/>
                <w:iCs w:val="0"/>
                <w:color w:val="000000"/>
                <w:sz w:val="20"/>
                <w:szCs w:val="20"/>
                <w:u w:val="none"/>
                <w:lang w:val="en-US" w:eastAsia="zh-CN" w:bidi="ar"/>
              </w:rPr>
              <w:t xml:space="preserve">一：主机（1台）</w:t>
            </w:r>
            <w:r/>
          </w:p>
          <w:p>
            <w:pPr>
              <w:jc w:val="left"/>
              <w:keepLines w:val="0"/>
              <w:keepNext w:val="0"/>
              <w:widowControl/>
              <w:rPr>
                <w:rFonts w:hint="eastAsia" w:asciiTheme="minorEastAsia" w:hAnsiTheme="minorEastAsia" w:eastAsiaTheme="minorEastAsia" w:cstheme="minorEastAsia"/>
                <w:i w:val="0"/>
                <w:iCs w:val="0"/>
                <w:color w:val="000000"/>
                <w:sz w:val="20"/>
                <w:szCs w:val="20"/>
                <w:u w:val="none"/>
                <w:lang w:val="en-US" w:eastAsia="zh-CN" w:bidi="ar"/>
              </w:rPr>
              <w:suppressLineNumbers w:val="0"/>
            </w:pPr>
            <w:r>
              <w:rPr>
                <w:rFonts w:hint="eastAsia" w:asciiTheme="minorEastAsia" w:hAnsiTheme="minorEastAsia" w:eastAsiaTheme="minorEastAsia" w:cstheme="minorEastAsia"/>
                <w:i w:val="0"/>
                <w:iCs w:val="0"/>
                <w:color w:val="000000"/>
                <w:sz w:val="20"/>
                <w:szCs w:val="20"/>
                <w:u w:val="none"/>
                <w:lang w:val="en-US" w:eastAsia="zh-CN" w:bidi="ar"/>
              </w:rPr>
              <w:t xml:space="preserve">配置：</w:t>
            </w:r>
            <w:bookmarkStart w:id="5" w:name="_GoBack"/>
            <w:r>
              <w:rPr>
                <w:rFonts w:hint="eastAsia" w:asciiTheme="minorEastAsia" w:hAnsiTheme="minorEastAsia" w:eastAsiaTheme="minorEastAsia" w:cstheme="minorEastAsia"/>
                <w:i w:val="0"/>
                <w:iCs w:val="0"/>
                <w:color w:val="000000"/>
                <w:sz w:val="20"/>
                <w:szCs w:val="20"/>
                <w:u w:val="none"/>
                <w:lang w:val="en-US" w:eastAsia="zh-CN" w:bidi="ar"/>
              </w:rPr>
              <w:t xml:space="preserve">Intel i3</w:t>
            </w:r>
            <w:bookmarkEnd w:id="5"/>
            <w:r>
              <w:rPr>
                <w:rFonts w:hint="eastAsia" w:asciiTheme="minorEastAsia" w:hAnsiTheme="minorEastAsia" w:eastAsiaTheme="minorEastAsia" w:cstheme="minorEastAsia"/>
                <w:i w:val="0"/>
                <w:iCs w:val="0"/>
                <w:color w:val="000000"/>
                <w:sz w:val="20"/>
                <w:szCs w:val="20"/>
                <w:u w:val="none"/>
                <w:lang w:val="en-US" w:eastAsia="zh-CN" w:bidi="ar"/>
              </w:rPr>
              <w:t xml:space="preserve">≥10代（主频≥2.1GHz，≥4核，缓存≥6MB）；内存≥4GB DDR4 2666MHz（最大扩16GB）；存储≥256GB M.2 NVME SSD（可选500GB机械）；集成Intel UHD显卡。- 接口：≥6个USB（前≥2个USB3.2，后≥2个USB2.0），VGA+HDMI双显，千兆网口；≥1个PCI-E×16、1个PCI-E×1插槽- 结构：≤17L立式机箱，前置散热，顶置提手；BIOS级USB屏蔽，边角圆滑。</w:t>
            </w:r>
            <w:r/>
          </w:p>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lang w:val="en-US" w:eastAsia="zh-CN" w:bidi="ar"/>
              </w:rPr>
              <w:t xml:space="preserve">二：显示器（1台）- 规格：21.5-23.8英寸LED，分辨率≥1920×1080，16:9。- 性能：低蓝光护眼、不闪屏，面板视角≥170°，适配课堂展示</w:t>
            </w:r>
            <w:r/>
          </w:p>
        </w:tc>
        <w:tc>
          <w:tcPr>
            <w:shd w:val="clear" w:color="auto" w:fill="auto"/>
            <w:tcW w:w="982"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lang w:val="en-US" w:eastAsia="zh-CN" w:bidi="ar"/>
              </w:rPr>
              <w:t xml:space="preserve">台</w:t>
            </w:r>
            <w:r/>
          </w:p>
        </w:tc>
        <w:tc>
          <w:tcPr>
            <w:shd w:val="clear" w:color="auto" w:fill="auto"/>
            <w:tcW w:w="971"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lang w:val="en-US" w:eastAsia="zh-CN" w:bidi="ar"/>
              </w:rPr>
              <w:t xml:space="preserve">1</w:t>
            </w:r>
            <w:r/>
          </w:p>
        </w:tc>
      </w:tr>
      <w:tr>
        <w:trPr>
          <w:trHeight w:val="665"/>
        </w:trPr>
        <w:tc>
          <w:tcPr>
            <w:shd w:val="clear" w:color="auto" w:fill="auto"/>
            <w:tcW w:w="749" w:type="dxa"/>
            <w:vAlign w:val="center"/>
            <w:textDirection w:val="lrTb"/>
            <w:noWrap w:val="false"/>
          </w:tcPr>
          <w:p>
            <w:pPr>
              <w:jc w:val="center"/>
              <w:keepLines w:val="0"/>
              <w:keepNext w:val="0"/>
              <w:widowControl/>
              <w:rPr>
                <w:rFonts w:hint="default" w:asciiTheme="minorEastAsia" w:hAnsiTheme="minorEastAsia" w:eastAsiaTheme="minorEastAsia" w:cstheme="minorEastAsia"/>
                <w:i w:val="0"/>
                <w:iCs w:val="0"/>
                <w:color w:val="000000"/>
                <w:sz w:val="20"/>
                <w:szCs w:val="20"/>
                <w:u w:val="none"/>
                <w:lang w:val="en-US"/>
              </w:rPr>
              <w:suppressLineNumbers w:val="0"/>
            </w:pPr>
            <w:r>
              <w:rPr>
                <w:rFonts w:hint="eastAsia" w:asciiTheme="minorEastAsia" w:hAnsiTheme="minorEastAsia" w:cstheme="minorEastAsia"/>
                <w:i w:val="0"/>
                <w:iCs w:val="0"/>
                <w:color w:val="000000"/>
                <w:sz w:val="20"/>
                <w:szCs w:val="20"/>
                <w:u w:val="none"/>
                <w:lang w:val="en-US" w:eastAsia="zh-CN" w:bidi="ar"/>
              </w:rPr>
              <w:t xml:space="preserve">69</w:t>
            </w:r>
            <w:r/>
          </w:p>
        </w:tc>
        <w:tc>
          <w:tcPr>
            <w:shd w:val="clear" w:color="auto" w:fill="auto"/>
            <w:tcW w:w="1344"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lang w:val="en-US" w:eastAsia="zh-CN" w:bidi="ar"/>
              </w:rPr>
              <w:t xml:space="preserve">扩声系统设备7</w:t>
            </w:r>
            <w:r/>
          </w:p>
        </w:tc>
        <w:tc>
          <w:tcPr>
            <w:shd w:val="clear" w:color="auto" w:fill="auto"/>
            <w:tcW w:w="4751"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lang w:val="en-US" w:eastAsia="zh-CN" w:bidi="ar"/>
              </w:rPr>
              <w:t xml:space="preserve">扩声系统设备（1台）- 安装：嵌入式吊顶，开孔≤160mm，深度≤80mm；阻燃ABS外壳，白色哑光，面罩可拆卸，内置防磁。喇叭（8个）</w:t>
            </w:r>
            <w:r>
              <w:rPr>
                <w:rFonts w:hint="eastAsia" w:asciiTheme="minorEastAsia" w:hAnsiTheme="minorEastAsia" w:eastAsiaTheme="minorEastAsia" w:cstheme="minorEastAsia"/>
                <w:i w:val="0"/>
                <w:iCs w:val="0"/>
                <w:color w:val="000000"/>
                <w:sz w:val="20"/>
                <w:szCs w:val="20"/>
                <w:u w:val="none"/>
                <w:lang w:val="en-US" w:eastAsia="zh-CN" w:bidi="ar"/>
              </w:rPr>
              <w:br/>
            </w:r>
            <w:r>
              <w:rPr>
                <w:rFonts w:hint="eastAsia" w:asciiTheme="minorEastAsia" w:hAnsiTheme="minorEastAsia" w:eastAsiaTheme="minorEastAsia" w:cstheme="minorEastAsia"/>
                <w:i w:val="0"/>
                <w:iCs w:val="0"/>
                <w:color w:val="000000"/>
                <w:sz w:val="20"/>
                <w:szCs w:val="20"/>
                <w:u w:val="none"/>
                <w:lang w:val="en-US" w:eastAsia="zh-CN" w:bidi="ar"/>
              </w:rPr>
              <w:t xml:space="preserve">- 材质：无氧铜（≥99.995%），16AWG（≈1.3mm²）/14AWG（≈2.08mm²），双芯绞合</w:t>
            </w:r>
            <w:r/>
          </w:p>
        </w:tc>
        <w:tc>
          <w:tcPr>
            <w:shd w:val="clear" w:color="auto" w:fill="auto"/>
            <w:tcW w:w="982"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lang w:val="en-US" w:eastAsia="zh-CN" w:bidi="ar"/>
              </w:rPr>
              <w:t xml:space="preserve">套</w:t>
            </w:r>
            <w:r/>
          </w:p>
        </w:tc>
        <w:tc>
          <w:tcPr>
            <w:shd w:val="clear" w:color="auto" w:fill="auto"/>
            <w:tcW w:w="971"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lang w:val="en-US" w:eastAsia="zh-CN" w:bidi="ar"/>
              </w:rPr>
              <w:t xml:space="preserve">1</w:t>
            </w:r>
            <w:r/>
          </w:p>
        </w:tc>
      </w:tr>
      <w:tr>
        <w:trPr>
          <w:trHeight w:val="2313"/>
        </w:trPr>
        <w:tc>
          <w:tcPr>
            <w:shd w:val="clear" w:color="auto" w:fill="auto"/>
            <w:tcW w:w="749" w:type="dxa"/>
            <w:vAlign w:val="center"/>
            <w:textDirection w:val="lrTb"/>
            <w:noWrap w:val="false"/>
          </w:tcPr>
          <w:p>
            <w:pPr>
              <w:jc w:val="center"/>
              <w:keepLines w:val="0"/>
              <w:keepNext w:val="0"/>
              <w:widowControl/>
              <w:rPr>
                <w:rFonts w:hint="default" w:asciiTheme="minorEastAsia" w:hAnsiTheme="minorEastAsia" w:eastAsiaTheme="minorEastAsia" w:cstheme="minorEastAsia"/>
                <w:i w:val="0"/>
                <w:iCs w:val="0"/>
                <w:color w:val="000000"/>
                <w:sz w:val="20"/>
                <w:szCs w:val="20"/>
                <w:u w:val="none"/>
                <w:lang w:val="en-US"/>
              </w:rPr>
              <w:suppressLineNumbers w:val="0"/>
            </w:pPr>
            <w:r>
              <w:rPr>
                <w:rFonts w:hint="eastAsia" w:asciiTheme="minorEastAsia" w:hAnsiTheme="minorEastAsia" w:cstheme="minorEastAsia"/>
                <w:i w:val="0"/>
                <w:iCs w:val="0"/>
                <w:color w:val="000000"/>
                <w:sz w:val="20"/>
                <w:szCs w:val="20"/>
                <w:u w:val="none"/>
                <w:lang w:val="en-US" w:eastAsia="zh-CN" w:bidi="ar"/>
              </w:rPr>
              <w:t xml:space="preserve">70</w:t>
            </w:r>
            <w:r/>
          </w:p>
        </w:tc>
        <w:tc>
          <w:tcPr>
            <w:shd w:val="clear" w:color="auto" w:fill="auto"/>
            <w:tcW w:w="1344"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lang w:val="en-US" w:eastAsia="zh-CN" w:bidi="ar"/>
              </w:rPr>
              <w:t xml:space="preserve">网络机柜</w:t>
            </w:r>
            <w:r/>
          </w:p>
        </w:tc>
        <w:tc>
          <w:tcPr>
            <w:shd w:val="clear" w:color="auto" w:fill="auto"/>
            <w:tcW w:w="4751"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lang w:val="en-US" w:eastAsia="zh-CN" w:bidi="ar"/>
              </w:rPr>
              <w:suppressLineNumbers w:val="0"/>
            </w:pPr>
            <w:r>
              <w:rPr>
                <w:rFonts w:hint="eastAsia" w:asciiTheme="minorEastAsia" w:hAnsiTheme="minorEastAsia" w:eastAsiaTheme="minorEastAsia" w:cstheme="minorEastAsia"/>
                <w:i w:val="0"/>
                <w:iCs w:val="0"/>
                <w:color w:val="000000"/>
                <w:sz w:val="20"/>
                <w:szCs w:val="20"/>
                <w:u w:val="none"/>
                <w:lang w:val="en-US" w:eastAsia="zh-CN" w:bidi="ar"/>
              </w:rPr>
              <w:t xml:space="preserve">机柜（1台） </w:t>
            </w:r>
            <w:r/>
          </w:p>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lang w:val="en-US" w:eastAsia="zh-CN" w:bidi="ar"/>
              </w:rPr>
              <w:t xml:space="preserve"> 规格：18U，高≤996.6mm，宽≥600mm，深≥800mm（可选600</w:t>
            </w:r>
            <w:r>
              <w:rPr>
                <w:rFonts w:hint="eastAsia" w:asciiTheme="minorEastAsia" w:hAnsiTheme="minorEastAsia" w:eastAsiaTheme="minorEastAsia" w:cstheme="minorEastAsia"/>
                <w:i w:val="0"/>
                <w:iCs w:val="0"/>
                <w:color w:val="000000"/>
                <w:sz w:val="20"/>
                <w:szCs w:val="20"/>
                <w:u w:val="none"/>
                <w:lang w:val="en-US" w:eastAsia="zh-CN" w:bidi="ar"/>
              </w:rPr>
              <w:t xml:space="preserve">/800/1000mm）；19英寸标准，立柱调节450-750mm。- 材质：冷轧钢板（框架≥1.5mm，门板≥1.2mm）；静态承重≥800kg，动态≥500kg。- 结构：组装式，前钢化玻璃门（≥5mm），后双开网孔门（通风≥70%）；顶部风扇位，底部进线孔，防护≥IP20。- 配件：M6螺丝≥40套，滑动层板≥2块（≥200kg/块）；4个万向脚轮（2带刹车）+可调节支脚；理线架≥2个，接地排。- 表面：脱脂酸洗磷化+静电喷涂，默认黑色。- 适配：工作-10℃~+45℃，湿度10%-90%；质保≥2年</w:t>
            </w:r>
            <w:r/>
          </w:p>
        </w:tc>
        <w:tc>
          <w:tcPr>
            <w:shd w:val="clear" w:color="auto" w:fill="auto"/>
            <w:tcW w:w="982"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lang w:val="en-US" w:eastAsia="zh-CN" w:bidi="ar"/>
              </w:rPr>
              <w:t xml:space="preserve">个</w:t>
            </w:r>
            <w:r/>
          </w:p>
        </w:tc>
        <w:tc>
          <w:tcPr>
            <w:shd w:val="clear" w:color="auto" w:fill="auto"/>
            <w:tcW w:w="971"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lang w:val="en-US" w:eastAsia="zh-CN" w:bidi="ar"/>
              </w:rPr>
              <w:t xml:space="preserve">1</w:t>
            </w:r>
            <w:r/>
          </w:p>
        </w:tc>
      </w:tr>
      <w:tr>
        <w:trPr>
          <w:trHeight w:val="2148"/>
        </w:trPr>
        <w:tc>
          <w:tcPr>
            <w:shd w:val="clear" w:color="auto" w:fill="auto"/>
            <w:tcW w:w="749" w:type="dxa"/>
            <w:vAlign w:val="center"/>
            <w:textDirection w:val="lrTb"/>
            <w:noWrap w:val="false"/>
          </w:tcPr>
          <w:p>
            <w:pPr>
              <w:jc w:val="center"/>
              <w:keepLines w:val="0"/>
              <w:keepNext w:val="0"/>
              <w:widowControl/>
              <w:rPr>
                <w:rFonts w:hint="default" w:asciiTheme="minorEastAsia" w:hAnsiTheme="minorEastAsia" w:eastAsiaTheme="minorEastAsia" w:cstheme="minorEastAsia"/>
                <w:i w:val="0"/>
                <w:iCs w:val="0"/>
                <w:color w:val="000000"/>
                <w:sz w:val="20"/>
                <w:szCs w:val="20"/>
                <w:u w:val="none"/>
                <w:lang w:val="en-US"/>
              </w:rPr>
              <w:suppressLineNumbers w:val="0"/>
            </w:pPr>
            <w:r>
              <w:rPr>
                <w:rFonts w:hint="eastAsia" w:asciiTheme="minorEastAsia" w:hAnsiTheme="minorEastAsia" w:cstheme="minorEastAsia"/>
                <w:i w:val="0"/>
                <w:iCs w:val="0"/>
                <w:color w:val="000000"/>
                <w:sz w:val="20"/>
                <w:szCs w:val="20"/>
                <w:u w:val="none"/>
                <w:lang w:val="en-US" w:eastAsia="zh-CN" w:bidi="ar"/>
              </w:rPr>
              <w:t xml:space="preserve">71</w:t>
            </w:r>
            <w:r/>
          </w:p>
        </w:tc>
        <w:tc>
          <w:tcPr>
            <w:shd w:val="clear" w:color="auto" w:fill="auto"/>
            <w:tcW w:w="1344"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拆除摄像头</w:t>
            </w:r>
            <w:r/>
          </w:p>
        </w:tc>
        <w:tc>
          <w:tcPr>
            <w:shd w:val="clear" w:color="auto" w:fill="auto"/>
            <w:tcW w:w="4751" w:type="dxa"/>
            <w:vAlign w:val="center"/>
            <w:textDirection w:val="lrTb"/>
            <w:noWrap w:val="false"/>
          </w:tcPr>
          <w:p>
            <w:pPr>
              <w:numPr>
                <w:ilvl w:val="0"/>
                <w:numId w:val="13"/>
              </w:numPr>
              <w:jc w:val="left"/>
              <w:keepLines w:val="0"/>
              <w:keepNext w:val="0"/>
              <w:widowControl/>
              <w:rPr>
                <w:rFonts w:hint="eastAsia" w:asciiTheme="minorEastAsia" w:hAnsiTheme="minorEastAsia" w:eastAsiaTheme="minorEastAsia" w:cstheme="minorEastAsia"/>
                <w:i w:val="0"/>
                <w:iCs w:val="0"/>
                <w:color w:val="000000"/>
                <w:sz w:val="20"/>
                <w:szCs w:val="20"/>
                <w:u w:val="none"/>
                <w:lang w:val="en-US" w:eastAsia="zh-CN" w:bidi="ar"/>
              </w:rPr>
              <w:suppressLineNumbers w:val="0"/>
            </w:pPr>
            <w:r>
              <w:rPr>
                <w:rFonts w:hint="eastAsia" w:asciiTheme="minorEastAsia" w:hAnsiTheme="minorEastAsia" w:eastAsiaTheme="minorEastAsia" w:cstheme="minorEastAsia"/>
                <w:i w:val="0"/>
                <w:iCs w:val="0"/>
                <w:color w:val="000000"/>
                <w:sz w:val="20"/>
                <w:szCs w:val="20"/>
                <w:u w:val="none"/>
                <w:lang w:val="en-US" w:eastAsia="zh-CN" w:bidi="ar"/>
              </w:rPr>
              <w:t xml:space="preserve">服务范围：监控及配套设备全流程拆除，含主机、镜头、线缆等，确保无遗漏；</w:t>
            </w:r>
            <w:r/>
          </w:p>
          <w:p>
            <w:pPr>
              <w:numPr>
                <w:ilvl w:val="0"/>
                <w:numId w:val="13"/>
              </w:numPr>
              <w:ind w:left="0" w:firstLine="0"/>
              <w:jc w:val="left"/>
              <w:keepLines w:val="0"/>
              <w:keepNext w:val="0"/>
              <w:widowControl/>
              <w:rPr>
                <w:rFonts w:hint="eastAsia" w:asciiTheme="minorEastAsia" w:hAnsiTheme="minorEastAsia" w:eastAsiaTheme="minorEastAsia" w:cstheme="minorEastAsia"/>
                <w:i w:val="0"/>
                <w:iCs w:val="0"/>
                <w:color w:val="000000"/>
                <w:sz w:val="20"/>
                <w:szCs w:val="20"/>
                <w:u w:val="none"/>
                <w:lang w:val="en-US" w:eastAsia="zh-CN" w:bidi="ar"/>
              </w:rPr>
              <w:suppressLineNumbers w:val="0"/>
            </w:pPr>
            <w:r>
              <w:rPr>
                <w:rFonts w:hint="eastAsia" w:asciiTheme="minorEastAsia" w:hAnsiTheme="minorEastAsia" w:eastAsiaTheme="minorEastAsia" w:cstheme="minorEastAsia"/>
                <w:i w:val="0"/>
                <w:iCs w:val="0"/>
                <w:color w:val="000000"/>
                <w:sz w:val="20"/>
                <w:szCs w:val="20"/>
                <w:u w:val="none"/>
                <w:lang w:val="en-US" w:eastAsia="zh-CN" w:bidi="ar"/>
              </w:rPr>
              <w:t xml:space="preserve">人员要求：持证上岗，有安防拆除经验，熟悉规范；</w:t>
            </w:r>
            <w:r/>
          </w:p>
          <w:p>
            <w:pPr>
              <w:numPr>
                <w:ilvl w:val="0"/>
                <w:numId w:val="13"/>
              </w:numPr>
              <w:ind w:left="0" w:firstLine="0"/>
              <w:jc w:val="left"/>
              <w:keepLines w:val="0"/>
              <w:keepNext w:val="0"/>
              <w:widowControl/>
              <w:rPr>
                <w:rFonts w:hint="eastAsia" w:asciiTheme="minorEastAsia" w:hAnsiTheme="minorEastAsia" w:eastAsiaTheme="minorEastAsia" w:cstheme="minorEastAsia"/>
                <w:i w:val="0"/>
                <w:iCs w:val="0"/>
                <w:color w:val="000000"/>
                <w:sz w:val="20"/>
                <w:szCs w:val="20"/>
                <w:u w:val="none"/>
                <w:lang w:val="en-US" w:eastAsia="zh-CN" w:bidi="ar"/>
              </w:rPr>
              <w:suppressLineNumbers w:val="0"/>
            </w:pPr>
            <w:r>
              <w:rPr>
                <w:rFonts w:hint="eastAsia" w:asciiTheme="minorEastAsia" w:hAnsiTheme="minorEastAsia" w:eastAsiaTheme="minorEastAsia" w:cstheme="minorEastAsia"/>
                <w:i w:val="0"/>
                <w:iCs w:val="0"/>
                <w:color w:val="000000"/>
                <w:sz w:val="20"/>
                <w:szCs w:val="20"/>
                <w:u w:val="none"/>
                <w:lang w:val="en-US" w:eastAsia="zh-CN" w:bidi="ar"/>
              </w:rPr>
              <w:t xml:space="preserve">技术要求：断电断网并标识，专业工具拆卸，线缆有序剥离，拆除后清洁点位、恢复原貌；</w:t>
            </w:r>
            <w:r/>
          </w:p>
          <w:p>
            <w:pPr>
              <w:numPr>
                <w:ilvl w:val="0"/>
                <w:numId w:val="13"/>
              </w:numPr>
              <w:ind w:left="0" w:firstLine="0"/>
              <w:jc w:val="left"/>
              <w:keepLines w:val="0"/>
              <w:keepNext w:val="0"/>
              <w:widowControl/>
              <w:rPr>
                <w:rFonts w:hint="eastAsia" w:asciiTheme="minorEastAsia" w:hAnsiTheme="minorEastAsia" w:eastAsiaTheme="minorEastAsia" w:cstheme="minorEastAsia"/>
                <w:i w:val="0"/>
                <w:iCs w:val="0"/>
                <w:color w:val="000000"/>
                <w:sz w:val="20"/>
                <w:szCs w:val="20"/>
                <w:u w:val="none"/>
                <w:lang w:val="en-US" w:eastAsia="zh-CN" w:bidi="ar"/>
              </w:rPr>
              <w:suppressLineNumbers w:val="0"/>
            </w:pPr>
            <w:r>
              <w:rPr>
                <w:rFonts w:hint="eastAsia" w:asciiTheme="minorEastAsia" w:hAnsiTheme="minorEastAsia" w:eastAsiaTheme="minorEastAsia" w:cstheme="minorEastAsia"/>
                <w:i w:val="0"/>
                <w:iCs w:val="0"/>
                <w:color w:val="000000"/>
                <w:sz w:val="20"/>
                <w:szCs w:val="20"/>
                <w:u w:val="none"/>
                <w:lang w:val="en-US" w:eastAsia="zh-CN" w:bidi="ar"/>
              </w:rPr>
              <w:t xml:space="preserve">安全要求：高空作业配防护装备，严守电工规范，配灭火器材；</w:t>
            </w:r>
            <w:r/>
          </w:p>
          <w:p>
            <w:pPr>
              <w:numPr>
                <w:ilvl w:val="0"/>
                <w:numId w:val="13"/>
              </w:numPr>
              <w:ind w:left="0" w:firstLine="0"/>
              <w:jc w:val="left"/>
              <w:keepLines w:val="0"/>
              <w:keepNext w:val="0"/>
              <w:widowControl/>
              <w:rPr>
                <w:rFonts w:hint="eastAsia" w:asciiTheme="minorEastAsia" w:hAnsiTheme="minorEastAsia" w:eastAsiaTheme="minorEastAsia" w:cstheme="minorEastAsia"/>
                <w:i w:val="0"/>
                <w:iCs w:val="0"/>
                <w:color w:val="000000"/>
                <w:sz w:val="20"/>
                <w:szCs w:val="20"/>
                <w:u w:val="none"/>
                <w:lang w:val="en-US" w:eastAsia="zh-CN" w:bidi="ar"/>
              </w:rPr>
              <w:suppressLineNumbers w:val="0"/>
            </w:pPr>
            <w:r>
              <w:rPr>
                <w:rFonts w:hint="eastAsia" w:asciiTheme="minorEastAsia" w:hAnsiTheme="minorEastAsia" w:eastAsiaTheme="minorEastAsia" w:cstheme="minorEastAsia"/>
                <w:i w:val="0"/>
                <w:iCs w:val="0"/>
                <w:color w:val="000000"/>
                <w:sz w:val="20"/>
                <w:szCs w:val="20"/>
                <w:u w:val="none"/>
                <w:lang w:val="en-US" w:eastAsia="zh-CN" w:bidi="ar"/>
              </w:rPr>
              <w:t xml:space="preserve">服务时效：指定时间完成，紧急情况24小时响应；</w:t>
            </w:r>
            <w:r/>
          </w:p>
          <w:p>
            <w:pPr>
              <w:numPr>
                <w:ilvl w:val="0"/>
                <w:numId w:val="13"/>
              </w:numPr>
              <w:ind w:left="0" w:firstLine="0"/>
              <w:jc w:val="left"/>
              <w:keepLines w:val="0"/>
              <w:keepNext w:val="0"/>
              <w:widowControl/>
              <w:rPr>
                <w:rFonts w:hint="eastAsia" w:asciiTheme="minorEastAsia" w:hAnsiTheme="minorEastAsia" w:eastAsiaTheme="minorEastAsia" w:cstheme="minorEastAsia"/>
                <w:i w:val="0"/>
                <w:iCs w:val="0"/>
                <w:color w:val="000000"/>
                <w:sz w:val="20"/>
                <w:szCs w:val="20"/>
                <w:u w:val="none"/>
                <w:lang w:val="en-US" w:eastAsia="zh-CN" w:bidi="ar"/>
              </w:rPr>
              <w:suppressLineNumbers w:val="0"/>
            </w:pPr>
            <w:r>
              <w:rPr>
                <w:rFonts w:hint="eastAsia" w:asciiTheme="minorEastAsia" w:hAnsiTheme="minorEastAsia" w:eastAsiaTheme="minorEastAsia" w:cstheme="minorEastAsia"/>
                <w:i w:val="0"/>
                <w:iCs w:val="0"/>
                <w:color w:val="000000"/>
                <w:sz w:val="20"/>
                <w:szCs w:val="20"/>
                <w:u w:val="none"/>
                <w:lang w:val="en-US" w:eastAsia="zh-CN" w:bidi="ar"/>
              </w:rPr>
              <w:t xml:space="preserve">质量保障：验收合格，提供清单及照片，质保期内免费处理操作导致的损坏；</w:t>
            </w:r>
            <w:r/>
          </w:p>
          <w:p>
            <w:pPr>
              <w:numPr>
                <w:ilvl w:val="0"/>
                <w:numId w:val="0"/>
              </w:num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lang w:val="en-US" w:eastAsia="zh-CN" w:bidi="ar"/>
              </w:rPr>
              <w:t xml:space="preserve">7. 其他：自带工具，工完场清。</w:t>
            </w:r>
            <w:r/>
          </w:p>
        </w:tc>
        <w:tc>
          <w:tcPr>
            <w:shd w:val="clear" w:color="auto" w:fill="auto"/>
            <w:tcW w:w="982"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套</w:t>
            </w:r>
            <w:r/>
          </w:p>
        </w:tc>
        <w:tc>
          <w:tcPr>
            <w:shd w:val="clear" w:color="auto" w:fill="auto"/>
            <w:tcW w:w="971"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20</w:t>
            </w:r>
            <w:r/>
          </w:p>
        </w:tc>
      </w:tr>
      <w:tr>
        <w:trPr>
          <w:trHeight w:val="2643"/>
        </w:trPr>
        <w:tc>
          <w:tcPr>
            <w:shd w:val="clear" w:color="auto" w:fill="auto"/>
            <w:tcW w:w="749" w:type="dxa"/>
            <w:vAlign w:val="center"/>
            <w:textDirection w:val="lrTb"/>
            <w:noWrap w:val="false"/>
          </w:tcPr>
          <w:p>
            <w:pPr>
              <w:jc w:val="center"/>
              <w:keepLines w:val="0"/>
              <w:keepNext w:val="0"/>
              <w:widowControl/>
              <w:rPr>
                <w:rFonts w:hint="default" w:asciiTheme="minorEastAsia" w:hAnsiTheme="minorEastAsia" w:eastAsiaTheme="minorEastAsia" w:cstheme="minorEastAsia"/>
                <w:i w:val="0"/>
                <w:iCs w:val="0"/>
                <w:color w:val="000000"/>
                <w:sz w:val="20"/>
                <w:szCs w:val="20"/>
                <w:u w:val="none"/>
                <w:lang w:val="en-US"/>
              </w:rPr>
              <w:suppressLineNumbers w:val="0"/>
            </w:pPr>
            <w:r>
              <w:rPr>
                <w:rFonts w:hint="eastAsia" w:asciiTheme="minorEastAsia" w:hAnsiTheme="minorEastAsia" w:cstheme="minorEastAsia"/>
                <w:i w:val="0"/>
                <w:iCs w:val="0"/>
                <w:color w:val="000000"/>
                <w:sz w:val="20"/>
                <w:szCs w:val="20"/>
                <w:u w:val="none"/>
                <w:lang w:val="en-US" w:eastAsia="zh-CN" w:bidi="ar"/>
              </w:rPr>
              <w:t xml:space="preserve">72</w:t>
            </w:r>
            <w:r/>
          </w:p>
        </w:tc>
        <w:tc>
          <w:tcPr>
            <w:shd w:val="clear" w:color="auto" w:fill="auto"/>
            <w:tcW w:w="1344"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强弱电线路改造</w:t>
            </w:r>
            <w:r/>
          </w:p>
        </w:tc>
        <w:tc>
          <w:tcPr>
            <w:shd w:val="clear" w:color="auto" w:fill="auto"/>
            <w:tcW w:w="4751" w:type="dxa"/>
            <w:vAlign w:val="center"/>
            <w:textDirection w:val="lrTb"/>
            <w:noWrap w:val="false"/>
          </w:tcPr>
          <w:p>
            <w:pPr>
              <w:numPr>
                <w:ilvl w:val="0"/>
                <w:numId w:val="14"/>
              </w:numPr>
              <w:jc w:val="left"/>
              <w:keepLines w:val="0"/>
              <w:keepNext w:val="0"/>
              <w:widowControl/>
              <w:rPr>
                <w:rFonts w:hint="eastAsia" w:asciiTheme="minorEastAsia" w:hAnsiTheme="minorEastAsia" w:eastAsiaTheme="minorEastAsia" w:cstheme="minorEastAsia"/>
                <w:i w:val="0"/>
                <w:iCs w:val="0"/>
                <w:color w:val="000000"/>
                <w:sz w:val="20"/>
                <w:szCs w:val="20"/>
                <w:u w:val="none"/>
                <w:lang w:val="en-US" w:eastAsia="zh-CN" w:bidi="ar"/>
              </w:rPr>
              <w:suppressLineNumbers w:val="0"/>
            </w:pPr>
            <w:r>
              <w:rPr>
                <w:rFonts w:hint="eastAsia" w:asciiTheme="minorEastAsia" w:hAnsiTheme="minorEastAsia" w:eastAsiaTheme="minorEastAsia" w:cstheme="minorEastAsia"/>
                <w:i w:val="0"/>
                <w:iCs w:val="0"/>
                <w:color w:val="000000"/>
                <w:sz w:val="20"/>
                <w:szCs w:val="20"/>
                <w:u w:val="none"/>
                <w:lang w:val="en-US" w:eastAsia="zh-CN" w:bidi="ar"/>
              </w:rPr>
              <w:t xml:space="preserve">合规要求：符GB 50303-2015、GB 50312-2016，提供施工组织设计、安全及质量计划；</w:t>
            </w:r>
            <w:r/>
          </w:p>
          <w:p>
            <w:pPr>
              <w:numPr>
                <w:ilvl w:val="0"/>
                <w:numId w:val="14"/>
              </w:numPr>
              <w:ind w:left="0" w:firstLine="0"/>
              <w:jc w:val="left"/>
              <w:keepLines w:val="0"/>
              <w:keepNext w:val="0"/>
              <w:widowControl/>
              <w:rPr>
                <w:rFonts w:hint="eastAsia" w:asciiTheme="minorEastAsia" w:hAnsiTheme="minorEastAsia" w:eastAsiaTheme="minorEastAsia" w:cstheme="minorEastAsia"/>
                <w:i w:val="0"/>
                <w:iCs w:val="0"/>
                <w:color w:val="000000"/>
                <w:sz w:val="20"/>
                <w:szCs w:val="20"/>
                <w:u w:val="none"/>
                <w:lang w:val="en-US" w:eastAsia="zh-CN" w:bidi="ar"/>
              </w:rPr>
              <w:suppressLineNumbers w:val="0"/>
            </w:pPr>
            <w:r>
              <w:rPr>
                <w:rFonts w:hint="eastAsia" w:asciiTheme="minorEastAsia" w:hAnsiTheme="minorEastAsia" w:eastAsiaTheme="minorEastAsia" w:cstheme="minorEastAsia"/>
                <w:i w:val="0"/>
                <w:iCs w:val="0"/>
                <w:color w:val="000000"/>
                <w:sz w:val="20"/>
                <w:szCs w:val="20"/>
                <w:u w:val="none"/>
                <w:lang w:val="en-US" w:eastAsia="zh-CN" w:bidi="ar"/>
              </w:rPr>
              <w:t xml:space="preserve">强电改造：①线缆：照明BV2.5、插座BV4、空调≥BV6，动力YJV-5×6+（GB/T 12706.1-2022）；②布线：阻燃PVC/镀锌钢管（PVC≥1.6mm），强弱电间距≥30cm；③保护：MCB+漏电保护器（≤30mA，≤0.1s），配电箱冷轧钢（≥IP30）；</w:t>
            </w:r>
            <w:r/>
          </w:p>
          <w:p>
            <w:pPr>
              <w:numPr>
                <w:ilvl w:val="0"/>
                <w:numId w:val="14"/>
              </w:numPr>
              <w:ind w:left="0" w:firstLine="0"/>
              <w:jc w:val="left"/>
              <w:keepLines w:val="0"/>
              <w:keepNext w:val="0"/>
              <w:widowControl/>
              <w:rPr>
                <w:rFonts w:hint="eastAsia" w:asciiTheme="minorEastAsia" w:hAnsiTheme="minorEastAsia" w:eastAsiaTheme="minorEastAsia" w:cstheme="minorEastAsia"/>
                <w:i w:val="0"/>
                <w:iCs w:val="0"/>
                <w:color w:val="000000"/>
                <w:sz w:val="20"/>
                <w:szCs w:val="20"/>
                <w:u w:val="none"/>
                <w:lang w:val="en-US" w:eastAsia="zh-CN" w:bidi="ar"/>
              </w:rPr>
              <w:suppressLineNumbers w:val="0"/>
            </w:pPr>
            <w:r>
              <w:rPr>
                <w:rFonts w:hint="eastAsia" w:asciiTheme="minorEastAsia" w:hAnsiTheme="minorEastAsia" w:eastAsiaTheme="minorEastAsia" w:cstheme="minorEastAsia"/>
                <w:i w:val="0"/>
                <w:iCs w:val="0"/>
                <w:color w:val="000000"/>
                <w:sz w:val="20"/>
                <w:szCs w:val="20"/>
                <w:u w:val="none"/>
                <w:lang w:val="en-US" w:eastAsia="zh-CN" w:bidi="ar"/>
              </w:rPr>
              <w:t xml:space="preserve">弱电改造：①线缆：CAT6网线、RVV2×0.5电话线、RVV4×0.75+SYV75-5监控线；②布线：PVC管≥1.2mm，与强电交叉≥5cm；③点位：水平偏差≤3mm，高度偏差≤5mm；</w:t>
            </w:r>
            <w:r/>
          </w:p>
          <w:p>
            <w:pPr>
              <w:numPr>
                <w:ilvl w:val="0"/>
                <w:numId w:val="14"/>
              </w:numPr>
              <w:ind w:left="0" w:firstLine="0"/>
              <w:jc w:val="left"/>
              <w:keepLines w:val="0"/>
              <w:keepNext w:val="0"/>
              <w:widowControl/>
              <w:rPr>
                <w:rFonts w:hint="eastAsia" w:asciiTheme="minorEastAsia" w:hAnsiTheme="minorEastAsia" w:eastAsiaTheme="minorEastAsia" w:cstheme="minorEastAsia"/>
                <w:i w:val="0"/>
                <w:iCs w:val="0"/>
                <w:color w:val="000000"/>
                <w:sz w:val="20"/>
                <w:szCs w:val="20"/>
                <w:u w:val="none"/>
                <w:lang w:val="en-US" w:eastAsia="zh-CN" w:bidi="ar"/>
              </w:rPr>
              <w:suppressLineNumbers w:val="0"/>
            </w:pPr>
            <w:r>
              <w:rPr>
                <w:rFonts w:hint="eastAsia" w:asciiTheme="minorEastAsia" w:hAnsiTheme="minorEastAsia" w:eastAsiaTheme="minorEastAsia" w:cstheme="minorEastAsia"/>
                <w:i w:val="0"/>
                <w:iCs w:val="0"/>
                <w:color w:val="000000"/>
                <w:sz w:val="20"/>
                <w:szCs w:val="20"/>
                <w:u w:val="none"/>
                <w:lang w:val="en-US" w:eastAsia="zh-CN" w:bidi="ar"/>
              </w:rPr>
              <w:t xml:space="preserve">施工工艺：开槽宽≤3cm深≤4cm，接头规范，接地电阻≤4Ω；</w:t>
            </w:r>
            <w:r/>
          </w:p>
          <w:p>
            <w:pPr>
              <w:numPr>
                <w:ilvl w:val="0"/>
                <w:numId w:val="14"/>
              </w:numPr>
              <w:ind w:left="0" w:firstLine="0"/>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lang w:val="en-US" w:eastAsia="zh-CN" w:bidi="ar"/>
              </w:rPr>
              <w:t xml:space="preserve">验收测试：强电绝缘≥10MΩ，弱电链路达标，提供竣工资料；</w:t>
            </w:r>
            <w:r/>
          </w:p>
        </w:tc>
        <w:tc>
          <w:tcPr>
            <w:shd w:val="clear" w:color="auto" w:fill="auto"/>
            <w:tcW w:w="982"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项</w:t>
            </w:r>
            <w:r/>
          </w:p>
        </w:tc>
        <w:tc>
          <w:tcPr>
            <w:shd w:val="clear" w:color="auto" w:fill="auto"/>
            <w:tcW w:w="971"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1.000</w:t>
            </w:r>
            <w:r/>
          </w:p>
        </w:tc>
      </w:tr>
      <w:tr>
        <w:trPr>
          <w:trHeight w:val="665"/>
        </w:trPr>
        <w:tc>
          <w:tcPr>
            <w:shd w:val="clear" w:color="auto" w:fill="auto"/>
            <w:tcW w:w="749" w:type="dxa"/>
            <w:vAlign w:val="center"/>
            <w:textDirection w:val="lrTb"/>
            <w:noWrap w:val="false"/>
          </w:tcPr>
          <w:p>
            <w:pPr>
              <w:jc w:val="center"/>
              <w:keepLines w:val="0"/>
              <w:keepNext w:val="0"/>
              <w:widowControl/>
              <w:rPr>
                <w:rFonts w:hint="default" w:asciiTheme="minorEastAsia" w:hAnsiTheme="minorEastAsia" w:eastAsiaTheme="minorEastAsia" w:cstheme="minorEastAsia"/>
                <w:i w:val="0"/>
                <w:iCs w:val="0"/>
                <w:color w:val="000000"/>
                <w:sz w:val="20"/>
                <w:szCs w:val="20"/>
                <w:u w:val="none"/>
                <w:lang w:val="en-US"/>
              </w:rPr>
              <w:suppressLineNumbers w:val="0"/>
            </w:pPr>
            <w:r>
              <w:rPr>
                <w:rFonts w:hint="eastAsia" w:asciiTheme="minorEastAsia" w:hAnsiTheme="minorEastAsia" w:cstheme="minorEastAsia"/>
                <w:i w:val="0"/>
                <w:iCs w:val="0"/>
                <w:color w:val="000000"/>
                <w:sz w:val="20"/>
                <w:szCs w:val="20"/>
                <w:u w:val="none"/>
                <w:lang w:val="en-US" w:eastAsia="zh-CN" w:bidi="ar"/>
              </w:rPr>
              <w:t xml:space="preserve">73</w:t>
            </w:r>
            <w:r/>
          </w:p>
        </w:tc>
        <w:tc>
          <w:tcPr>
            <w:shd w:val="clear" w:color="auto" w:fill="auto"/>
            <w:tcW w:w="1344"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lang w:val="en-US" w:eastAsia="zh-CN" w:bidi="ar"/>
              </w:rPr>
              <w:t xml:space="preserve">探索之眼雕塑</w:t>
            </w:r>
            <w:r/>
          </w:p>
        </w:tc>
        <w:tc>
          <w:tcPr>
            <w:shd w:val="clear" w:color="auto" w:fill="auto"/>
            <w:tcW w:w="4751"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lang w:val="en-US" w:eastAsia="zh-CN" w:bidi="ar"/>
              </w:rPr>
              <w:t xml:space="preserve">1、名称及材质：镜面不锈钢雕塑</w:t>
            </w:r>
            <w:r>
              <w:rPr>
                <w:rFonts w:hint="eastAsia" w:asciiTheme="minorEastAsia" w:hAnsiTheme="minorEastAsia" w:eastAsiaTheme="minorEastAsia" w:cstheme="minorEastAsia"/>
                <w:i w:val="0"/>
                <w:iCs w:val="0"/>
                <w:color w:val="000000"/>
                <w:sz w:val="20"/>
                <w:szCs w:val="20"/>
                <w:u w:val="none"/>
                <w:lang w:val="en-US" w:eastAsia="zh-CN" w:bidi="ar"/>
              </w:rPr>
              <w:br/>
            </w:r>
            <w:r>
              <w:rPr>
                <w:rFonts w:hint="eastAsia" w:asciiTheme="minorEastAsia" w:hAnsiTheme="minorEastAsia" w:eastAsiaTheme="minorEastAsia" w:cstheme="minorEastAsia"/>
                <w:i w:val="0"/>
                <w:iCs w:val="0"/>
                <w:color w:val="000000"/>
                <w:sz w:val="20"/>
                <w:szCs w:val="20"/>
                <w:u w:val="none"/>
                <w:lang w:val="en-US" w:eastAsia="zh-CN" w:bidi="ar"/>
              </w:rPr>
              <w:t xml:space="preserve">2、干挂石材基座及基础已另计</w:t>
            </w:r>
            <w:r>
              <w:rPr>
                <w:rFonts w:hint="eastAsia" w:asciiTheme="minorEastAsia" w:hAnsiTheme="minorEastAsia" w:eastAsiaTheme="minorEastAsia" w:cstheme="minorEastAsia"/>
                <w:i w:val="0"/>
                <w:iCs w:val="0"/>
                <w:color w:val="000000"/>
                <w:sz w:val="20"/>
                <w:szCs w:val="20"/>
                <w:u w:val="none"/>
                <w:lang w:val="en-US" w:eastAsia="zh-CN" w:bidi="ar"/>
              </w:rPr>
              <w:br/>
            </w:r>
            <w:r>
              <w:rPr>
                <w:rFonts w:hint="eastAsia" w:asciiTheme="minorEastAsia" w:hAnsiTheme="minorEastAsia" w:eastAsiaTheme="minorEastAsia" w:cstheme="minorEastAsia"/>
                <w:i w:val="0"/>
                <w:iCs w:val="0"/>
                <w:color w:val="000000"/>
                <w:sz w:val="20"/>
                <w:szCs w:val="20"/>
                <w:u w:val="none"/>
                <w:lang w:val="en-US" w:eastAsia="zh-CN" w:bidi="ar"/>
              </w:rPr>
              <w:t xml:space="preserve">3、由专业厂家二次深化设计</w:t>
            </w:r>
            <w:r>
              <w:rPr>
                <w:rFonts w:hint="eastAsia" w:asciiTheme="minorEastAsia" w:hAnsiTheme="minorEastAsia" w:eastAsiaTheme="minorEastAsia" w:cstheme="minorEastAsia"/>
                <w:i w:val="0"/>
                <w:iCs w:val="0"/>
                <w:color w:val="000000"/>
                <w:sz w:val="20"/>
                <w:szCs w:val="20"/>
                <w:u w:val="none"/>
                <w:lang w:val="en-US" w:eastAsia="zh-CN" w:bidi="ar"/>
              </w:rPr>
              <w:br/>
            </w:r>
            <w:r>
              <w:rPr>
                <w:rFonts w:hint="eastAsia" w:asciiTheme="minorEastAsia" w:hAnsiTheme="minorEastAsia" w:eastAsiaTheme="minorEastAsia" w:cstheme="minorEastAsia"/>
                <w:i w:val="0"/>
                <w:iCs w:val="0"/>
                <w:color w:val="000000"/>
                <w:sz w:val="20"/>
                <w:szCs w:val="20"/>
                <w:u w:val="none"/>
                <w:lang w:val="en-US" w:eastAsia="zh-CN" w:bidi="ar"/>
              </w:rPr>
              <w:t xml:space="preserve">4、其他详见图纸要求</w:t>
            </w:r>
            <w:r/>
          </w:p>
        </w:tc>
        <w:tc>
          <w:tcPr>
            <w:shd w:val="clear" w:color="auto" w:fill="auto"/>
            <w:tcW w:w="982"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lang w:val="en-US" w:eastAsia="zh-CN" w:bidi="ar"/>
              </w:rPr>
              <w:t xml:space="preserve">座</w:t>
            </w:r>
            <w:r/>
          </w:p>
        </w:tc>
        <w:tc>
          <w:tcPr>
            <w:shd w:val="clear" w:color="auto" w:fill="auto"/>
            <w:tcW w:w="971" w:type="dxa"/>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lang w:val="en-US" w:eastAsia="zh-CN" w:bidi="ar"/>
              </w:rPr>
              <w:t xml:space="preserve">1</w:t>
            </w:r>
            <w:r/>
          </w:p>
        </w:tc>
      </w:tr>
      <w:tr>
        <w:trPr>
          <w:trHeight w:val="665"/>
        </w:trPr>
        <w:tc>
          <w:tcPr>
            <w:shd w:val="clear" w:color="auto" w:fill="auto"/>
            <w:tcW w:w="749" w:type="dxa"/>
            <w:vAlign w:val="center"/>
            <w:textDirection w:val="lrTb"/>
            <w:noWrap w:val="false"/>
          </w:tcPr>
          <w:p>
            <w:pPr>
              <w:jc w:val="center"/>
              <w:keepLines w:val="0"/>
              <w:keepNext w:val="0"/>
              <w:widowControl/>
              <w:rPr>
                <w:rFonts w:hint="default" w:asciiTheme="minorEastAsia" w:hAnsiTheme="minorEastAsia" w:eastAsiaTheme="minorEastAsia" w:cstheme="minorEastAsia"/>
                <w:i w:val="0"/>
                <w:iCs w:val="0"/>
                <w:color w:val="000000"/>
                <w:sz w:val="20"/>
                <w:szCs w:val="20"/>
                <w:u w:val="none"/>
                <w:lang w:val="en-US"/>
              </w:rPr>
              <w:suppressLineNumbers w:val="0"/>
            </w:pPr>
            <w:r>
              <w:rPr>
                <w:rFonts w:hint="eastAsia" w:asciiTheme="minorEastAsia" w:hAnsiTheme="minorEastAsia" w:cstheme="minorEastAsia"/>
                <w:i w:val="0"/>
                <w:iCs w:val="0"/>
                <w:color w:val="000000"/>
                <w:sz w:val="20"/>
                <w:szCs w:val="20"/>
                <w:u w:val="none"/>
                <w:lang w:val="en-US" w:eastAsia="zh-CN" w:bidi="ar"/>
              </w:rPr>
              <w:t xml:space="preserve">74</w:t>
            </w:r>
            <w:r/>
          </w:p>
        </w:tc>
        <w:tc>
          <w:tcPr>
            <w:shd w:val="clear" w:color="auto" w:fill="auto"/>
            <w:tcW w:w="1344"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lang w:val="en-US" w:eastAsia="zh-CN" w:bidi="ar"/>
              </w:rPr>
              <w:t xml:space="preserve">校园文化展示牌一</w:t>
            </w:r>
            <w:r/>
          </w:p>
        </w:tc>
        <w:tc>
          <w:tcPr>
            <w:shd w:val="clear" w:color="auto" w:fill="auto"/>
            <w:tcW w:w="4751"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lang w:val="en-US" w:eastAsia="zh-CN" w:bidi="ar"/>
              </w:rPr>
              <w:t xml:space="preserve">1、材料种类、规格：2、5厚钢板，氟碳漆饰面</w:t>
            </w:r>
            <w:r>
              <w:rPr>
                <w:rFonts w:hint="eastAsia" w:asciiTheme="minorEastAsia" w:hAnsiTheme="minorEastAsia" w:eastAsiaTheme="minorEastAsia" w:cstheme="minorEastAsia"/>
                <w:i w:val="0"/>
                <w:iCs w:val="0"/>
                <w:color w:val="000000"/>
                <w:sz w:val="20"/>
                <w:szCs w:val="20"/>
                <w:u w:val="none"/>
                <w:lang w:val="en-US" w:eastAsia="zh-CN" w:bidi="ar"/>
              </w:rPr>
              <w:br/>
            </w:r>
            <w:r>
              <w:rPr>
                <w:rFonts w:hint="eastAsia" w:asciiTheme="minorEastAsia" w:hAnsiTheme="minorEastAsia" w:eastAsiaTheme="minorEastAsia" w:cstheme="minorEastAsia"/>
                <w:i w:val="0"/>
                <w:iCs w:val="0"/>
                <w:color w:val="000000"/>
                <w:sz w:val="20"/>
                <w:szCs w:val="20"/>
                <w:u w:val="none"/>
                <w:lang w:val="en-US" w:eastAsia="zh-CN" w:bidi="ar"/>
              </w:rPr>
              <w:t xml:space="preserve">2、尺寸、规格：9595长、1540高</w:t>
            </w:r>
            <w:r>
              <w:rPr>
                <w:rFonts w:hint="eastAsia" w:asciiTheme="minorEastAsia" w:hAnsiTheme="minorEastAsia" w:eastAsiaTheme="minorEastAsia" w:cstheme="minorEastAsia"/>
                <w:i w:val="0"/>
                <w:iCs w:val="0"/>
                <w:color w:val="000000"/>
                <w:sz w:val="20"/>
                <w:szCs w:val="20"/>
                <w:u w:val="none"/>
                <w:lang w:val="en-US" w:eastAsia="zh-CN" w:bidi="ar"/>
              </w:rPr>
              <w:br/>
            </w:r>
            <w:r>
              <w:rPr>
                <w:rFonts w:hint="eastAsia" w:asciiTheme="minorEastAsia" w:hAnsiTheme="minorEastAsia" w:eastAsiaTheme="minorEastAsia" w:cstheme="minorEastAsia"/>
                <w:i w:val="0"/>
                <w:iCs w:val="0"/>
                <w:color w:val="000000"/>
                <w:sz w:val="20"/>
                <w:szCs w:val="20"/>
                <w:u w:val="none"/>
                <w:lang w:val="en-US" w:eastAsia="zh-CN" w:bidi="ar"/>
              </w:rPr>
              <w:t xml:space="preserve">3、由专业厂家定制及安装</w:t>
            </w:r>
            <w:r>
              <w:rPr>
                <w:rFonts w:hint="eastAsia" w:asciiTheme="minorEastAsia" w:hAnsiTheme="minorEastAsia" w:eastAsiaTheme="minorEastAsia" w:cstheme="minorEastAsia"/>
                <w:i w:val="0"/>
                <w:iCs w:val="0"/>
                <w:color w:val="000000"/>
                <w:sz w:val="20"/>
                <w:szCs w:val="20"/>
                <w:u w:val="none"/>
                <w:lang w:val="en-US" w:eastAsia="zh-CN" w:bidi="ar"/>
              </w:rPr>
              <w:br/>
            </w:r>
            <w:r>
              <w:rPr>
                <w:rFonts w:hint="eastAsia" w:asciiTheme="minorEastAsia" w:hAnsiTheme="minorEastAsia" w:eastAsiaTheme="minorEastAsia" w:cstheme="minorEastAsia"/>
                <w:i w:val="0"/>
                <w:iCs w:val="0"/>
                <w:color w:val="000000"/>
                <w:sz w:val="20"/>
                <w:szCs w:val="20"/>
                <w:u w:val="none"/>
                <w:lang w:val="en-US" w:eastAsia="zh-CN" w:bidi="ar"/>
              </w:rPr>
              <w:t xml:space="preserve">4、其他详见图纸要求</w:t>
            </w:r>
            <w:r/>
          </w:p>
        </w:tc>
        <w:tc>
          <w:tcPr>
            <w:shd w:val="clear" w:color="auto" w:fill="auto"/>
            <w:tcW w:w="982"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lang w:val="en-US" w:eastAsia="zh-CN" w:bidi="ar"/>
              </w:rPr>
              <w:t xml:space="preserve">座</w:t>
            </w:r>
            <w:r/>
          </w:p>
        </w:tc>
        <w:tc>
          <w:tcPr>
            <w:shd w:val="clear" w:color="auto" w:fill="auto"/>
            <w:tcW w:w="971" w:type="dxa"/>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lang w:val="en-US" w:eastAsia="zh-CN" w:bidi="ar"/>
              </w:rPr>
              <w:t xml:space="preserve">1</w:t>
            </w:r>
            <w:r/>
          </w:p>
        </w:tc>
      </w:tr>
      <w:tr>
        <w:trPr>
          <w:trHeight w:val="665"/>
        </w:trPr>
        <w:tc>
          <w:tcPr>
            <w:shd w:val="clear" w:color="auto" w:fill="auto"/>
            <w:tcW w:w="749" w:type="dxa"/>
            <w:vAlign w:val="center"/>
            <w:textDirection w:val="lrTb"/>
            <w:noWrap w:val="false"/>
          </w:tcPr>
          <w:p>
            <w:pPr>
              <w:jc w:val="center"/>
              <w:keepLines w:val="0"/>
              <w:keepNext w:val="0"/>
              <w:widowControl/>
              <w:rPr>
                <w:rFonts w:hint="default" w:asciiTheme="minorEastAsia" w:hAnsiTheme="minorEastAsia" w:eastAsiaTheme="minorEastAsia" w:cstheme="minorEastAsia"/>
                <w:i w:val="0"/>
                <w:iCs w:val="0"/>
                <w:color w:val="000000"/>
                <w:sz w:val="20"/>
                <w:szCs w:val="20"/>
                <w:u w:val="none"/>
                <w:lang w:val="en-US"/>
              </w:rPr>
              <w:suppressLineNumbers w:val="0"/>
            </w:pPr>
            <w:r>
              <w:rPr>
                <w:rFonts w:hint="eastAsia" w:asciiTheme="minorEastAsia" w:hAnsiTheme="minorEastAsia" w:cstheme="minorEastAsia"/>
                <w:i w:val="0"/>
                <w:iCs w:val="0"/>
                <w:color w:val="000000"/>
                <w:sz w:val="20"/>
                <w:szCs w:val="20"/>
                <w:u w:val="none"/>
                <w:lang w:val="en-US" w:eastAsia="zh-CN" w:bidi="ar"/>
              </w:rPr>
              <w:t xml:space="preserve">75</w:t>
            </w:r>
            <w:r/>
          </w:p>
        </w:tc>
        <w:tc>
          <w:tcPr>
            <w:shd w:val="clear" w:color="auto" w:fill="auto"/>
            <w:tcW w:w="1344"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lang w:val="en-US" w:eastAsia="zh-CN" w:bidi="ar"/>
              </w:rPr>
              <w:t xml:space="preserve">校园文化展示牌二</w:t>
            </w:r>
            <w:r/>
          </w:p>
        </w:tc>
        <w:tc>
          <w:tcPr>
            <w:shd w:val="clear" w:color="auto" w:fill="auto"/>
            <w:tcW w:w="4751"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lang w:val="en-US" w:eastAsia="zh-CN" w:bidi="ar"/>
              </w:rPr>
              <w:t xml:space="preserve">1、材料种类、规格：2、5厚钢板，氟碳漆饰面</w:t>
            </w:r>
            <w:r>
              <w:rPr>
                <w:rFonts w:hint="eastAsia" w:asciiTheme="minorEastAsia" w:hAnsiTheme="minorEastAsia" w:eastAsiaTheme="minorEastAsia" w:cstheme="minorEastAsia"/>
                <w:i w:val="0"/>
                <w:iCs w:val="0"/>
                <w:color w:val="000000"/>
                <w:sz w:val="20"/>
                <w:szCs w:val="20"/>
                <w:u w:val="none"/>
                <w:lang w:val="en-US" w:eastAsia="zh-CN" w:bidi="ar"/>
              </w:rPr>
              <w:br/>
            </w:r>
            <w:r>
              <w:rPr>
                <w:rFonts w:hint="eastAsia" w:asciiTheme="minorEastAsia" w:hAnsiTheme="minorEastAsia" w:eastAsiaTheme="minorEastAsia" w:cstheme="minorEastAsia"/>
                <w:i w:val="0"/>
                <w:iCs w:val="0"/>
                <w:color w:val="000000"/>
                <w:sz w:val="20"/>
                <w:szCs w:val="20"/>
                <w:u w:val="none"/>
                <w:lang w:val="en-US" w:eastAsia="zh-CN" w:bidi="ar"/>
              </w:rPr>
              <w:t xml:space="preserve">2、尺寸、规格：10590长、1540高</w:t>
            </w:r>
            <w:r>
              <w:rPr>
                <w:rFonts w:hint="eastAsia" w:asciiTheme="minorEastAsia" w:hAnsiTheme="minorEastAsia" w:eastAsiaTheme="minorEastAsia" w:cstheme="minorEastAsia"/>
                <w:i w:val="0"/>
                <w:iCs w:val="0"/>
                <w:color w:val="000000"/>
                <w:sz w:val="20"/>
                <w:szCs w:val="20"/>
                <w:u w:val="none"/>
                <w:lang w:val="en-US" w:eastAsia="zh-CN" w:bidi="ar"/>
              </w:rPr>
              <w:br/>
            </w:r>
            <w:r>
              <w:rPr>
                <w:rFonts w:hint="eastAsia" w:asciiTheme="minorEastAsia" w:hAnsiTheme="minorEastAsia" w:eastAsiaTheme="minorEastAsia" w:cstheme="minorEastAsia"/>
                <w:i w:val="0"/>
                <w:iCs w:val="0"/>
                <w:color w:val="000000"/>
                <w:sz w:val="20"/>
                <w:szCs w:val="20"/>
                <w:u w:val="none"/>
                <w:lang w:val="en-US" w:eastAsia="zh-CN" w:bidi="ar"/>
              </w:rPr>
              <w:t xml:space="preserve">3、由专业厂家定制及安装</w:t>
            </w:r>
            <w:r>
              <w:rPr>
                <w:rFonts w:hint="eastAsia" w:asciiTheme="minorEastAsia" w:hAnsiTheme="minorEastAsia" w:eastAsiaTheme="minorEastAsia" w:cstheme="minorEastAsia"/>
                <w:i w:val="0"/>
                <w:iCs w:val="0"/>
                <w:color w:val="000000"/>
                <w:sz w:val="20"/>
                <w:szCs w:val="20"/>
                <w:u w:val="none"/>
                <w:lang w:val="en-US" w:eastAsia="zh-CN" w:bidi="ar"/>
              </w:rPr>
              <w:br/>
            </w:r>
            <w:r>
              <w:rPr>
                <w:rFonts w:hint="eastAsia" w:asciiTheme="minorEastAsia" w:hAnsiTheme="minorEastAsia" w:eastAsiaTheme="minorEastAsia" w:cstheme="minorEastAsia"/>
                <w:i w:val="0"/>
                <w:iCs w:val="0"/>
                <w:color w:val="000000"/>
                <w:sz w:val="20"/>
                <w:szCs w:val="20"/>
                <w:u w:val="none"/>
                <w:lang w:val="en-US" w:eastAsia="zh-CN" w:bidi="ar"/>
              </w:rPr>
              <w:t xml:space="preserve">4、其他详见图纸要求</w:t>
            </w:r>
            <w:r/>
          </w:p>
        </w:tc>
        <w:tc>
          <w:tcPr>
            <w:shd w:val="clear" w:color="auto" w:fill="auto"/>
            <w:tcW w:w="982"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lang w:val="en-US" w:eastAsia="zh-CN" w:bidi="ar"/>
              </w:rPr>
              <w:t xml:space="preserve">座</w:t>
            </w:r>
            <w:r/>
          </w:p>
        </w:tc>
        <w:tc>
          <w:tcPr>
            <w:shd w:val="clear" w:color="auto" w:fill="auto"/>
            <w:tcW w:w="971" w:type="dxa"/>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lang w:val="en-US" w:eastAsia="zh-CN" w:bidi="ar"/>
              </w:rPr>
              <w:t xml:space="preserve">1</w:t>
            </w:r>
            <w:r/>
          </w:p>
        </w:tc>
      </w:tr>
      <w:tr>
        <w:trPr>
          <w:trHeight w:val="665"/>
        </w:trPr>
        <w:tc>
          <w:tcPr>
            <w:shd w:val="clear" w:color="auto" w:fill="auto"/>
            <w:tcW w:w="749" w:type="dxa"/>
            <w:vAlign w:val="center"/>
            <w:textDirection w:val="lrTb"/>
            <w:noWrap w:val="false"/>
          </w:tcPr>
          <w:p>
            <w:pPr>
              <w:jc w:val="center"/>
              <w:keepLines w:val="0"/>
              <w:keepNext w:val="0"/>
              <w:widowControl/>
              <w:rPr>
                <w:rFonts w:hint="default" w:asciiTheme="minorEastAsia" w:hAnsiTheme="minorEastAsia" w:eastAsiaTheme="minorEastAsia" w:cstheme="minorEastAsia"/>
                <w:i w:val="0"/>
                <w:iCs w:val="0"/>
                <w:color w:val="000000"/>
                <w:sz w:val="20"/>
                <w:szCs w:val="20"/>
                <w:u w:val="none"/>
                <w:lang w:val="en-US"/>
              </w:rPr>
              <w:suppressLineNumbers w:val="0"/>
            </w:pPr>
            <w:r>
              <w:rPr>
                <w:rFonts w:hint="eastAsia" w:asciiTheme="minorEastAsia" w:hAnsiTheme="minorEastAsia" w:cstheme="minorEastAsia"/>
                <w:i w:val="0"/>
                <w:iCs w:val="0"/>
                <w:color w:val="000000"/>
                <w:sz w:val="20"/>
                <w:szCs w:val="20"/>
                <w:u w:val="none"/>
                <w:lang w:val="en-US" w:eastAsia="zh-CN" w:bidi="ar"/>
              </w:rPr>
              <w:t xml:space="preserve">76</w:t>
            </w:r>
            <w:r/>
          </w:p>
        </w:tc>
        <w:tc>
          <w:tcPr>
            <w:shd w:val="clear" w:color="auto" w:fill="auto"/>
            <w:tcW w:w="1344"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lang w:val="en-US" w:eastAsia="zh-CN" w:bidi="ar"/>
              </w:rPr>
              <w:t xml:space="preserve">校园文化展示牌三</w:t>
            </w:r>
            <w:r/>
          </w:p>
        </w:tc>
        <w:tc>
          <w:tcPr>
            <w:shd w:val="clear" w:color="auto" w:fill="auto"/>
            <w:tcW w:w="4751"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lang w:val="en-US" w:eastAsia="zh-CN" w:bidi="ar"/>
              </w:rPr>
              <w:t xml:space="preserve">1、材料种类、规格：2、5厚钢板，氟碳漆饰面</w:t>
            </w:r>
            <w:r>
              <w:rPr>
                <w:rFonts w:hint="eastAsia" w:asciiTheme="minorEastAsia" w:hAnsiTheme="minorEastAsia" w:eastAsiaTheme="minorEastAsia" w:cstheme="minorEastAsia"/>
                <w:i w:val="0"/>
                <w:iCs w:val="0"/>
                <w:color w:val="000000"/>
                <w:sz w:val="20"/>
                <w:szCs w:val="20"/>
                <w:u w:val="none"/>
                <w:lang w:val="en-US" w:eastAsia="zh-CN" w:bidi="ar"/>
              </w:rPr>
              <w:br/>
            </w:r>
            <w:r>
              <w:rPr>
                <w:rFonts w:hint="eastAsia" w:asciiTheme="minorEastAsia" w:hAnsiTheme="minorEastAsia" w:eastAsiaTheme="minorEastAsia" w:cstheme="minorEastAsia"/>
                <w:i w:val="0"/>
                <w:iCs w:val="0"/>
                <w:color w:val="000000"/>
                <w:sz w:val="20"/>
                <w:szCs w:val="20"/>
                <w:u w:val="none"/>
                <w:lang w:val="en-US" w:eastAsia="zh-CN" w:bidi="ar"/>
              </w:rPr>
              <w:t xml:space="preserve">2、尺寸、规格：9090长、1540高</w:t>
            </w:r>
            <w:r>
              <w:rPr>
                <w:rFonts w:hint="eastAsia" w:asciiTheme="minorEastAsia" w:hAnsiTheme="minorEastAsia" w:eastAsiaTheme="minorEastAsia" w:cstheme="minorEastAsia"/>
                <w:i w:val="0"/>
                <w:iCs w:val="0"/>
                <w:color w:val="000000"/>
                <w:sz w:val="20"/>
                <w:szCs w:val="20"/>
                <w:u w:val="none"/>
                <w:lang w:val="en-US" w:eastAsia="zh-CN" w:bidi="ar"/>
              </w:rPr>
              <w:br/>
            </w:r>
            <w:r>
              <w:rPr>
                <w:rFonts w:hint="eastAsia" w:asciiTheme="minorEastAsia" w:hAnsiTheme="minorEastAsia" w:eastAsiaTheme="minorEastAsia" w:cstheme="minorEastAsia"/>
                <w:i w:val="0"/>
                <w:iCs w:val="0"/>
                <w:color w:val="000000"/>
                <w:sz w:val="20"/>
                <w:szCs w:val="20"/>
                <w:u w:val="none"/>
                <w:lang w:val="en-US" w:eastAsia="zh-CN" w:bidi="ar"/>
              </w:rPr>
              <w:t xml:space="preserve">3、由专业厂家定制及安装</w:t>
            </w:r>
            <w:r>
              <w:rPr>
                <w:rFonts w:hint="eastAsia" w:asciiTheme="minorEastAsia" w:hAnsiTheme="minorEastAsia" w:eastAsiaTheme="minorEastAsia" w:cstheme="minorEastAsia"/>
                <w:i w:val="0"/>
                <w:iCs w:val="0"/>
                <w:color w:val="000000"/>
                <w:sz w:val="20"/>
                <w:szCs w:val="20"/>
                <w:u w:val="none"/>
                <w:lang w:val="en-US" w:eastAsia="zh-CN" w:bidi="ar"/>
              </w:rPr>
              <w:br/>
            </w:r>
            <w:r>
              <w:rPr>
                <w:rFonts w:hint="eastAsia" w:asciiTheme="minorEastAsia" w:hAnsiTheme="minorEastAsia" w:eastAsiaTheme="minorEastAsia" w:cstheme="minorEastAsia"/>
                <w:i w:val="0"/>
                <w:iCs w:val="0"/>
                <w:color w:val="000000"/>
                <w:sz w:val="20"/>
                <w:szCs w:val="20"/>
                <w:u w:val="none"/>
                <w:lang w:val="en-US" w:eastAsia="zh-CN" w:bidi="ar"/>
              </w:rPr>
              <w:t xml:space="preserve">4、其他详见图纸要求</w:t>
            </w:r>
            <w:r/>
          </w:p>
        </w:tc>
        <w:tc>
          <w:tcPr>
            <w:shd w:val="clear" w:color="auto" w:fill="auto"/>
            <w:tcW w:w="982"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lang w:val="en-US" w:eastAsia="zh-CN" w:bidi="ar"/>
              </w:rPr>
              <w:t xml:space="preserve">座</w:t>
            </w:r>
            <w:r/>
          </w:p>
        </w:tc>
        <w:tc>
          <w:tcPr>
            <w:shd w:val="clear" w:color="auto" w:fill="auto"/>
            <w:tcW w:w="971" w:type="dxa"/>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lang w:val="en-US" w:eastAsia="zh-CN" w:bidi="ar"/>
              </w:rPr>
              <w:t xml:space="preserve">1</w:t>
            </w:r>
            <w:r/>
          </w:p>
        </w:tc>
      </w:tr>
      <w:tr>
        <w:trPr>
          <w:trHeight w:val="665"/>
        </w:trPr>
        <w:tc>
          <w:tcPr>
            <w:shd w:val="clear" w:color="auto" w:fill="auto"/>
            <w:tcW w:w="749" w:type="dxa"/>
            <w:vAlign w:val="center"/>
            <w:textDirection w:val="lrTb"/>
            <w:noWrap w:val="false"/>
          </w:tcPr>
          <w:p>
            <w:pPr>
              <w:jc w:val="center"/>
              <w:keepLines w:val="0"/>
              <w:keepNext w:val="0"/>
              <w:widowControl/>
              <w:rPr>
                <w:rFonts w:hint="default" w:asciiTheme="minorEastAsia" w:hAnsiTheme="minorEastAsia" w:eastAsiaTheme="minorEastAsia" w:cstheme="minorEastAsia"/>
                <w:i w:val="0"/>
                <w:iCs w:val="0"/>
                <w:color w:val="000000"/>
                <w:sz w:val="20"/>
                <w:szCs w:val="20"/>
                <w:u w:val="none"/>
                <w:lang w:val="en-US"/>
              </w:rPr>
              <w:suppressLineNumbers w:val="0"/>
            </w:pPr>
            <w:r>
              <w:rPr>
                <w:rFonts w:hint="eastAsia" w:asciiTheme="minorEastAsia" w:hAnsiTheme="minorEastAsia" w:cstheme="minorEastAsia"/>
                <w:i w:val="0"/>
                <w:iCs w:val="0"/>
                <w:color w:val="000000"/>
                <w:sz w:val="20"/>
                <w:szCs w:val="20"/>
                <w:u w:val="none"/>
                <w:lang w:val="en-US" w:eastAsia="zh-CN" w:bidi="ar"/>
              </w:rPr>
              <w:t xml:space="preserve">78</w:t>
            </w:r>
            <w:r/>
          </w:p>
        </w:tc>
        <w:tc>
          <w:tcPr>
            <w:shd w:val="clear" w:color="auto" w:fill="auto"/>
            <w:tcW w:w="1344"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lang w:val="en-US" w:eastAsia="zh-CN" w:bidi="ar"/>
              </w:rPr>
              <w:t xml:space="preserve">校园文化展示牌四</w:t>
            </w:r>
            <w:r/>
          </w:p>
        </w:tc>
        <w:tc>
          <w:tcPr>
            <w:shd w:val="clear" w:color="auto" w:fill="auto"/>
            <w:tcW w:w="4751"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lang w:val="en-US" w:eastAsia="zh-CN" w:bidi="ar"/>
              </w:rPr>
              <w:t xml:space="preserve">1、材料种类、规格：2、5厚钢板，氟碳漆饰面</w:t>
            </w:r>
            <w:r>
              <w:rPr>
                <w:rFonts w:hint="eastAsia" w:asciiTheme="minorEastAsia" w:hAnsiTheme="minorEastAsia" w:eastAsiaTheme="minorEastAsia" w:cstheme="minorEastAsia"/>
                <w:i w:val="0"/>
                <w:iCs w:val="0"/>
                <w:color w:val="000000"/>
                <w:sz w:val="20"/>
                <w:szCs w:val="20"/>
                <w:u w:val="none"/>
                <w:lang w:val="en-US" w:eastAsia="zh-CN" w:bidi="ar"/>
              </w:rPr>
              <w:br/>
            </w:r>
            <w:r>
              <w:rPr>
                <w:rFonts w:hint="eastAsia" w:asciiTheme="minorEastAsia" w:hAnsiTheme="minorEastAsia" w:eastAsiaTheme="minorEastAsia" w:cstheme="minorEastAsia"/>
                <w:i w:val="0"/>
                <w:iCs w:val="0"/>
                <w:color w:val="000000"/>
                <w:sz w:val="20"/>
                <w:szCs w:val="20"/>
                <w:u w:val="none"/>
                <w:lang w:val="en-US" w:eastAsia="zh-CN" w:bidi="ar"/>
              </w:rPr>
              <w:t xml:space="preserve">2、尺寸、规格：9090长、1540高</w:t>
            </w:r>
            <w:r>
              <w:rPr>
                <w:rFonts w:hint="eastAsia" w:asciiTheme="minorEastAsia" w:hAnsiTheme="minorEastAsia" w:eastAsiaTheme="minorEastAsia" w:cstheme="minorEastAsia"/>
                <w:i w:val="0"/>
                <w:iCs w:val="0"/>
                <w:color w:val="000000"/>
                <w:sz w:val="20"/>
                <w:szCs w:val="20"/>
                <w:u w:val="none"/>
                <w:lang w:val="en-US" w:eastAsia="zh-CN" w:bidi="ar"/>
              </w:rPr>
              <w:br/>
            </w:r>
            <w:r>
              <w:rPr>
                <w:rFonts w:hint="eastAsia" w:asciiTheme="minorEastAsia" w:hAnsiTheme="minorEastAsia" w:eastAsiaTheme="minorEastAsia" w:cstheme="minorEastAsia"/>
                <w:i w:val="0"/>
                <w:iCs w:val="0"/>
                <w:color w:val="000000"/>
                <w:sz w:val="20"/>
                <w:szCs w:val="20"/>
                <w:u w:val="none"/>
                <w:lang w:val="en-US" w:eastAsia="zh-CN" w:bidi="ar"/>
              </w:rPr>
              <w:t xml:space="preserve">3、由专业厂家定制及安装</w:t>
            </w:r>
            <w:r>
              <w:rPr>
                <w:rFonts w:hint="eastAsia" w:asciiTheme="minorEastAsia" w:hAnsiTheme="minorEastAsia" w:eastAsiaTheme="minorEastAsia" w:cstheme="minorEastAsia"/>
                <w:i w:val="0"/>
                <w:iCs w:val="0"/>
                <w:color w:val="000000"/>
                <w:sz w:val="20"/>
                <w:szCs w:val="20"/>
                <w:u w:val="none"/>
                <w:lang w:val="en-US" w:eastAsia="zh-CN" w:bidi="ar"/>
              </w:rPr>
              <w:br/>
            </w:r>
            <w:r>
              <w:rPr>
                <w:rFonts w:hint="eastAsia" w:asciiTheme="minorEastAsia" w:hAnsiTheme="minorEastAsia" w:eastAsiaTheme="minorEastAsia" w:cstheme="minorEastAsia"/>
                <w:i w:val="0"/>
                <w:iCs w:val="0"/>
                <w:color w:val="000000"/>
                <w:sz w:val="20"/>
                <w:szCs w:val="20"/>
                <w:u w:val="none"/>
                <w:lang w:val="en-US" w:eastAsia="zh-CN" w:bidi="ar"/>
              </w:rPr>
              <w:t xml:space="preserve">4、其他详见图纸要求</w:t>
            </w:r>
            <w:r/>
          </w:p>
        </w:tc>
        <w:tc>
          <w:tcPr>
            <w:shd w:val="clear" w:color="auto" w:fill="auto"/>
            <w:tcW w:w="982"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lang w:val="en-US" w:eastAsia="zh-CN" w:bidi="ar"/>
              </w:rPr>
              <w:t xml:space="preserve">座</w:t>
            </w:r>
            <w:r/>
          </w:p>
        </w:tc>
        <w:tc>
          <w:tcPr>
            <w:shd w:val="clear" w:color="auto" w:fill="auto"/>
            <w:tcW w:w="971" w:type="dxa"/>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lang w:val="en-US" w:eastAsia="zh-CN" w:bidi="ar"/>
              </w:rPr>
              <w:t xml:space="preserve">1</w:t>
            </w:r>
            <w:r/>
          </w:p>
        </w:tc>
      </w:tr>
      <w:tr>
        <w:trPr>
          <w:trHeight w:val="665"/>
        </w:trPr>
        <w:tc>
          <w:tcPr>
            <w:shd w:val="clear" w:color="auto" w:fill="auto"/>
            <w:tcW w:w="749" w:type="dxa"/>
            <w:vAlign w:val="center"/>
            <w:textDirection w:val="lrTb"/>
            <w:noWrap w:val="false"/>
          </w:tcPr>
          <w:p>
            <w:pPr>
              <w:jc w:val="center"/>
              <w:keepLines w:val="0"/>
              <w:keepNext w:val="0"/>
              <w:widowControl/>
              <w:rPr>
                <w:rFonts w:hint="default" w:asciiTheme="minorEastAsia" w:hAnsiTheme="minorEastAsia" w:eastAsiaTheme="minorEastAsia" w:cstheme="minorEastAsia"/>
                <w:i w:val="0"/>
                <w:iCs w:val="0"/>
                <w:color w:val="000000"/>
                <w:sz w:val="20"/>
                <w:szCs w:val="20"/>
                <w:u w:val="none"/>
                <w:lang w:val="en-US"/>
              </w:rPr>
              <w:suppressLineNumbers w:val="0"/>
            </w:pPr>
            <w:r>
              <w:rPr>
                <w:rFonts w:hint="eastAsia" w:asciiTheme="minorEastAsia" w:hAnsiTheme="minorEastAsia" w:cstheme="minorEastAsia"/>
                <w:i w:val="0"/>
                <w:iCs w:val="0"/>
                <w:color w:val="000000"/>
                <w:sz w:val="20"/>
                <w:szCs w:val="20"/>
                <w:u w:val="none"/>
                <w:lang w:val="en-US" w:eastAsia="zh-CN" w:bidi="ar"/>
              </w:rPr>
              <w:t xml:space="preserve">79</w:t>
            </w:r>
            <w:r/>
          </w:p>
        </w:tc>
        <w:tc>
          <w:tcPr>
            <w:shd w:val="clear" w:color="auto" w:fill="auto"/>
            <w:tcW w:w="1344"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lang w:val="en-US" w:eastAsia="zh-CN" w:bidi="ar"/>
              </w:rPr>
              <w:t xml:space="preserve">校园文化展示牌五</w:t>
            </w:r>
            <w:r/>
          </w:p>
        </w:tc>
        <w:tc>
          <w:tcPr>
            <w:shd w:val="clear" w:color="auto" w:fill="auto"/>
            <w:tcW w:w="4751"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lang w:val="en-US" w:eastAsia="zh-CN" w:bidi="ar"/>
              </w:rPr>
              <w:t xml:space="preserve">1、材料种类、规格：2、5厚钢板，氟碳漆饰面</w:t>
            </w:r>
            <w:r>
              <w:rPr>
                <w:rFonts w:hint="eastAsia" w:asciiTheme="minorEastAsia" w:hAnsiTheme="minorEastAsia" w:eastAsiaTheme="minorEastAsia" w:cstheme="minorEastAsia"/>
                <w:i w:val="0"/>
                <w:iCs w:val="0"/>
                <w:color w:val="000000"/>
                <w:sz w:val="20"/>
                <w:szCs w:val="20"/>
                <w:u w:val="none"/>
                <w:lang w:val="en-US" w:eastAsia="zh-CN" w:bidi="ar"/>
              </w:rPr>
              <w:br/>
            </w:r>
            <w:r>
              <w:rPr>
                <w:rFonts w:hint="eastAsia" w:asciiTheme="minorEastAsia" w:hAnsiTheme="minorEastAsia" w:eastAsiaTheme="minorEastAsia" w:cstheme="minorEastAsia"/>
                <w:i w:val="0"/>
                <w:iCs w:val="0"/>
                <w:color w:val="000000"/>
                <w:sz w:val="20"/>
                <w:szCs w:val="20"/>
                <w:u w:val="none"/>
                <w:lang w:val="en-US" w:eastAsia="zh-CN" w:bidi="ar"/>
              </w:rPr>
              <w:t xml:space="preserve">2、尺寸、规格：10590长、1540高</w:t>
            </w:r>
            <w:r>
              <w:rPr>
                <w:rFonts w:hint="eastAsia" w:asciiTheme="minorEastAsia" w:hAnsiTheme="minorEastAsia" w:eastAsiaTheme="minorEastAsia" w:cstheme="minorEastAsia"/>
                <w:i w:val="0"/>
                <w:iCs w:val="0"/>
                <w:color w:val="000000"/>
                <w:sz w:val="20"/>
                <w:szCs w:val="20"/>
                <w:u w:val="none"/>
                <w:lang w:val="en-US" w:eastAsia="zh-CN" w:bidi="ar"/>
              </w:rPr>
              <w:br/>
            </w:r>
            <w:r>
              <w:rPr>
                <w:rFonts w:hint="eastAsia" w:asciiTheme="minorEastAsia" w:hAnsiTheme="minorEastAsia" w:eastAsiaTheme="minorEastAsia" w:cstheme="minorEastAsia"/>
                <w:i w:val="0"/>
                <w:iCs w:val="0"/>
                <w:color w:val="000000"/>
                <w:sz w:val="20"/>
                <w:szCs w:val="20"/>
                <w:u w:val="none"/>
                <w:lang w:val="en-US" w:eastAsia="zh-CN" w:bidi="ar"/>
              </w:rPr>
              <w:t xml:space="preserve">3、由专业厂家定制及安装</w:t>
            </w:r>
            <w:r>
              <w:rPr>
                <w:rFonts w:hint="eastAsia" w:asciiTheme="minorEastAsia" w:hAnsiTheme="minorEastAsia" w:eastAsiaTheme="minorEastAsia" w:cstheme="minorEastAsia"/>
                <w:i w:val="0"/>
                <w:iCs w:val="0"/>
                <w:color w:val="000000"/>
                <w:sz w:val="20"/>
                <w:szCs w:val="20"/>
                <w:u w:val="none"/>
                <w:lang w:val="en-US" w:eastAsia="zh-CN" w:bidi="ar"/>
              </w:rPr>
              <w:br/>
            </w:r>
            <w:r>
              <w:rPr>
                <w:rFonts w:hint="eastAsia" w:asciiTheme="minorEastAsia" w:hAnsiTheme="minorEastAsia" w:eastAsiaTheme="minorEastAsia" w:cstheme="minorEastAsia"/>
                <w:i w:val="0"/>
                <w:iCs w:val="0"/>
                <w:color w:val="000000"/>
                <w:sz w:val="20"/>
                <w:szCs w:val="20"/>
                <w:u w:val="none"/>
                <w:lang w:val="en-US" w:eastAsia="zh-CN" w:bidi="ar"/>
              </w:rPr>
              <w:t xml:space="preserve">4、其他详见图纸要求</w:t>
            </w:r>
            <w:r/>
          </w:p>
        </w:tc>
        <w:tc>
          <w:tcPr>
            <w:shd w:val="clear" w:color="auto" w:fill="auto"/>
            <w:tcW w:w="982"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lang w:val="en-US" w:eastAsia="zh-CN" w:bidi="ar"/>
              </w:rPr>
              <w:t xml:space="preserve">座</w:t>
            </w:r>
            <w:r/>
          </w:p>
        </w:tc>
        <w:tc>
          <w:tcPr>
            <w:shd w:val="clear" w:color="auto" w:fill="auto"/>
            <w:tcW w:w="971" w:type="dxa"/>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lang w:val="en-US" w:eastAsia="zh-CN" w:bidi="ar"/>
              </w:rPr>
              <w:t xml:space="preserve">1</w:t>
            </w:r>
            <w:r/>
          </w:p>
        </w:tc>
      </w:tr>
      <w:tr>
        <w:trPr>
          <w:trHeight w:val="665"/>
        </w:trPr>
        <w:tc>
          <w:tcPr>
            <w:shd w:val="clear" w:color="auto" w:fill="auto"/>
            <w:tcW w:w="749" w:type="dxa"/>
            <w:vAlign w:val="center"/>
            <w:textDirection w:val="lrTb"/>
            <w:noWrap w:val="false"/>
          </w:tcPr>
          <w:p>
            <w:pPr>
              <w:jc w:val="center"/>
              <w:keepLines w:val="0"/>
              <w:keepNext w:val="0"/>
              <w:widowControl/>
              <w:rPr>
                <w:rFonts w:hint="default" w:asciiTheme="minorEastAsia" w:hAnsiTheme="minorEastAsia" w:eastAsiaTheme="minorEastAsia" w:cstheme="minorEastAsia"/>
                <w:i w:val="0"/>
                <w:iCs w:val="0"/>
                <w:color w:val="000000"/>
                <w:sz w:val="20"/>
                <w:szCs w:val="20"/>
                <w:u w:val="none"/>
                <w:lang w:val="en-US"/>
              </w:rPr>
              <w:suppressLineNumbers w:val="0"/>
            </w:pPr>
            <w:r>
              <w:rPr>
                <w:rFonts w:hint="eastAsia" w:asciiTheme="minorEastAsia" w:hAnsiTheme="minorEastAsia" w:cstheme="minorEastAsia"/>
                <w:i w:val="0"/>
                <w:iCs w:val="0"/>
                <w:color w:val="000000"/>
                <w:sz w:val="20"/>
                <w:szCs w:val="20"/>
                <w:u w:val="none"/>
                <w:lang w:val="en-US" w:eastAsia="zh-CN" w:bidi="ar"/>
              </w:rPr>
              <w:t xml:space="preserve">80</w:t>
            </w:r>
            <w:r/>
          </w:p>
        </w:tc>
        <w:tc>
          <w:tcPr>
            <w:shd w:val="clear" w:color="auto" w:fill="auto"/>
            <w:tcW w:w="1344"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lang w:val="en-US" w:eastAsia="zh-CN" w:bidi="ar"/>
              </w:rPr>
              <w:t xml:space="preserve">校园文化展示牌六</w:t>
            </w:r>
            <w:r/>
          </w:p>
        </w:tc>
        <w:tc>
          <w:tcPr>
            <w:shd w:val="clear" w:color="auto" w:fill="auto"/>
            <w:tcW w:w="4751"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lang w:val="en-US" w:eastAsia="zh-CN" w:bidi="ar"/>
              </w:rPr>
              <w:t xml:space="preserve">1、材料种类、规格：2、5厚钢板，氟碳漆饰面</w:t>
            </w:r>
            <w:r>
              <w:rPr>
                <w:rFonts w:hint="eastAsia" w:asciiTheme="minorEastAsia" w:hAnsiTheme="minorEastAsia" w:eastAsiaTheme="minorEastAsia" w:cstheme="minorEastAsia"/>
                <w:i w:val="0"/>
                <w:iCs w:val="0"/>
                <w:color w:val="000000"/>
                <w:sz w:val="20"/>
                <w:szCs w:val="20"/>
                <w:u w:val="none"/>
                <w:lang w:val="en-US" w:eastAsia="zh-CN" w:bidi="ar"/>
              </w:rPr>
              <w:br/>
            </w:r>
            <w:r>
              <w:rPr>
                <w:rFonts w:hint="eastAsia" w:asciiTheme="minorEastAsia" w:hAnsiTheme="minorEastAsia" w:eastAsiaTheme="minorEastAsia" w:cstheme="minorEastAsia"/>
                <w:i w:val="0"/>
                <w:iCs w:val="0"/>
                <w:color w:val="000000"/>
                <w:sz w:val="20"/>
                <w:szCs w:val="20"/>
                <w:u w:val="none"/>
                <w:lang w:val="en-US" w:eastAsia="zh-CN" w:bidi="ar"/>
              </w:rPr>
              <w:t xml:space="preserve">2、尺寸、规格：9595长、1540高</w:t>
            </w:r>
            <w:r>
              <w:rPr>
                <w:rFonts w:hint="eastAsia" w:asciiTheme="minorEastAsia" w:hAnsiTheme="minorEastAsia" w:eastAsiaTheme="minorEastAsia" w:cstheme="minorEastAsia"/>
                <w:i w:val="0"/>
                <w:iCs w:val="0"/>
                <w:color w:val="000000"/>
                <w:sz w:val="20"/>
                <w:szCs w:val="20"/>
                <w:u w:val="none"/>
                <w:lang w:val="en-US" w:eastAsia="zh-CN" w:bidi="ar"/>
              </w:rPr>
              <w:br/>
            </w:r>
            <w:r>
              <w:rPr>
                <w:rFonts w:hint="eastAsia" w:asciiTheme="minorEastAsia" w:hAnsiTheme="minorEastAsia" w:eastAsiaTheme="minorEastAsia" w:cstheme="minorEastAsia"/>
                <w:i w:val="0"/>
                <w:iCs w:val="0"/>
                <w:color w:val="000000"/>
                <w:sz w:val="20"/>
                <w:szCs w:val="20"/>
                <w:u w:val="none"/>
                <w:lang w:val="en-US" w:eastAsia="zh-CN" w:bidi="ar"/>
              </w:rPr>
              <w:t xml:space="preserve">3、由专业厂家定制及安装</w:t>
            </w:r>
            <w:r>
              <w:rPr>
                <w:rFonts w:hint="eastAsia" w:asciiTheme="minorEastAsia" w:hAnsiTheme="minorEastAsia" w:eastAsiaTheme="minorEastAsia" w:cstheme="minorEastAsia"/>
                <w:i w:val="0"/>
                <w:iCs w:val="0"/>
                <w:color w:val="000000"/>
                <w:sz w:val="20"/>
                <w:szCs w:val="20"/>
                <w:u w:val="none"/>
                <w:lang w:val="en-US" w:eastAsia="zh-CN" w:bidi="ar"/>
              </w:rPr>
              <w:br/>
            </w:r>
            <w:r>
              <w:rPr>
                <w:rFonts w:hint="eastAsia" w:asciiTheme="minorEastAsia" w:hAnsiTheme="minorEastAsia" w:eastAsiaTheme="minorEastAsia" w:cstheme="minorEastAsia"/>
                <w:i w:val="0"/>
                <w:iCs w:val="0"/>
                <w:color w:val="000000"/>
                <w:sz w:val="20"/>
                <w:szCs w:val="20"/>
                <w:u w:val="none"/>
                <w:lang w:val="en-US" w:eastAsia="zh-CN" w:bidi="ar"/>
              </w:rPr>
              <w:t xml:space="preserve">4、其他详见图纸要求</w:t>
            </w:r>
            <w:r/>
          </w:p>
        </w:tc>
        <w:tc>
          <w:tcPr>
            <w:shd w:val="clear" w:color="auto" w:fill="auto"/>
            <w:tcW w:w="982"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lang w:val="en-US" w:eastAsia="zh-CN" w:bidi="ar"/>
              </w:rPr>
              <w:t xml:space="preserve">座</w:t>
            </w:r>
            <w:r/>
          </w:p>
        </w:tc>
        <w:tc>
          <w:tcPr>
            <w:shd w:val="clear" w:color="auto" w:fill="auto"/>
            <w:tcW w:w="971" w:type="dxa"/>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lang w:val="en-US" w:eastAsia="zh-CN" w:bidi="ar"/>
              </w:rPr>
              <w:t xml:space="preserve">1</w:t>
            </w:r>
            <w:r/>
          </w:p>
        </w:tc>
      </w:tr>
      <w:tr>
        <w:trPr>
          <w:trHeight w:val="500"/>
        </w:trPr>
        <w:tc>
          <w:tcPr>
            <w:shd w:val="clear" w:color="auto" w:fill="auto"/>
            <w:tcW w:w="749" w:type="dxa"/>
            <w:vAlign w:val="center"/>
            <w:textDirection w:val="lrTb"/>
            <w:noWrap w:val="false"/>
          </w:tcPr>
          <w:p>
            <w:pPr>
              <w:jc w:val="center"/>
              <w:keepLines w:val="0"/>
              <w:keepNext w:val="0"/>
              <w:widowControl/>
              <w:rPr>
                <w:rFonts w:hint="default" w:asciiTheme="minorEastAsia" w:hAnsiTheme="minorEastAsia" w:eastAsiaTheme="minorEastAsia" w:cstheme="minorEastAsia"/>
                <w:i w:val="0"/>
                <w:iCs w:val="0"/>
                <w:color w:val="000000"/>
                <w:sz w:val="20"/>
                <w:szCs w:val="20"/>
                <w:u w:val="none"/>
                <w:lang w:val="en-US"/>
              </w:rPr>
              <w:suppressLineNumbers w:val="0"/>
            </w:pPr>
            <w:r>
              <w:rPr>
                <w:rFonts w:hint="eastAsia" w:asciiTheme="minorEastAsia" w:hAnsiTheme="minorEastAsia" w:cstheme="minorEastAsia"/>
                <w:i w:val="0"/>
                <w:iCs w:val="0"/>
                <w:color w:val="000000"/>
                <w:sz w:val="20"/>
                <w:szCs w:val="20"/>
                <w:u w:val="none"/>
                <w:lang w:val="en-US" w:eastAsia="zh-CN" w:bidi="ar"/>
              </w:rPr>
              <w:t xml:space="preserve">81</w:t>
            </w:r>
            <w:r/>
          </w:p>
        </w:tc>
        <w:tc>
          <w:tcPr>
            <w:shd w:val="clear" w:color="auto" w:fill="auto"/>
            <w:tcW w:w="1344"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lang w:val="en-US" w:eastAsia="zh-CN" w:bidi="ar"/>
              </w:rPr>
              <w:t xml:space="preserve">艺术中心彩绘雕塑</w:t>
            </w:r>
            <w:r/>
          </w:p>
        </w:tc>
        <w:tc>
          <w:tcPr>
            <w:shd w:val="clear" w:color="auto" w:fill="auto"/>
            <w:tcW w:w="4751"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lang w:val="en-US" w:eastAsia="zh-CN" w:bidi="ar"/>
              </w:rPr>
              <w:t xml:space="preserve">1、2厚镀锌板，烤漆饰面，5厚钛合金字</w:t>
            </w:r>
            <w:r>
              <w:rPr>
                <w:rFonts w:hint="eastAsia" w:asciiTheme="minorEastAsia" w:hAnsiTheme="minorEastAsia" w:eastAsiaTheme="minorEastAsia" w:cstheme="minorEastAsia"/>
                <w:i w:val="0"/>
                <w:iCs w:val="0"/>
                <w:color w:val="000000"/>
                <w:sz w:val="20"/>
                <w:szCs w:val="20"/>
                <w:u w:val="none"/>
                <w:lang w:val="en-US" w:eastAsia="zh-CN" w:bidi="ar"/>
              </w:rPr>
              <w:br/>
            </w:r>
            <w:r>
              <w:rPr>
                <w:rFonts w:hint="eastAsia" w:asciiTheme="minorEastAsia" w:hAnsiTheme="minorEastAsia" w:eastAsiaTheme="minorEastAsia" w:cstheme="minorEastAsia"/>
                <w:i w:val="0"/>
                <w:iCs w:val="0"/>
                <w:color w:val="000000"/>
                <w:sz w:val="20"/>
                <w:szCs w:val="20"/>
                <w:u w:val="none"/>
                <w:lang w:val="en-US" w:eastAsia="zh-CN" w:bidi="ar"/>
              </w:rPr>
              <w:t xml:space="preserve">2、由专业厂家二次专业设计</w:t>
            </w:r>
            <w:r>
              <w:rPr>
                <w:rFonts w:hint="eastAsia" w:asciiTheme="minorEastAsia" w:hAnsiTheme="minorEastAsia" w:eastAsiaTheme="minorEastAsia" w:cstheme="minorEastAsia"/>
                <w:i w:val="0"/>
                <w:iCs w:val="0"/>
                <w:color w:val="000000"/>
                <w:sz w:val="20"/>
                <w:szCs w:val="20"/>
                <w:u w:val="none"/>
                <w:lang w:val="en-US" w:eastAsia="zh-CN" w:bidi="ar"/>
              </w:rPr>
              <w:br/>
            </w:r>
            <w:r>
              <w:rPr>
                <w:rFonts w:hint="eastAsia" w:asciiTheme="minorEastAsia" w:hAnsiTheme="minorEastAsia" w:eastAsiaTheme="minorEastAsia" w:cstheme="minorEastAsia"/>
                <w:i w:val="0"/>
                <w:iCs w:val="0"/>
                <w:color w:val="000000"/>
                <w:sz w:val="20"/>
                <w:szCs w:val="20"/>
                <w:u w:val="none"/>
                <w:lang w:val="en-US" w:eastAsia="zh-CN" w:bidi="ar"/>
              </w:rPr>
              <w:t xml:space="preserve">3、其他详见图纸要求</w:t>
            </w:r>
            <w:r/>
          </w:p>
        </w:tc>
        <w:tc>
          <w:tcPr>
            <w:shd w:val="clear" w:color="auto" w:fill="auto"/>
            <w:tcW w:w="982"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lang w:val="en-US" w:eastAsia="zh-CN" w:bidi="ar"/>
              </w:rPr>
              <w:t xml:space="preserve">处</w:t>
            </w:r>
            <w:r/>
          </w:p>
        </w:tc>
        <w:tc>
          <w:tcPr>
            <w:shd w:val="clear" w:color="auto" w:fill="auto"/>
            <w:tcW w:w="971" w:type="dxa"/>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lang w:val="en-US" w:eastAsia="zh-CN" w:bidi="ar"/>
              </w:rPr>
              <w:t xml:space="preserve">1</w:t>
            </w:r>
            <w:r/>
          </w:p>
        </w:tc>
      </w:tr>
      <w:tr>
        <w:trPr>
          <w:trHeight w:val="665"/>
        </w:trPr>
        <w:tc>
          <w:tcPr>
            <w:shd w:val="clear" w:color="auto" w:fill="auto"/>
            <w:tcW w:w="749" w:type="dxa"/>
            <w:vAlign w:val="center"/>
            <w:textDirection w:val="lrTb"/>
            <w:noWrap w:val="false"/>
          </w:tcPr>
          <w:p>
            <w:pPr>
              <w:jc w:val="center"/>
              <w:keepLines w:val="0"/>
              <w:keepNext w:val="0"/>
              <w:widowControl/>
              <w:rPr>
                <w:rFonts w:hint="default" w:asciiTheme="minorEastAsia" w:hAnsiTheme="minorEastAsia" w:eastAsiaTheme="minorEastAsia" w:cstheme="minorEastAsia"/>
                <w:i w:val="0"/>
                <w:iCs w:val="0"/>
                <w:color w:val="000000"/>
                <w:sz w:val="20"/>
                <w:szCs w:val="20"/>
                <w:u w:val="none"/>
                <w:lang w:val="en-US"/>
              </w:rPr>
              <w:suppressLineNumbers w:val="0"/>
            </w:pPr>
            <w:r>
              <w:rPr>
                <w:rFonts w:hint="eastAsia" w:asciiTheme="minorEastAsia" w:hAnsiTheme="minorEastAsia" w:cstheme="minorEastAsia"/>
                <w:i w:val="0"/>
                <w:iCs w:val="0"/>
                <w:color w:val="000000"/>
                <w:sz w:val="20"/>
                <w:szCs w:val="20"/>
                <w:u w:val="none"/>
                <w:lang w:val="en-US" w:eastAsia="zh-CN" w:bidi="ar"/>
              </w:rPr>
              <w:t xml:space="preserve">82</w:t>
            </w:r>
            <w:r/>
          </w:p>
        </w:tc>
        <w:tc>
          <w:tcPr>
            <w:shd w:val="clear" w:color="auto" w:fill="auto"/>
            <w:tcW w:w="1344"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lang w:val="en-US" w:eastAsia="zh-CN" w:bidi="ar"/>
              </w:rPr>
              <w:t xml:space="preserve">运动雕塑四</w:t>
            </w:r>
            <w:r/>
          </w:p>
        </w:tc>
        <w:tc>
          <w:tcPr>
            <w:shd w:val="clear" w:color="auto" w:fill="auto"/>
            <w:tcW w:w="4751"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lang w:val="en-US" w:eastAsia="zh-CN" w:bidi="ar"/>
              </w:rPr>
              <w:t xml:space="preserve">1、名称及材质：2厚不锈钢板，烤漆饰面</w:t>
            </w:r>
            <w:r>
              <w:rPr>
                <w:rFonts w:hint="eastAsia" w:asciiTheme="minorEastAsia" w:hAnsiTheme="minorEastAsia" w:eastAsiaTheme="minorEastAsia" w:cstheme="minorEastAsia"/>
                <w:i w:val="0"/>
                <w:iCs w:val="0"/>
                <w:color w:val="000000"/>
                <w:sz w:val="20"/>
                <w:szCs w:val="20"/>
                <w:u w:val="none"/>
                <w:lang w:val="en-US" w:eastAsia="zh-CN" w:bidi="ar"/>
              </w:rPr>
              <w:br/>
            </w:r>
            <w:r>
              <w:rPr>
                <w:rFonts w:hint="eastAsia" w:asciiTheme="minorEastAsia" w:hAnsiTheme="minorEastAsia" w:eastAsiaTheme="minorEastAsia" w:cstheme="minorEastAsia"/>
                <w:i w:val="0"/>
                <w:iCs w:val="0"/>
                <w:color w:val="000000"/>
                <w:sz w:val="20"/>
                <w:szCs w:val="20"/>
                <w:u w:val="none"/>
                <w:lang w:val="en-US" w:eastAsia="zh-CN" w:bidi="ar"/>
              </w:rPr>
              <w:t xml:space="preserve">2、规格尺寸：17000*2500*300</w:t>
            </w:r>
            <w:r>
              <w:rPr>
                <w:rFonts w:hint="eastAsia" w:asciiTheme="minorEastAsia" w:hAnsiTheme="minorEastAsia" w:eastAsiaTheme="minorEastAsia" w:cstheme="minorEastAsia"/>
                <w:i w:val="0"/>
                <w:iCs w:val="0"/>
                <w:color w:val="000000"/>
                <w:sz w:val="20"/>
                <w:szCs w:val="20"/>
                <w:u w:val="none"/>
                <w:lang w:val="en-US" w:eastAsia="zh-CN" w:bidi="ar"/>
              </w:rPr>
              <w:br/>
            </w:r>
            <w:r>
              <w:rPr>
                <w:rFonts w:hint="eastAsia" w:asciiTheme="minorEastAsia" w:hAnsiTheme="minorEastAsia" w:eastAsiaTheme="minorEastAsia" w:cstheme="minorEastAsia"/>
                <w:i w:val="0"/>
                <w:iCs w:val="0"/>
                <w:color w:val="000000"/>
                <w:sz w:val="20"/>
                <w:szCs w:val="20"/>
                <w:u w:val="none"/>
                <w:lang w:val="en-US" w:eastAsia="zh-CN" w:bidi="ar"/>
              </w:rPr>
              <w:t xml:space="preserve">3、由专业厂家定制及安装</w:t>
            </w:r>
            <w:r>
              <w:rPr>
                <w:rFonts w:hint="eastAsia" w:asciiTheme="minorEastAsia" w:hAnsiTheme="minorEastAsia" w:eastAsiaTheme="minorEastAsia" w:cstheme="minorEastAsia"/>
                <w:i w:val="0"/>
                <w:iCs w:val="0"/>
                <w:color w:val="000000"/>
                <w:sz w:val="20"/>
                <w:szCs w:val="20"/>
                <w:u w:val="none"/>
                <w:lang w:val="en-US" w:eastAsia="zh-CN" w:bidi="ar"/>
              </w:rPr>
              <w:br/>
            </w:r>
            <w:r>
              <w:rPr>
                <w:rFonts w:hint="eastAsia" w:asciiTheme="minorEastAsia" w:hAnsiTheme="minorEastAsia" w:eastAsiaTheme="minorEastAsia" w:cstheme="minorEastAsia"/>
                <w:i w:val="0"/>
                <w:iCs w:val="0"/>
                <w:color w:val="000000"/>
                <w:sz w:val="20"/>
                <w:szCs w:val="20"/>
                <w:u w:val="none"/>
                <w:lang w:val="en-US" w:eastAsia="zh-CN" w:bidi="ar"/>
              </w:rPr>
              <w:t xml:space="preserve">4、其他详见图纸要求</w:t>
            </w:r>
            <w:r/>
          </w:p>
        </w:tc>
        <w:tc>
          <w:tcPr>
            <w:shd w:val="clear" w:color="auto" w:fill="auto"/>
            <w:tcW w:w="982"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lang w:val="en-US" w:eastAsia="zh-CN" w:bidi="ar"/>
              </w:rPr>
              <w:t xml:space="preserve">个</w:t>
            </w:r>
            <w:r/>
          </w:p>
        </w:tc>
        <w:tc>
          <w:tcPr>
            <w:shd w:val="clear" w:color="auto" w:fill="auto"/>
            <w:tcW w:w="971" w:type="dxa"/>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lang w:val="en-US" w:eastAsia="zh-CN" w:bidi="ar"/>
              </w:rPr>
              <w:t xml:space="preserve">1</w:t>
            </w:r>
            <w:r/>
          </w:p>
        </w:tc>
      </w:tr>
      <w:tr>
        <w:trPr>
          <w:trHeight w:val="665"/>
        </w:trPr>
        <w:tc>
          <w:tcPr>
            <w:shd w:val="clear" w:color="auto" w:fill="auto"/>
            <w:tcW w:w="749" w:type="dxa"/>
            <w:vAlign w:val="center"/>
            <w:textDirection w:val="lrTb"/>
            <w:noWrap w:val="false"/>
          </w:tcPr>
          <w:p>
            <w:pPr>
              <w:jc w:val="center"/>
              <w:keepLines w:val="0"/>
              <w:keepNext w:val="0"/>
              <w:widowControl/>
              <w:rPr>
                <w:rFonts w:hint="default" w:asciiTheme="minorEastAsia" w:hAnsiTheme="minorEastAsia" w:eastAsiaTheme="minorEastAsia" w:cstheme="minorEastAsia"/>
                <w:i w:val="0"/>
                <w:iCs w:val="0"/>
                <w:color w:val="000000"/>
                <w:sz w:val="20"/>
                <w:szCs w:val="20"/>
                <w:u w:val="none"/>
                <w:lang w:val="en-US"/>
              </w:rPr>
              <w:suppressLineNumbers w:val="0"/>
            </w:pPr>
            <w:r>
              <w:rPr>
                <w:rFonts w:hint="eastAsia" w:asciiTheme="minorEastAsia" w:hAnsiTheme="minorEastAsia" w:cstheme="minorEastAsia"/>
                <w:i w:val="0"/>
                <w:iCs w:val="0"/>
                <w:color w:val="000000"/>
                <w:sz w:val="20"/>
                <w:szCs w:val="20"/>
                <w:u w:val="none"/>
                <w:lang w:val="en-US" w:eastAsia="zh-CN" w:bidi="ar"/>
              </w:rPr>
              <w:t xml:space="preserve">83</w:t>
            </w:r>
            <w:r/>
          </w:p>
        </w:tc>
        <w:tc>
          <w:tcPr>
            <w:shd w:val="clear" w:color="auto" w:fill="auto"/>
            <w:tcW w:w="1344"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lang w:val="en-US" w:eastAsia="zh-CN" w:bidi="ar"/>
              </w:rPr>
              <w:t xml:space="preserve">运动雕塑五</w:t>
            </w:r>
            <w:r/>
          </w:p>
        </w:tc>
        <w:tc>
          <w:tcPr>
            <w:shd w:val="clear" w:color="auto" w:fill="auto"/>
            <w:tcW w:w="4751"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lang w:val="en-US" w:eastAsia="zh-CN" w:bidi="ar"/>
              </w:rPr>
              <w:t xml:space="preserve">1、名称及材质：2厚不锈钢板，烤漆饰面</w:t>
            </w:r>
            <w:r>
              <w:rPr>
                <w:rFonts w:hint="eastAsia" w:asciiTheme="minorEastAsia" w:hAnsiTheme="minorEastAsia" w:eastAsiaTheme="minorEastAsia" w:cstheme="minorEastAsia"/>
                <w:i w:val="0"/>
                <w:iCs w:val="0"/>
                <w:color w:val="000000"/>
                <w:sz w:val="20"/>
                <w:szCs w:val="20"/>
                <w:u w:val="none"/>
                <w:lang w:val="en-US" w:eastAsia="zh-CN" w:bidi="ar"/>
              </w:rPr>
              <w:br/>
            </w:r>
            <w:r>
              <w:rPr>
                <w:rFonts w:hint="eastAsia" w:asciiTheme="minorEastAsia" w:hAnsiTheme="minorEastAsia" w:eastAsiaTheme="minorEastAsia" w:cstheme="minorEastAsia"/>
                <w:i w:val="0"/>
                <w:iCs w:val="0"/>
                <w:color w:val="000000"/>
                <w:sz w:val="20"/>
                <w:szCs w:val="20"/>
                <w:u w:val="none"/>
                <w:lang w:val="en-US" w:eastAsia="zh-CN" w:bidi="ar"/>
              </w:rPr>
              <w:t xml:space="preserve">2、规格尺寸：9900*3000</w:t>
            </w:r>
            <w:r>
              <w:rPr>
                <w:rFonts w:hint="eastAsia" w:asciiTheme="minorEastAsia" w:hAnsiTheme="minorEastAsia" w:eastAsiaTheme="minorEastAsia" w:cstheme="minorEastAsia"/>
                <w:i w:val="0"/>
                <w:iCs w:val="0"/>
                <w:color w:val="000000"/>
                <w:sz w:val="20"/>
                <w:szCs w:val="20"/>
                <w:u w:val="none"/>
                <w:lang w:val="en-US" w:eastAsia="zh-CN" w:bidi="ar"/>
              </w:rPr>
              <w:br/>
            </w:r>
            <w:r>
              <w:rPr>
                <w:rFonts w:hint="eastAsia" w:asciiTheme="minorEastAsia" w:hAnsiTheme="minorEastAsia" w:eastAsiaTheme="minorEastAsia" w:cstheme="minorEastAsia"/>
                <w:i w:val="0"/>
                <w:iCs w:val="0"/>
                <w:color w:val="000000"/>
                <w:sz w:val="20"/>
                <w:szCs w:val="20"/>
                <w:u w:val="none"/>
                <w:lang w:val="en-US" w:eastAsia="zh-CN" w:bidi="ar"/>
              </w:rPr>
              <w:t xml:space="preserve">3、由专业厂家定制及安装</w:t>
            </w:r>
            <w:r>
              <w:rPr>
                <w:rFonts w:hint="eastAsia" w:asciiTheme="minorEastAsia" w:hAnsiTheme="minorEastAsia" w:eastAsiaTheme="minorEastAsia" w:cstheme="minorEastAsia"/>
                <w:i w:val="0"/>
                <w:iCs w:val="0"/>
                <w:color w:val="000000"/>
                <w:sz w:val="20"/>
                <w:szCs w:val="20"/>
                <w:u w:val="none"/>
                <w:lang w:val="en-US" w:eastAsia="zh-CN" w:bidi="ar"/>
              </w:rPr>
              <w:br/>
            </w:r>
            <w:r>
              <w:rPr>
                <w:rFonts w:hint="eastAsia" w:asciiTheme="minorEastAsia" w:hAnsiTheme="minorEastAsia" w:eastAsiaTheme="minorEastAsia" w:cstheme="minorEastAsia"/>
                <w:i w:val="0"/>
                <w:iCs w:val="0"/>
                <w:color w:val="000000"/>
                <w:sz w:val="20"/>
                <w:szCs w:val="20"/>
                <w:u w:val="none"/>
                <w:lang w:val="en-US" w:eastAsia="zh-CN" w:bidi="ar"/>
              </w:rPr>
              <w:t xml:space="preserve">4、其他详见图纸要求</w:t>
            </w:r>
            <w:r/>
          </w:p>
        </w:tc>
        <w:tc>
          <w:tcPr>
            <w:shd w:val="clear" w:color="auto" w:fill="auto"/>
            <w:tcW w:w="982"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lang w:val="en-US" w:eastAsia="zh-CN" w:bidi="ar"/>
              </w:rPr>
              <w:t xml:space="preserve">个</w:t>
            </w:r>
            <w:r/>
          </w:p>
        </w:tc>
        <w:tc>
          <w:tcPr>
            <w:shd w:val="clear" w:color="auto" w:fill="auto"/>
            <w:tcW w:w="971" w:type="dxa"/>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lang w:val="en-US" w:eastAsia="zh-CN" w:bidi="ar"/>
              </w:rPr>
              <w:t xml:space="preserve">1</w:t>
            </w:r>
            <w:r/>
          </w:p>
        </w:tc>
      </w:tr>
      <w:tr>
        <w:trPr>
          <w:trHeight w:val="500"/>
        </w:trPr>
        <w:tc>
          <w:tcPr>
            <w:shd w:val="clear" w:color="auto" w:fill="auto"/>
            <w:tcW w:w="749" w:type="dxa"/>
            <w:vAlign w:val="center"/>
            <w:textDirection w:val="lrTb"/>
            <w:noWrap w:val="false"/>
          </w:tcPr>
          <w:p>
            <w:pPr>
              <w:jc w:val="center"/>
              <w:keepLines w:val="0"/>
              <w:keepNext w:val="0"/>
              <w:widowControl/>
              <w:rPr>
                <w:rFonts w:hint="default" w:asciiTheme="minorEastAsia" w:hAnsiTheme="minorEastAsia" w:eastAsiaTheme="minorEastAsia" w:cstheme="minorEastAsia"/>
                <w:i w:val="0"/>
                <w:iCs w:val="0"/>
                <w:color w:val="000000"/>
                <w:sz w:val="20"/>
                <w:szCs w:val="20"/>
                <w:u w:val="none"/>
                <w:lang w:val="en-US"/>
              </w:rPr>
              <w:suppressLineNumbers w:val="0"/>
            </w:pPr>
            <w:r>
              <w:rPr>
                <w:rFonts w:hint="eastAsia" w:asciiTheme="minorEastAsia" w:hAnsiTheme="minorEastAsia" w:cstheme="minorEastAsia"/>
                <w:i w:val="0"/>
                <w:iCs w:val="0"/>
                <w:color w:val="000000"/>
                <w:sz w:val="20"/>
                <w:szCs w:val="20"/>
                <w:u w:val="none"/>
                <w:lang w:val="en-US" w:eastAsia="zh-CN" w:bidi="ar"/>
              </w:rPr>
              <w:t xml:space="preserve">84</w:t>
            </w:r>
            <w:r/>
          </w:p>
        </w:tc>
        <w:tc>
          <w:tcPr>
            <w:shd w:val="clear" w:color="auto" w:fill="auto"/>
            <w:tcW w:w="1344"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lang w:val="en-US" w:eastAsia="zh-CN" w:bidi="ar"/>
              </w:rPr>
              <w:t xml:space="preserve">体育中心彩绘雕塑</w:t>
            </w:r>
            <w:r/>
          </w:p>
        </w:tc>
        <w:tc>
          <w:tcPr>
            <w:shd w:val="clear" w:color="auto" w:fill="auto"/>
            <w:tcW w:w="4751"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lang w:val="en-US" w:eastAsia="zh-CN" w:bidi="ar"/>
              </w:rPr>
              <w:t xml:space="preserve">1、2厚镀锌板，烤漆饰面，5厚钛合金字</w:t>
            </w:r>
            <w:r>
              <w:rPr>
                <w:rFonts w:hint="eastAsia" w:asciiTheme="minorEastAsia" w:hAnsiTheme="minorEastAsia" w:eastAsiaTheme="minorEastAsia" w:cstheme="minorEastAsia"/>
                <w:i w:val="0"/>
                <w:iCs w:val="0"/>
                <w:color w:val="000000"/>
                <w:sz w:val="20"/>
                <w:szCs w:val="20"/>
                <w:u w:val="none"/>
                <w:lang w:val="en-US" w:eastAsia="zh-CN" w:bidi="ar"/>
              </w:rPr>
              <w:br/>
            </w:r>
            <w:r>
              <w:rPr>
                <w:rFonts w:hint="eastAsia" w:asciiTheme="minorEastAsia" w:hAnsiTheme="minorEastAsia" w:eastAsiaTheme="minorEastAsia" w:cstheme="minorEastAsia"/>
                <w:i w:val="0"/>
                <w:iCs w:val="0"/>
                <w:color w:val="000000"/>
                <w:sz w:val="20"/>
                <w:szCs w:val="20"/>
                <w:u w:val="none"/>
                <w:lang w:val="en-US" w:eastAsia="zh-CN" w:bidi="ar"/>
              </w:rPr>
              <w:t xml:space="preserve">2、由专业厂家二次专业设计</w:t>
            </w:r>
            <w:r>
              <w:rPr>
                <w:rFonts w:hint="eastAsia" w:asciiTheme="minorEastAsia" w:hAnsiTheme="minorEastAsia" w:eastAsiaTheme="minorEastAsia" w:cstheme="minorEastAsia"/>
                <w:i w:val="0"/>
                <w:iCs w:val="0"/>
                <w:color w:val="000000"/>
                <w:sz w:val="20"/>
                <w:szCs w:val="20"/>
                <w:u w:val="none"/>
                <w:lang w:val="en-US" w:eastAsia="zh-CN" w:bidi="ar"/>
              </w:rPr>
              <w:br/>
            </w:r>
            <w:r>
              <w:rPr>
                <w:rFonts w:hint="eastAsia" w:asciiTheme="minorEastAsia" w:hAnsiTheme="minorEastAsia" w:eastAsiaTheme="minorEastAsia" w:cstheme="minorEastAsia"/>
                <w:i w:val="0"/>
                <w:iCs w:val="0"/>
                <w:color w:val="000000"/>
                <w:sz w:val="20"/>
                <w:szCs w:val="20"/>
                <w:u w:val="none"/>
                <w:lang w:val="en-US" w:eastAsia="zh-CN" w:bidi="ar"/>
              </w:rPr>
              <w:t xml:space="preserve">3、其他详见图纸要求</w:t>
            </w:r>
            <w:r/>
          </w:p>
        </w:tc>
        <w:tc>
          <w:tcPr>
            <w:shd w:val="clear" w:color="auto" w:fill="auto"/>
            <w:tcW w:w="982"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lang w:val="en-US" w:eastAsia="zh-CN" w:bidi="ar"/>
              </w:rPr>
              <w:t xml:space="preserve">处</w:t>
            </w:r>
            <w:r/>
          </w:p>
        </w:tc>
        <w:tc>
          <w:tcPr>
            <w:shd w:val="clear" w:color="auto" w:fill="auto"/>
            <w:tcW w:w="971" w:type="dxa"/>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lang w:val="en-US" w:eastAsia="zh-CN" w:bidi="ar"/>
              </w:rPr>
              <w:t xml:space="preserve">1</w:t>
            </w:r>
            <w:r/>
          </w:p>
        </w:tc>
      </w:tr>
      <w:tr>
        <w:trPr>
          <w:trHeight w:val="665"/>
        </w:trPr>
        <w:tc>
          <w:tcPr>
            <w:shd w:val="clear" w:color="auto" w:fill="auto"/>
            <w:tcW w:w="749" w:type="dxa"/>
            <w:vAlign w:val="center"/>
            <w:textDirection w:val="lrTb"/>
            <w:noWrap w:val="false"/>
          </w:tcPr>
          <w:p>
            <w:pPr>
              <w:jc w:val="center"/>
              <w:keepLines w:val="0"/>
              <w:keepNext w:val="0"/>
              <w:widowControl/>
              <w:rPr>
                <w:rFonts w:hint="default" w:asciiTheme="minorEastAsia" w:hAnsiTheme="minorEastAsia" w:eastAsiaTheme="minorEastAsia" w:cstheme="minorEastAsia"/>
                <w:i w:val="0"/>
                <w:iCs w:val="0"/>
                <w:color w:val="000000"/>
                <w:sz w:val="20"/>
                <w:szCs w:val="20"/>
                <w:u w:val="none"/>
                <w:lang w:val="en-US"/>
              </w:rPr>
              <w:suppressLineNumbers w:val="0"/>
            </w:pPr>
            <w:r>
              <w:rPr>
                <w:rFonts w:hint="eastAsia" w:asciiTheme="minorEastAsia" w:hAnsiTheme="minorEastAsia" w:cstheme="minorEastAsia"/>
                <w:i w:val="0"/>
                <w:iCs w:val="0"/>
                <w:color w:val="000000"/>
                <w:sz w:val="20"/>
                <w:szCs w:val="20"/>
                <w:u w:val="none"/>
                <w:lang w:val="en-US" w:eastAsia="zh-CN" w:bidi="ar"/>
              </w:rPr>
              <w:t xml:space="preserve">85</w:t>
            </w:r>
            <w:r/>
          </w:p>
        </w:tc>
        <w:tc>
          <w:tcPr>
            <w:shd w:val="clear" w:color="auto" w:fill="auto"/>
            <w:tcW w:w="1344"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lang w:val="en-US" w:eastAsia="zh-CN" w:bidi="ar"/>
              </w:rPr>
              <w:t xml:space="preserve">运动雕塑一</w:t>
            </w:r>
            <w:r/>
          </w:p>
        </w:tc>
        <w:tc>
          <w:tcPr>
            <w:shd w:val="clear" w:color="auto" w:fill="auto"/>
            <w:tcW w:w="4751"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lang w:val="en-US" w:eastAsia="zh-CN" w:bidi="ar"/>
              </w:rPr>
              <w:t xml:space="preserve">1、名称及材质：2厚不锈钢板，烤漆饰面</w:t>
            </w:r>
            <w:r>
              <w:rPr>
                <w:rFonts w:hint="eastAsia" w:asciiTheme="minorEastAsia" w:hAnsiTheme="minorEastAsia" w:eastAsiaTheme="minorEastAsia" w:cstheme="minorEastAsia"/>
                <w:i w:val="0"/>
                <w:iCs w:val="0"/>
                <w:color w:val="000000"/>
                <w:sz w:val="20"/>
                <w:szCs w:val="20"/>
                <w:u w:val="none"/>
                <w:lang w:val="en-US" w:eastAsia="zh-CN" w:bidi="ar"/>
              </w:rPr>
              <w:br/>
            </w:r>
            <w:r>
              <w:rPr>
                <w:rFonts w:hint="eastAsia" w:asciiTheme="minorEastAsia" w:hAnsiTheme="minorEastAsia" w:eastAsiaTheme="minorEastAsia" w:cstheme="minorEastAsia"/>
                <w:i w:val="0"/>
                <w:iCs w:val="0"/>
                <w:color w:val="000000"/>
                <w:sz w:val="20"/>
                <w:szCs w:val="20"/>
                <w:u w:val="none"/>
                <w:lang w:val="en-US" w:eastAsia="zh-CN" w:bidi="ar"/>
              </w:rPr>
              <w:t xml:space="preserve">2、规格尺寸：4350*1970*400</w:t>
            </w:r>
            <w:r>
              <w:rPr>
                <w:rFonts w:hint="eastAsia" w:asciiTheme="minorEastAsia" w:hAnsiTheme="minorEastAsia" w:eastAsiaTheme="minorEastAsia" w:cstheme="minorEastAsia"/>
                <w:i w:val="0"/>
                <w:iCs w:val="0"/>
                <w:color w:val="000000"/>
                <w:sz w:val="20"/>
                <w:szCs w:val="20"/>
                <w:u w:val="none"/>
                <w:lang w:val="en-US" w:eastAsia="zh-CN" w:bidi="ar"/>
              </w:rPr>
              <w:br/>
            </w:r>
            <w:r>
              <w:rPr>
                <w:rFonts w:hint="eastAsia" w:asciiTheme="minorEastAsia" w:hAnsiTheme="minorEastAsia" w:eastAsiaTheme="minorEastAsia" w:cstheme="minorEastAsia"/>
                <w:i w:val="0"/>
                <w:iCs w:val="0"/>
                <w:color w:val="000000"/>
                <w:sz w:val="20"/>
                <w:szCs w:val="20"/>
                <w:u w:val="none"/>
                <w:lang w:val="en-US" w:eastAsia="zh-CN" w:bidi="ar"/>
              </w:rPr>
              <w:t xml:space="preserve">3、由专业厂家定制及安装</w:t>
            </w:r>
            <w:r>
              <w:rPr>
                <w:rFonts w:hint="eastAsia" w:asciiTheme="minorEastAsia" w:hAnsiTheme="minorEastAsia" w:eastAsiaTheme="minorEastAsia" w:cstheme="minorEastAsia"/>
                <w:i w:val="0"/>
                <w:iCs w:val="0"/>
                <w:color w:val="000000"/>
                <w:sz w:val="20"/>
                <w:szCs w:val="20"/>
                <w:u w:val="none"/>
                <w:lang w:val="en-US" w:eastAsia="zh-CN" w:bidi="ar"/>
              </w:rPr>
              <w:br/>
            </w:r>
            <w:r>
              <w:rPr>
                <w:rFonts w:hint="eastAsia" w:asciiTheme="minorEastAsia" w:hAnsiTheme="minorEastAsia" w:eastAsiaTheme="minorEastAsia" w:cstheme="minorEastAsia"/>
                <w:i w:val="0"/>
                <w:iCs w:val="0"/>
                <w:color w:val="000000"/>
                <w:sz w:val="20"/>
                <w:szCs w:val="20"/>
                <w:u w:val="none"/>
                <w:lang w:val="en-US" w:eastAsia="zh-CN" w:bidi="ar"/>
              </w:rPr>
              <w:t xml:space="preserve">4、其他详见图纸要求</w:t>
            </w:r>
            <w:r/>
          </w:p>
        </w:tc>
        <w:tc>
          <w:tcPr>
            <w:shd w:val="clear" w:color="auto" w:fill="auto"/>
            <w:tcW w:w="982"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lang w:val="en-US" w:eastAsia="zh-CN" w:bidi="ar"/>
              </w:rPr>
              <w:t xml:space="preserve">个</w:t>
            </w:r>
            <w:r/>
          </w:p>
        </w:tc>
        <w:tc>
          <w:tcPr>
            <w:shd w:val="clear" w:color="auto" w:fill="auto"/>
            <w:tcW w:w="971" w:type="dxa"/>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lang w:val="en-US" w:eastAsia="zh-CN" w:bidi="ar"/>
              </w:rPr>
              <w:t xml:space="preserve">2</w:t>
            </w:r>
            <w:r/>
          </w:p>
        </w:tc>
      </w:tr>
      <w:tr>
        <w:trPr>
          <w:trHeight w:val="665"/>
        </w:trPr>
        <w:tc>
          <w:tcPr>
            <w:shd w:val="clear" w:color="auto" w:fill="auto"/>
            <w:tcW w:w="749" w:type="dxa"/>
            <w:vAlign w:val="center"/>
            <w:textDirection w:val="lrTb"/>
            <w:noWrap w:val="false"/>
          </w:tcPr>
          <w:p>
            <w:pPr>
              <w:jc w:val="center"/>
              <w:keepLines w:val="0"/>
              <w:keepNext w:val="0"/>
              <w:widowControl/>
              <w:rPr>
                <w:rFonts w:hint="default" w:asciiTheme="minorEastAsia" w:hAnsiTheme="minorEastAsia" w:eastAsiaTheme="minorEastAsia" w:cstheme="minorEastAsia"/>
                <w:i w:val="0"/>
                <w:iCs w:val="0"/>
                <w:color w:val="000000"/>
                <w:sz w:val="20"/>
                <w:szCs w:val="20"/>
                <w:u w:val="none"/>
                <w:lang w:val="en-US"/>
              </w:rPr>
              <w:suppressLineNumbers w:val="0"/>
            </w:pPr>
            <w:r>
              <w:rPr>
                <w:rFonts w:hint="eastAsia" w:asciiTheme="minorEastAsia" w:hAnsiTheme="minorEastAsia" w:cstheme="minorEastAsia"/>
                <w:i w:val="0"/>
                <w:iCs w:val="0"/>
                <w:color w:val="000000"/>
                <w:sz w:val="20"/>
                <w:szCs w:val="20"/>
                <w:u w:val="none"/>
                <w:lang w:val="en-US" w:eastAsia="zh-CN" w:bidi="ar"/>
              </w:rPr>
              <w:t xml:space="preserve">86</w:t>
            </w:r>
            <w:r/>
          </w:p>
        </w:tc>
        <w:tc>
          <w:tcPr>
            <w:shd w:val="clear" w:color="auto" w:fill="auto"/>
            <w:tcW w:w="1344"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lang w:val="en-US" w:eastAsia="zh-CN" w:bidi="ar"/>
              </w:rPr>
              <w:t xml:space="preserve">运动雕塑二</w:t>
            </w:r>
            <w:r/>
          </w:p>
        </w:tc>
        <w:tc>
          <w:tcPr>
            <w:shd w:val="clear" w:color="auto" w:fill="auto"/>
            <w:tcW w:w="4751"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lang w:val="en-US" w:eastAsia="zh-CN" w:bidi="ar"/>
              </w:rPr>
              <w:t xml:space="preserve">1、名称及材质：2厚不锈钢板，烤漆饰面</w:t>
            </w:r>
            <w:r>
              <w:rPr>
                <w:rFonts w:hint="eastAsia" w:asciiTheme="minorEastAsia" w:hAnsiTheme="minorEastAsia" w:eastAsiaTheme="minorEastAsia" w:cstheme="minorEastAsia"/>
                <w:i w:val="0"/>
                <w:iCs w:val="0"/>
                <w:color w:val="000000"/>
                <w:sz w:val="20"/>
                <w:szCs w:val="20"/>
                <w:u w:val="none"/>
                <w:lang w:val="en-US" w:eastAsia="zh-CN" w:bidi="ar"/>
              </w:rPr>
              <w:br/>
            </w:r>
            <w:r>
              <w:rPr>
                <w:rFonts w:hint="eastAsia" w:asciiTheme="minorEastAsia" w:hAnsiTheme="minorEastAsia" w:eastAsiaTheme="minorEastAsia" w:cstheme="minorEastAsia"/>
                <w:i w:val="0"/>
                <w:iCs w:val="0"/>
                <w:color w:val="000000"/>
                <w:sz w:val="20"/>
                <w:szCs w:val="20"/>
                <w:u w:val="none"/>
                <w:lang w:val="en-US" w:eastAsia="zh-CN" w:bidi="ar"/>
              </w:rPr>
              <w:t xml:space="preserve">2、规格尺寸：7850*2470*400</w:t>
            </w:r>
            <w:r>
              <w:rPr>
                <w:rFonts w:hint="eastAsia" w:asciiTheme="minorEastAsia" w:hAnsiTheme="minorEastAsia" w:eastAsiaTheme="minorEastAsia" w:cstheme="minorEastAsia"/>
                <w:i w:val="0"/>
                <w:iCs w:val="0"/>
                <w:color w:val="000000"/>
                <w:sz w:val="20"/>
                <w:szCs w:val="20"/>
                <w:u w:val="none"/>
                <w:lang w:val="en-US" w:eastAsia="zh-CN" w:bidi="ar"/>
              </w:rPr>
              <w:br/>
            </w:r>
            <w:r>
              <w:rPr>
                <w:rFonts w:hint="eastAsia" w:asciiTheme="minorEastAsia" w:hAnsiTheme="minorEastAsia" w:eastAsiaTheme="minorEastAsia" w:cstheme="minorEastAsia"/>
                <w:i w:val="0"/>
                <w:iCs w:val="0"/>
                <w:color w:val="000000"/>
                <w:sz w:val="20"/>
                <w:szCs w:val="20"/>
                <w:u w:val="none"/>
                <w:lang w:val="en-US" w:eastAsia="zh-CN" w:bidi="ar"/>
              </w:rPr>
              <w:t xml:space="preserve">3、由专业厂家定制及安装</w:t>
            </w:r>
            <w:r>
              <w:rPr>
                <w:rFonts w:hint="eastAsia" w:asciiTheme="minorEastAsia" w:hAnsiTheme="minorEastAsia" w:eastAsiaTheme="minorEastAsia" w:cstheme="minorEastAsia"/>
                <w:i w:val="0"/>
                <w:iCs w:val="0"/>
                <w:color w:val="000000"/>
                <w:sz w:val="20"/>
                <w:szCs w:val="20"/>
                <w:u w:val="none"/>
                <w:lang w:val="en-US" w:eastAsia="zh-CN" w:bidi="ar"/>
              </w:rPr>
              <w:br/>
            </w:r>
            <w:r>
              <w:rPr>
                <w:rFonts w:hint="eastAsia" w:asciiTheme="minorEastAsia" w:hAnsiTheme="minorEastAsia" w:eastAsiaTheme="minorEastAsia" w:cstheme="minorEastAsia"/>
                <w:i w:val="0"/>
                <w:iCs w:val="0"/>
                <w:color w:val="000000"/>
                <w:sz w:val="20"/>
                <w:szCs w:val="20"/>
                <w:u w:val="none"/>
                <w:lang w:val="en-US" w:eastAsia="zh-CN" w:bidi="ar"/>
              </w:rPr>
              <w:t xml:space="preserve">4、其他详见图纸要求</w:t>
            </w:r>
            <w:r/>
          </w:p>
        </w:tc>
        <w:tc>
          <w:tcPr>
            <w:shd w:val="clear" w:color="auto" w:fill="auto"/>
            <w:tcW w:w="982"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lang w:val="en-US" w:eastAsia="zh-CN" w:bidi="ar"/>
              </w:rPr>
              <w:t xml:space="preserve">个</w:t>
            </w:r>
            <w:r/>
          </w:p>
        </w:tc>
        <w:tc>
          <w:tcPr>
            <w:shd w:val="clear" w:color="auto" w:fill="auto"/>
            <w:tcW w:w="971" w:type="dxa"/>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lang w:val="en-US" w:eastAsia="zh-CN" w:bidi="ar"/>
              </w:rPr>
              <w:t xml:space="preserve">2</w:t>
            </w:r>
            <w:r/>
          </w:p>
        </w:tc>
      </w:tr>
      <w:tr>
        <w:trPr>
          <w:trHeight w:val="665"/>
        </w:trPr>
        <w:tc>
          <w:tcPr>
            <w:shd w:val="clear" w:color="auto" w:fill="auto"/>
            <w:tcW w:w="749" w:type="dxa"/>
            <w:vAlign w:val="center"/>
            <w:textDirection w:val="lrTb"/>
            <w:noWrap w:val="false"/>
          </w:tcPr>
          <w:p>
            <w:pPr>
              <w:jc w:val="center"/>
              <w:keepLines w:val="0"/>
              <w:keepNext w:val="0"/>
              <w:widowControl/>
              <w:rPr>
                <w:rFonts w:hint="default" w:asciiTheme="minorEastAsia" w:hAnsiTheme="minorEastAsia" w:eastAsiaTheme="minorEastAsia" w:cstheme="minorEastAsia"/>
                <w:i w:val="0"/>
                <w:iCs w:val="0"/>
                <w:color w:val="000000"/>
                <w:sz w:val="20"/>
                <w:szCs w:val="20"/>
                <w:u w:val="none"/>
                <w:lang w:val="en-US"/>
              </w:rPr>
              <w:suppressLineNumbers w:val="0"/>
            </w:pPr>
            <w:r>
              <w:rPr>
                <w:rFonts w:hint="eastAsia" w:asciiTheme="minorEastAsia" w:hAnsiTheme="minorEastAsia" w:cstheme="minorEastAsia"/>
                <w:i w:val="0"/>
                <w:iCs w:val="0"/>
                <w:color w:val="000000"/>
                <w:sz w:val="20"/>
                <w:szCs w:val="20"/>
                <w:u w:val="none"/>
                <w:lang w:val="en-US" w:eastAsia="zh-CN" w:bidi="ar"/>
              </w:rPr>
              <w:t xml:space="preserve">87</w:t>
            </w:r>
            <w:r/>
          </w:p>
        </w:tc>
        <w:tc>
          <w:tcPr>
            <w:shd w:val="clear" w:color="auto" w:fill="auto"/>
            <w:tcW w:w="1344"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lang w:val="en-US" w:eastAsia="zh-CN" w:bidi="ar"/>
              </w:rPr>
              <w:t xml:space="preserve">运动雕塑三</w:t>
            </w:r>
            <w:r/>
          </w:p>
        </w:tc>
        <w:tc>
          <w:tcPr>
            <w:shd w:val="clear" w:color="auto" w:fill="auto"/>
            <w:tcW w:w="4751"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lang w:val="en-US" w:eastAsia="zh-CN" w:bidi="ar"/>
              </w:rPr>
              <w:t xml:space="preserve">1、名称及材质：2厚不锈钢板，烤漆饰面</w:t>
            </w:r>
            <w:r>
              <w:rPr>
                <w:rFonts w:hint="eastAsia" w:asciiTheme="minorEastAsia" w:hAnsiTheme="minorEastAsia" w:eastAsiaTheme="minorEastAsia" w:cstheme="minorEastAsia"/>
                <w:i w:val="0"/>
                <w:iCs w:val="0"/>
                <w:color w:val="000000"/>
                <w:sz w:val="20"/>
                <w:szCs w:val="20"/>
                <w:u w:val="none"/>
                <w:lang w:val="en-US" w:eastAsia="zh-CN" w:bidi="ar"/>
              </w:rPr>
              <w:br/>
            </w:r>
            <w:r>
              <w:rPr>
                <w:rFonts w:hint="eastAsia" w:asciiTheme="minorEastAsia" w:hAnsiTheme="minorEastAsia" w:eastAsiaTheme="minorEastAsia" w:cstheme="minorEastAsia"/>
                <w:i w:val="0"/>
                <w:iCs w:val="0"/>
                <w:color w:val="000000"/>
                <w:sz w:val="20"/>
                <w:szCs w:val="20"/>
                <w:u w:val="none"/>
                <w:lang w:val="en-US" w:eastAsia="zh-CN" w:bidi="ar"/>
              </w:rPr>
              <w:t xml:space="preserve">2、规格尺寸：4400*2020*400</w:t>
            </w:r>
            <w:r>
              <w:rPr>
                <w:rFonts w:hint="eastAsia" w:asciiTheme="minorEastAsia" w:hAnsiTheme="minorEastAsia" w:eastAsiaTheme="minorEastAsia" w:cstheme="minorEastAsia"/>
                <w:i w:val="0"/>
                <w:iCs w:val="0"/>
                <w:color w:val="000000"/>
                <w:sz w:val="20"/>
                <w:szCs w:val="20"/>
                <w:u w:val="none"/>
                <w:lang w:val="en-US" w:eastAsia="zh-CN" w:bidi="ar"/>
              </w:rPr>
              <w:br/>
            </w:r>
            <w:r>
              <w:rPr>
                <w:rFonts w:hint="eastAsia" w:asciiTheme="minorEastAsia" w:hAnsiTheme="minorEastAsia" w:eastAsiaTheme="minorEastAsia" w:cstheme="minorEastAsia"/>
                <w:i w:val="0"/>
                <w:iCs w:val="0"/>
                <w:color w:val="000000"/>
                <w:sz w:val="20"/>
                <w:szCs w:val="20"/>
                <w:u w:val="none"/>
                <w:lang w:val="en-US" w:eastAsia="zh-CN" w:bidi="ar"/>
              </w:rPr>
              <w:t xml:space="preserve">3、由专业厂家定制及安装</w:t>
            </w:r>
            <w:r>
              <w:rPr>
                <w:rFonts w:hint="eastAsia" w:asciiTheme="minorEastAsia" w:hAnsiTheme="minorEastAsia" w:eastAsiaTheme="minorEastAsia" w:cstheme="minorEastAsia"/>
                <w:i w:val="0"/>
                <w:iCs w:val="0"/>
                <w:color w:val="000000"/>
                <w:sz w:val="20"/>
                <w:szCs w:val="20"/>
                <w:u w:val="none"/>
                <w:lang w:val="en-US" w:eastAsia="zh-CN" w:bidi="ar"/>
              </w:rPr>
              <w:br/>
            </w:r>
            <w:r>
              <w:rPr>
                <w:rFonts w:hint="eastAsia" w:asciiTheme="minorEastAsia" w:hAnsiTheme="minorEastAsia" w:eastAsiaTheme="minorEastAsia" w:cstheme="minorEastAsia"/>
                <w:i w:val="0"/>
                <w:iCs w:val="0"/>
                <w:color w:val="000000"/>
                <w:sz w:val="20"/>
                <w:szCs w:val="20"/>
                <w:u w:val="none"/>
                <w:lang w:val="en-US" w:eastAsia="zh-CN" w:bidi="ar"/>
              </w:rPr>
              <w:t xml:space="preserve">4、其他详见图纸要求</w:t>
            </w:r>
            <w:r/>
          </w:p>
        </w:tc>
        <w:tc>
          <w:tcPr>
            <w:shd w:val="clear" w:color="auto" w:fill="auto"/>
            <w:tcW w:w="982"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lang w:val="en-US" w:eastAsia="zh-CN" w:bidi="ar"/>
              </w:rPr>
              <w:t xml:space="preserve">个</w:t>
            </w:r>
            <w:r/>
          </w:p>
        </w:tc>
        <w:tc>
          <w:tcPr>
            <w:shd w:val="clear" w:color="auto" w:fill="auto"/>
            <w:tcW w:w="971" w:type="dxa"/>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lang w:val="en-US" w:eastAsia="zh-CN" w:bidi="ar"/>
              </w:rPr>
              <w:t xml:space="preserve">2</w:t>
            </w:r>
            <w:r/>
          </w:p>
        </w:tc>
      </w:tr>
      <w:tr>
        <w:trPr>
          <w:trHeight w:val="665"/>
        </w:trPr>
        <w:tc>
          <w:tcPr>
            <w:shd w:val="clear" w:color="auto" w:fill="auto"/>
            <w:tcW w:w="749" w:type="dxa"/>
            <w:vAlign w:val="center"/>
            <w:textDirection w:val="lrTb"/>
            <w:noWrap w:val="false"/>
          </w:tcPr>
          <w:p>
            <w:pPr>
              <w:jc w:val="center"/>
              <w:keepLines w:val="0"/>
              <w:keepNext w:val="0"/>
              <w:widowControl/>
              <w:rPr>
                <w:rFonts w:hint="default" w:asciiTheme="minorEastAsia" w:hAnsiTheme="minorEastAsia" w:eastAsiaTheme="minorEastAsia" w:cstheme="minorEastAsia"/>
                <w:i w:val="0"/>
                <w:iCs w:val="0"/>
                <w:color w:val="000000"/>
                <w:sz w:val="20"/>
                <w:szCs w:val="20"/>
                <w:u w:val="none"/>
                <w:lang w:val="en-US"/>
              </w:rPr>
              <w:suppressLineNumbers w:val="0"/>
            </w:pPr>
            <w:r>
              <w:rPr>
                <w:rFonts w:hint="eastAsia" w:asciiTheme="minorEastAsia" w:hAnsiTheme="minorEastAsia" w:cstheme="minorEastAsia"/>
                <w:i w:val="0"/>
                <w:iCs w:val="0"/>
                <w:color w:val="000000"/>
                <w:sz w:val="20"/>
                <w:szCs w:val="20"/>
                <w:u w:val="none"/>
                <w:lang w:val="en-US" w:eastAsia="zh-CN" w:bidi="ar"/>
              </w:rPr>
              <w:t xml:space="preserve">88</w:t>
            </w:r>
            <w:r/>
          </w:p>
        </w:tc>
        <w:tc>
          <w:tcPr>
            <w:shd w:val="clear" w:color="auto" w:fill="auto"/>
            <w:tcW w:w="1344"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lang w:val="en-US" w:eastAsia="zh-CN" w:bidi="ar"/>
              </w:rPr>
              <w:t xml:space="preserve">不锈钢仿铜地雕</w:t>
            </w:r>
            <w:r/>
          </w:p>
        </w:tc>
        <w:tc>
          <w:tcPr>
            <w:shd w:val="clear" w:color="auto" w:fill="auto"/>
            <w:tcW w:w="4751"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lang w:val="en-US" w:eastAsia="zh-CN" w:bidi="ar"/>
              </w:rPr>
              <w:t xml:space="preserve">1、2400*2400圆形不锈钢仿铜地雕</w:t>
            </w:r>
            <w:r>
              <w:rPr>
                <w:rFonts w:hint="eastAsia" w:asciiTheme="minorEastAsia" w:hAnsiTheme="minorEastAsia" w:eastAsiaTheme="minorEastAsia" w:cstheme="minorEastAsia"/>
                <w:i w:val="0"/>
                <w:iCs w:val="0"/>
                <w:color w:val="000000"/>
                <w:sz w:val="20"/>
                <w:szCs w:val="20"/>
                <w:u w:val="none"/>
                <w:lang w:val="en-US" w:eastAsia="zh-CN" w:bidi="ar"/>
              </w:rPr>
              <w:br/>
            </w:r>
            <w:r>
              <w:rPr>
                <w:rFonts w:hint="eastAsia" w:asciiTheme="minorEastAsia" w:hAnsiTheme="minorEastAsia" w:eastAsiaTheme="minorEastAsia" w:cstheme="minorEastAsia"/>
                <w:i w:val="0"/>
                <w:iCs w:val="0"/>
                <w:color w:val="000000"/>
                <w:sz w:val="20"/>
                <w:szCs w:val="20"/>
                <w:u w:val="none"/>
                <w:lang w:val="en-US" w:eastAsia="zh-CN" w:bidi="ar"/>
              </w:rPr>
              <w:t xml:space="preserve">2、图案详见节点大样</w:t>
            </w:r>
            <w:r>
              <w:rPr>
                <w:rFonts w:hint="eastAsia" w:asciiTheme="minorEastAsia" w:hAnsiTheme="minorEastAsia" w:eastAsiaTheme="minorEastAsia" w:cstheme="minorEastAsia"/>
                <w:i w:val="0"/>
                <w:iCs w:val="0"/>
                <w:color w:val="000000"/>
                <w:sz w:val="20"/>
                <w:szCs w:val="20"/>
                <w:u w:val="none"/>
                <w:lang w:val="en-US" w:eastAsia="zh-CN" w:bidi="ar"/>
              </w:rPr>
              <w:br/>
            </w:r>
            <w:r>
              <w:rPr>
                <w:rFonts w:hint="eastAsia" w:asciiTheme="minorEastAsia" w:hAnsiTheme="minorEastAsia" w:eastAsiaTheme="minorEastAsia" w:cstheme="minorEastAsia"/>
                <w:i w:val="0"/>
                <w:iCs w:val="0"/>
                <w:color w:val="000000"/>
                <w:sz w:val="20"/>
                <w:szCs w:val="20"/>
                <w:u w:val="none"/>
                <w:lang w:val="en-US" w:eastAsia="zh-CN" w:bidi="ar"/>
              </w:rPr>
              <w:t xml:space="preserve">3、专业厂家定制安装</w:t>
            </w:r>
            <w:r>
              <w:rPr>
                <w:rFonts w:hint="eastAsia" w:asciiTheme="minorEastAsia" w:hAnsiTheme="minorEastAsia" w:eastAsiaTheme="minorEastAsia" w:cstheme="minorEastAsia"/>
                <w:i w:val="0"/>
                <w:iCs w:val="0"/>
                <w:color w:val="000000"/>
                <w:sz w:val="20"/>
                <w:szCs w:val="20"/>
                <w:u w:val="none"/>
                <w:lang w:val="en-US" w:eastAsia="zh-CN" w:bidi="ar"/>
              </w:rPr>
              <w:br/>
            </w:r>
            <w:r>
              <w:rPr>
                <w:rFonts w:hint="eastAsia" w:asciiTheme="minorEastAsia" w:hAnsiTheme="minorEastAsia" w:eastAsiaTheme="minorEastAsia" w:cstheme="minorEastAsia"/>
                <w:i w:val="0"/>
                <w:iCs w:val="0"/>
                <w:color w:val="000000"/>
                <w:sz w:val="20"/>
                <w:szCs w:val="20"/>
                <w:u w:val="none"/>
                <w:lang w:val="en-US" w:eastAsia="zh-CN" w:bidi="ar"/>
              </w:rPr>
              <w:t xml:space="preserve">4、其他详见图纸要求</w:t>
            </w:r>
            <w:r/>
          </w:p>
        </w:tc>
        <w:tc>
          <w:tcPr>
            <w:shd w:val="clear" w:color="auto" w:fill="auto"/>
            <w:tcW w:w="982" w:type="dxa"/>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lang w:val="en-US" w:eastAsia="zh-CN" w:bidi="ar"/>
              </w:rPr>
              <w:t xml:space="preserve">块</w:t>
            </w:r>
            <w:r/>
          </w:p>
        </w:tc>
        <w:tc>
          <w:tcPr>
            <w:shd w:val="clear" w:color="auto" w:fill="auto"/>
            <w:tcW w:w="971" w:type="dxa"/>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lang w:val="en-US" w:eastAsia="zh-CN" w:bidi="ar"/>
              </w:rPr>
              <w:t xml:space="preserve">4</w:t>
            </w:r>
            <w:r/>
          </w:p>
        </w:tc>
      </w:tr>
      <w:tr>
        <w:trPr>
          <w:trHeight w:val="665"/>
        </w:trPr>
        <w:tc>
          <w:tcPr>
            <w:shd w:val="clear" w:color="auto" w:fill="auto"/>
            <w:tcW w:w="749" w:type="dxa"/>
            <w:vAlign w:val="center"/>
            <w:textDirection w:val="lrTb"/>
            <w:noWrap w:val="false"/>
          </w:tcPr>
          <w:p>
            <w:pPr>
              <w:jc w:val="center"/>
              <w:keepLines w:val="0"/>
              <w:keepNext w:val="0"/>
              <w:widowControl/>
              <w:rPr>
                <w:rFonts w:hint="default" w:asciiTheme="minorEastAsia" w:hAnsiTheme="minorEastAsia" w:eastAsiaTheme="minorEastAsia" w:cstheme="minorEastAsia"/>
                <w:i w:val="0"/>
                <w:iCs w:val="0"/>
                <w:color w:val="000000"/>
                <w:sz w:val="20"/>
                <w:szCs w:val="20"/>
                <w:u w:val="none"/>
                <w:lang w:val="en-US"/>
              </w:rPr>
              <w:suppressLineNumbers w:val="0"/>
            </w:pPr>
            <w:r>
              <w:rPr>
                <w:rFonts w:hint="eastAsia" w:asciiTheme="minorEastAsia" w:hAnsiTheme="minorEastAsia" w:cstheme="minorEastAsia"/>
                <w:i w:val="0"/>
                <w:iCs w:val="0"/>
                <w:color w:val="000000"/>
                <w:sz w:val="20"/>
                <w:szCs w:val="20"/>
                <w:u w:val="none"/>
                <w:lang w:val="en-US" w:eastAsia="zh-CN" w:bidi="ar"/>
              </w:rPr>
              <w:t xml:space="preserve">89</w:t>
            </w:r>
            <w:r/>
          </w:p>
        </w:tc>
        <w:tc>
          <w:tcPr>
            <w:shd w:val="clear" w:color="auto" w:fill="auto"/>
            <w:tcW w:w="1344"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lang w:val="en-US" w:eastAsia="zh-CN" w:bidi="ar"/>
              </w:rPr>
              <w:t xml:space="preserve">孔子问礼雕塑</w:t>
            </w:r>
            <w:r/>
          </w:p>
        </w:tc>
        <w:tc>
          <w:tcPr>
            <w:shd w:val="clear" w:color="auto" w:fill="auto"/>
            <w:tcW w:w="4751"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lang w:val="en-US" w:eastAsia="zh-CN" w:bidi="ar"/>
              </w:rPr>
              <w:t xml:space="preserve">1、名称及材质：铸铜雕塑</w:t>
            </w:r>
            <w:r>
              <w:rPr>
                <w:rFonts w:hint="eastAsia" w:asciiTheme="minorEastAsia" w:hAnsiTheme="minorEastAsia" w:eastAsiaTheme="minorEastAsia" w:cstheme="minorEastAsia"/>
                <w:i w:val="0"/>
                <w:iCs w:val="0"/>
                <w:color w:val="000000"/>
                <w:sz w:val="20"/>
                <w:szCs w:val="20"/>
                <w:u w:val="none"/>
                <w:lang w:val="en-US" w:eastAsia="zh-CN" w:bidi="ar"/>
              </w:rPr>
              <w:br/>
            </w:r>
            <w:r>
              <w:rPr>
                <w:rFonts w:hint="eastAsia" w:asciiTheme="minorEastAsia" w:hAnsiTheme="minorEastAsia" w:eastAsiaTheme="minorEastAsia" w:cstheme="minorEastAsia"/>
                <w:i w:val="0"/>
                <w:iCs w:val="0"/>
                <w:color w:val="000000"/>
                <w:sz w:val="20"/>
                <w:szCs w:val="20"/>
                <w:u w:val="none"/>
                <w:lang w:val="en-US" w:eastAsia="zh-CN" w:bidi="ar"/>
              </w:rPr>
              <w:t xml:space="preserve">2、规格尺寸：详见平立面图</w:t>
            </w:r>
            <w:r>
              <w:rPr>
                <w:rFonts w:hint="eastAsia" w:asciiTheme="minorEastAsia" w:hAnsiTheme="minorEastAsia" w:eastAsiaTheme="minorEastAsia" w:cstheme="minorEastAsia"/>
                <w:i w:val="0"/>
                <w:iCs w:val="0"/>
                <w:color w:val="000000"/>
                <w:sz w:val="20"/>
                <w:szCs w:val="20"/>
                <w:u w:val="none"/>
                <w:lang w:val="en-US" w:eastAsia="zh-CN" w:bidi="ar"/>
              </w:rPr>
              <w:br/>
            </w:r>
            <w:r>
              <w:rPr>
                <w:rFonts w:hint="eastAsia" w:asciiTheme="minorEastAsia" w:hAnsiTheme="minorEastAsia" w:eastAsiaTheme="minorEastAsia" w:cstheme="minorEastAsia"/>
                <w:i w:val="0"/>
                <w:iCs w:val="0"/>
                <w:color w:val="000000"/>
                <w:sz w:val="20"/>
                <w:szCs w:val="20"/>
                <w:u w:val="none"/>
                <w:lang w:val="en-US" w:eastAsia="zh-CN" w:bidi="ar"/>
              </w:rPr>
              <w:t xml:space="preserve">3、由专业厂家定制及安装</w:t>
            </w:r>
            <w:r>
              <w:rPr>
                <w:rFonts w:hint="eastAsia" w:asciiTheme="minorEastAsia" w:hAnsiTheme="minorEastAsia" w:eastAsiaTheme="minorEastAsia" w:cstheme="minorEastAsia"/>
                <w:i w:val="0"/>
                <w:iCs w:val="0"/>
                <w:color w:val="000000"/>
                <w:sz w:val="20"/>
                <w:szCs w:val="20"/>
                <w:u w:val="none"/>
                <w:lang w:val="en-US" w:eastAsia="zh-CN" w:bidi="ar"/>
              </w:rPr>
              <w:br/>
            </w:r>
            <w:r>
              <w:rPr>
                <w:rFonts w:hint="eastAsia" w:asciiTheme="minorEastAsia" w:hAnsiTheme="minorEastAsia" w:eastAsiaTheme="minorEastAsia" w:cstheme="minorEastAsia"/>
                <w:i w:val="0"/>
                <w:iCs w:val="0"/>
                <w:color w:val="000000"/>
                <w:sz w:val="20"/>
                <w:szCs w:val="20"/>
                <w:u w:val="none"/>
                <w:lang w:val="en-US" w:eastAsia="zh-CN" w:bidi="ar"/>
              </w:rPr>
              <w:t xml:space="preserve">4、其他详见图纸要求</w:t>
            </w:r>
            <w:r/>
          </w:p>
        </w:tc>
        <w:tc>
          <w:tcPr>
            <w:shd w:val="clear" w:color="auto" w:fill="auto"/>
            <w:tcW w:w="982" w:type="dxa"/>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lang w:val="en-US" w:eastAsia="zh-CN" w:bidi="ar"/>
              </w:rPr>
              <w:t xml:space="preserve">组</w:t>
            </w:r>
            <w:r/>
          </w:p>
        </w:tc>
        <w:tc>
          <w:tcPr>
            <w:shd w:val="clear" w:color="auto" w:fill="auto"/>
            <w:tcW w:w="971" w:type="dxa"/>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lang w:val="en-US" w:eastAsia="zh-CN" w:bidi="ar"/>
              </w:rPr>
              <w:t xml:space="preserve">1</w:t>
            </w:r>
            <w:r/>
          </w:p>
        </w:tc>
      </w:tr>
      <w:tr>
        <w:trPr>
          <w:trHeight w:val="830"/>
        </w:trPr>
        <w:tc>
          <w:tcPr>
            <w:shd w:val="clear" w:color="auto" w:fill="auto"/>
            <w:tcW w:w="749" w:type="dxa"/>
            <w:vAlign w:val="center"/>
            <w:textDirection w:val="lrTb"/>
            <w:noWrap w:val="false"/>
          </w:tcPr>
          <w:p>
            <w:pPr>
              <w:jc w:val="center"/>
              <w:keepLines w:val="0"/>
              <w:keepNext w:val="0"/>
              <w:widowControl/>
              <w:rPr>
                <w:rFonts w:hint="default" w:asciiTheme="minorEastAsia" w:hAnsiTheme="minorEastAsia" w:eastAsiaTheme="minorEastAsia" w:cstheme="minorEastAsia"/>
                <w:i w:val="0"/>
                <w:iCs w:val="0"/>
                <w:color w:val="000000"/>
                <w:sz w:val="20"/>
                <w:szCs w:val="20"/>
                <w:u w:val="none"/>
                <w:lang w:val="en-US"/>
              </w:rPr>
              <w:suppressLineNumbers w:val="0"/>
            </w:pPr>
            <w:r>
              <w:rPr>
                <w:rFonts w:hint="eastAsia" w:asciiTheme="minorEastAsia" w:hAnsiTheme="minorEastAsia" w:cstheme="minorEastAsia"/>
                <w:i w:val="0"/>
                <w:iCs w:val="0"/>
                <w:color w:val="000000"/>
                <w:sz w:val="20"/>
                <w:szCs w:val="20"/>
                <w:u w:val="none"/>
                <w:lang w:val="en-US" w:eastAsia="zh-CN" w:bidi="ar"/>
              </w:rPr>
              <w:t xml:space="preserve">90</w:t>
            </w:r>
            <w:r/>
          </w:p>
        </w:tc>
        <w:tc>
          <w:tcPr>
            <w:shd w:val="clear" w:color="auto" w:fill="auto"/>
            <w:tcW w:w="1344"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lang w:val="en-US" w:eastAsia="zh-CN" w:bidi="ar"/>
              </w:rPr>
              <w:t xml:space="preserve">不锈钢文字雕塑一</w:t>
            </w:r>
            <w:r/>
          </w:p>
        </w:tc>
        <w:tc>
          <w:tcPr>
            <w:shd w:val="clear" w:color="auto" w:fill="auto"/>
            <w:tcW w:w="4751"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lang w:val="en-US" w:eastAsia="zh-CN" w:bidi="ar"/>
              </w:rPr>
              <w:t xml:space="preserve">1、1.5厚亚光面不锈钢底座及文字</w:t>
            </w:r>
            <w:r>
              <w:rPr>
                <w:rFonts w:hint="eastAsia" w:asciiTheme="minorEastAsia" w:hAnsiTheme="minorEastAsia" w:eastAsiaTheme="minorEastAsia" w:cstheme="minorEastAsia"/>
                <w:i w:val="0"/>
                <w:iCs w:val="0"/>
                <w:color w:val="000000"/>
                <w:sz w:val="20"/>
                <w:szCs w:val="20"/>
                <w:u w:val="none"/>
                <w:lang w:val="en-US" w:eastAsia="zh-CN" w:bidi="ar"/>
              </w:rPr>
              <w:br/>
            </w:r>
            <w:r>
              <w:rPr>
                <w:rFonts w:hint="eastAsia" w:asciiTheme="minorEastAsia" w:hAnsiTheme="minorEastAsia" w:eastAsiaTheme="minorEastAsia" w:cstheme="minorEastAsia"/>
                <w:i w:val="0"/>
                <w:iCs w:val="0"/>
                <w:color w:val="000000"/>
                <w:sz w:val="20"/>
                <w:szCs w:val="20"/>
                <w:u w:val="none"/>
                <w:lang w:val="en-US" w:eastAsia="zh-CN" w:bidi="ar"/>
              </w:rPr>
              <w:t xml:space="preserve">2、不锈钢底座四周与混凝土用玻璃胶、结构胶固定</w:t>
            </w:r>
            <w:r>
              <w:rPr>
                <w:rFonts w:hint="eastAsia" w:asciiTheme="minorEastAsia" w:hAnsiTheme="minorEastAsia" w:eastAsiaTheme="minorEastAsia" w:cstheme="minorEastAsia"/>
                <w:i w:val="0"/>
                <w:iCs w:val="0"/>
                <w:color w:val="000000"/>
                <w:sz w:val="20"/>
                <w:szCs w:val="20"/>
                <w:u w:val="none"/>
                <w:lang w:val="en-US" w:eastAsia="zh-CN" w:bidi="ar"/>
              </w:rPr>
              <w:br/>
            </w:r>
            <w:r>
              <w:rPr>
                <w:rFonts w:hint="eastAsia" w:asciiTheme="minorEastAsia" w:hAnsiTheme="minorEastAsia" w:eastAsiaTheme="minorEastAsia" w:cstheme="minorEastAsia"/>
                <w:i w:val="0"/>
                <w:iCs w:val="0"/>
                <w:color w:val="000000"/>
                <w:sz w:val="20"/>
                <w:szCs w:val="20"/>
                <w:u w:val="none"/>
                <w:lang w:val="en-US" w:eastAsia="zh-CN" w:bidi="ar"/>
              </w:rPr>
              <w:t xml:space="preserve">3、规格尺寸：11500*500*900</w:t>
            </w:r>
            <w:r>
              <w:rPr>
                <w:rFonts w:hint="eastAsia" w:asciiTheme="minorEastAsia" w:hAnsiTheme="minorEastAsia" w:eastAsiaTheme="minorEastAsia" w:cstheme="minorEastAsia"/>
                <w:i w:val="0"/>
                <w:iCs w:val="0"/>
                <w:color w:val="000000"/>
                <w:sz w:val="20"/>
                <w:szCs w:val="20"/>
                <w:u w:val="none"/>
                <w:lang w:val="en-US" w:eastAsia="zh-CN" w:bidi="ar"/>
              </w:rPr>
              <w:br/>
            </w:r>
            <w:r>
              <w:rPr>
                <w:rFonts w:hint="eastAsia" w:asciiTheme="minorEastAsia" w:hAnsiTheme="minorEastAsia" w:eastAsiaTheme="minorEastAsia" w:cstheme="minorEastAsia"/>
                <w:i w:val="0"/>
                <w:iCs w:val="0"/>
                <w:color w:val="000000"/>
                <w:sz w:val="20"/>
                <w:szCs w:val="20"/>
                <w:u w:val="none"/>
                <w:lang w:val="en-US" w:eastAsia="zh-CN" w:bidi="ar"/>
              </w:rPr>
              <w:t xml:space="preserve">4、由专业厂家定制及安装</w:t>
            </w:r>
            <w:r>
              <w:rPr>
                <w:rFonts w:hint="eastAsia" w:asciiTheme="minorEastAsia" w:hAnsiTheme="minorEastAsia" w:eastAsiaTheme="minorEastAsia" w:cstheme="minorEastAsia"/>
                <w:i w:val="0"/>
                <w:iCs w:val="0"/>
                <w:color w:val="000000"/>
                <w:sz w:val="20"/>
                <w:szCs w:val="20"/>
                <w:u w:val="none"/>
                <w:lang w:val="en-US" w:eastAsia="zh-CN" w:bidi="ar"/>
              </w:rPr>
              <w:br/>
            </w:r>
            <w:r>
              <w:rPr>
                <w:rFonts w:hint="eastAsia" w:asciiTheme="minorEastAsia" w:hAnsiTheme="minorEastAsia" w:eastAsiaTheme="minorEastAsia" w:cstheme="minorEastAsia"/>
                <w:i w:val="0"/>
                <w:iCs w:val="0"/>
                <w:color w:val="000000"/>
                <w:sz w:val="20"/>
                <w:szCs w:val="20"/>
                <w:u w:val="none"/>
                <w:lang w:val="en-US" w:eastAsia="zh-CN" w:bidi="ar"/>
              </w:rPr>
              <w:t xml:space="preserve">5、其他详见图纸要求</w:t>
            </w:r>
            <w:r/>
          </w:p>
        </w:tc>
        <w:tc>
          <w:tcPr>
            <w:shd w:val="clear" w:color="auto" w:fill="auto"/>
            <w:tcW w:w="982" w:type="dxa"/>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lang w:val="en-US" w:eastAsia="zh-CN" w:bidi="ar"/>
              </w:rPr>
              <w:t xml:space="preserve">个</w:t>
            </w:r>
            <w:r/>
          </w:p>
        </w:tc>
        <w:tc>
          <w:tcPr>
            <w:shd w:val="clear" w:color="auto" w:fill="auto"/>
            <w:tcW w:w="971" w:type="dxa"/>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lang w:val="en-US" w:eastAsia="zh-CN" w:bidi="ar"/>
              </w:rPr>
              <w:t xml:space="preserve">1</w:t>
            </w:r>
            <w:r/>
          </w:p>
        </w:tc>
      </w:tr>
      <w:tr>
        <w:trPr>
          <w:trHeight w:val="830"/>
        </w:trPr>
        <w:tc>
          <w:tcPr>
            <w:shd w:val="clear" w:color="auto" w:fill="auto"/>
            <w:tcW w:w="749" w:type="dxa"/>
            <w:vAlign w:val="center"/>
            <w:textDirection w:val="lrTb"/>
            <w:noWrap w:val="false"/>
          </w:tcPr>
          <w:p>
            <w:pPr>
              <w:jc w:val="center"/>
              <w:keepLines w:val="0"/>
              <w:keepNext w:val="0"/>
              <w:widowControl/>
              <w:rPr>
                <w:rFonts w:hint="default" w:asciiTheme="minorEastAsia" w:hAnsiTheme="minorEastAsia" w:eastAsiaTheme="minorEastAsia" w:cstheme="minorEastAsia"/>
                <w:i w:val="0"/>
                <w:iCs w:val="0"/>
                <w:color w:val="000000"/>
                <w:sz w:val="20"/>
                <w:szCs w:val="20"/>
                <w:u w:val="none"/>
                <w:lang w:val="en-US"/>
              </w:rPr>
              <w:suppressLineNumbers w:val="0"/>
            </w:pPr>
            <w:r>
              <w:rPr>
                <w:rFonts w:hint="eastAsia" w:asciiTheme="minorEastAsia" w:hAnsiTheme="minorEastAsia" w:cstheme="minorEastAsia"/>
                <w:i w:val="0"/>
                <w:iCs w:val="0"/>
                <w:color w:val="000000"/>
                <w:sz w:val="20"/>
                <w:szCs w:val="20"/>
                <w:u w:val="none"/>
                <w:lang w:val="en-US" w:eastAsia="zh-CN" w:bidi="ar"/>
              </w:rPr>
              <w:t xml:space="preserve">91</w:t>
            </w:r>
            <w:r/>
          </w:p>
        </w:tc>
        <w:tc>
          <w:tcPr>
            <w:shd w:val="clear" w:color="auto" w:fill="auto"/>
            <w:tcW w:w="1344"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lang w:val="en-US" w:eastAsia="zh-CN" w:bidi="ar"/>
              </w:rPr>
              <w:t xml:space="preserve">不锈钢文字雕塑二、三</w:t>
            </w:r>
            <w:r/>
          </w:p>
        </w:tc>
        <w:tc>
          <w:tcPr>
            <w:shd w:val="clear" w:color="auto" w:fill="auto"/>
            <w:tcW w:w="4751"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lang w:val="en-US" w:eastAsia="zh-CN" w:bidi="ar"/>
              </w:rPr>
              <w:t xml:space="preserve">1、1.5厚亚光面不锈钢底座及文字</w:t>
            </w:r>
            <w:r>
              <w:rPr>
                <w:rFonts w:hint="eastAsia" w:asciiTheme="minorEastAsia" w:hAnsiTheme="minorEastAsia" w:eastAsiaTheme="minorEastAsia" w:cstheme="minorEastAsia"/>
                <w:i w:val="0"/>
                <w:iCs w:val="0"/>
                <w:color w:val="000000"/>
                <w:sz w:val="20"/>
                <w:szCs w:val="20"/>
                <w:u w:val="none"/>
                <w:lang w:val="en-US" w:eastAsia="zh-CN" w:bidi="ar"/>
              </w:rPr>
              <w:br/>
            </w:r>
            <w:r>
              <w:rPr>
                <w:rFonts w:hint="eastAsia" w:asciiTheme="minorEastAsia" w:hAnsiTheme="minorEastAsia" w:eastAsiaTheme="minorEastAsia" w:cstheme="minorEastAsia"/>
                <w:i w:val="0"/>
                <w:iCs w:val="0"/>
                <w:color w:val="000000"/>
                <w:sz w:val="20"/>
                <w:szCs w:val="20"/>
                <w:u w:val="none"/>
                <w:lang w:val="en-US" w:eastAsia="zh-CN" w:bidi="ar"/>
              </w:rPr>
              <w:t xml:space="preserve">2、不锈钢底座四周与混凝土用玻璃胶、结构胶固定</w:t>
            </w:r>
            <w:r>
              <w:rPr>
                <w:rFonts w:hint="eastAsia" w:asciiTheme="minorEastAsia" w:hAnsiTheme="minorEastAsia" w:eastAsiaTheme="minorEastAsia" w:cstheme="minorEastAsia"/>
                <w:i w:val="0"/>
                <w:iCs w:val="0"/>
                <w:color w:val="000000"/>
                <w:sz w:val="20"/>
                <w:szCs w:val="20"/>
                <w:u w:val="none"/>
                <w:lang w:val="en-US" w:eastAsia="zh-CN" w:bidi="ar"/>
              </w:rPr>
              <w:br/>
            </w:r>
            <w:r>
              <w:rPr>
                <w:rFonts w:hint="eastAsia" w:asciiTheme="minorEastAsia" w:hAnsiTheme="minorEastAsia" w:eastAsiaTheme="minorEastAsia" w:cstheme="minorEastAsia"/>
                <w:i w:val="0"/>
                <w:iCs w:val="0"/>
                <w:color w:val="000000"/>
                <w:sz w:val="20"/>
                <w:szCs w:val="20"/>
                <w:u w:val="none"/>
                <w:lang w:val="en-US" w:eastAsia="zh-CN" w:bidi="ar"/>
              </w:rPr>
              <w:t xml:space="preserve">3、规格尺寸：5800*500*900</w:t>
            </w:r>
            <w:r>
              <w:rPr>
                <w:rFonts w:hint="eastAsia" w:asciiTheme="minorEastAsia" w:hAnsiTheme="minorEastAsia" w:eastAsiaTheme="minorEastAsia" w:cstheme="minorEastAsia"/>
                <w:i w:val="0"/>
                <w:iCs w:val="0"/>
                <w:color w:val="000000"/>
                <w:sz w:val="20"/>
                <w:szCs w:val="20"/>
                <w:u w:val="none"/>
                <w:lang w:val="en-US" w:eastAsia="zh-CN" w:bidi="ar"/>
              </w:rPr>
              <w:br/>
            </w:r>
            <w:r>
              <w:rPr>
                <w:rFonts w:hint="eastAsia" w:asciiTheme="minorEastAsia" w:hAnsiTheme="minorEastAsia" w:eastAsiaTheme="minorEastAsia" w:cstheme="minorEastAsia"/>
                <w:i w:val="0"/>
                <w:iCs w:val="0"/>
                <w:color w:val="000000"/>
                <w:sz w:val="20"/>
                <w:szCs w:val="20"/>
                <w:u w:val="none"/>
                <w:lang w:val="en-US" w:eastAsia="zh-CN" w:bidi="ar"/>
              </w:rPr>
              <w:t xml:space="preserve">4、由专业厂家定制及安装</w:t>
            </w:r>
            <w:r>
              <w:rPr>
                <w:rFonts w:hint="eastAsia" w:asciiTheme="minorEastAsia" w:hAnsiTheme="minorEastAsia" w:eastAsiaTheme="minorEastAsia" w:cstheme="minorEastAsia"/>
                <w:i w:val="0"/>
                <w:iCs w:val="0"/>
                <w:color w:val="000000"/>
                <w:sz w:val="20"/>
                <w:szCs w:val="20"/>
                <w:u w:val="none"/>
                <w:lang w:val="en-US" w:eastAsia="zh-CN" w:bidi="ar"/>
              </w:rPr>
              <w:br/>
            </w:r>
            <w:r>
              <w:rPr>
                <w:rFonts w:hint="eastAsia" w:asciiTheme="minorEastAsia" w:hAnsiTheme="minorEastAsia" w:eastAsiaTheme="minorEastAsia" w:cstheme="minorEastAsia"/>
                <w:i w:val="0"/>
                <w:iCs w:val="0"/>
                <w:color w:val="000000"/>
                <w:sz w:val="20"/>
                <w:szCs w:val="20"/>
                <w:u w:val="none"/>
                <w:lang w:val="en-US" w:eastAsia="zh-CN" w:bidi="ar"/>
              </w:rPr>
              <w:t xml:space="preserve">5、其他详见图纸要求</w:t>
            </w:r>
            <w:r/>
          </w:p>
        </w:tc>
        <w:tc>
          <w:tcPr>
            <w:shd w:val="clear" w:color="auto" w:fill="auto"/>
            <w:tcW w:w="982" w:type="dxa"/>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lang w:val="en-US" w:eastAsia="zh-CN" w:bidi="ar"/>
              </w:rPr>
              <w:t xml:space="preserve">个</w:t>
            </w:r>
            <w:r/>
          </w:p>
        </w:tc>
        <w:tc>
          <w:tcPr>
            <w:shd w:val="clear" w:color="auto" w:fill="auto"/>
            <w:tcW w:w="971" w:type="dxa"/>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lang w:val="en-US" w:eastAsia="zh-CN" w:bidi="ar"/>
              </w:rPr>
              <w:t xml:space="preserve">2</w:t>
            </w:r>
            <w:r/>
          </w:p>
        </w:tc>
      </w:tr>
      <w:tr>
        <w:trPr>
          <w:trHeight w:val="830"/>
        </w:trPr>
        <w:tc>
          <w:tcPr>
            <w:shd w:val="clear" w:color="auto" w:fill="auto"/>
            <w:tcW w:w="749" w:type="dxa"/>
            <w:vAlign w:val="center"/>
            <w:textDirection w:val="lrTb"/>
            <w:noWrap w:val="false"/>
          </w:tcPr>
          <w:p>
            <w:pPr>
              <w:jc w:val="center"/>
              <w:keepLines w:val="0"/>
              <w:keepNext w:val="0"/>
              <w:widowControl/>
              <w:rPr>
                <w:rFonts w:hint="default" w:asciiTheme="minorEastAsia" w:hAnsiTheme="minorEastAsia" w:eastAsiaTheme="minorEastAsia" w:cstheme="minorEastAsia"/>
                <w:i w:val="0"/>
                <w:iCs w:val="0"/>
                <w:color w:val="000000"/>
                <w:sz w:val="20"/>
                <w:szCs w:val="20"/>
                <w:u w:val="none"/>
                <w:lang w:val="en-US"/>
              </w:rPr>
              <w:suppressLineNumbers w:val="0"/>
            </w:pPr>
            <w:r>
              <w:rPr>
                <w:rFonts w:hint="eastAsia" w:asciiTheme="minorEastAsia" w:hAnsiTheme="minorEastAsia" w:cstheme="minorEastAsia"/>
                <w:i w:val="0"/>
                <w:iCs w:val="0"/>
                <w:color w:val="000000"/>
                <w:sz w:val="20"/>
                <w:szCs w:val="20"/>
                <w:u w:val="none"/>
                <w:lang w:val="en-US" w:eastAsia="zh-CN" w:bidi="ar"/>
              </w:rPr>
              <w:t xml:space="preserve">92</w:t>
            </w:r>
            <w:r/>
          </w:p>
        </w:tc>
        <w:tc>
          <w:tcPr>
            <w:shd w:val="clear" w:color="auto" w:fill="auto"/>
            <w:tcW w:w="1344"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lang w:val="en-US" w:eastAsia="zh-CN" w:bidi="ar"/>
              </w:rPr>
              <w:t xml:space="preserve">不锈钢文字雕塑四</w:t>
            </w:r>
            <w:r/>
          </w:p>
        </w:tc>
        <w:tc>
          <w:tcPr>
            <w:shd w:val="clear" w:color="auto" w:fill="auto"/>
            <w:tcW w:w="4751"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lang w:val="en-US" w:eastAsia="zh-CN" w:bidi="ar"/>
              </w:rPr>
              <w:t xml:space="preserve">1、1.5厚亚光面不锈钢底座及文字</w:t>
            </w:r>
            <w:r>
              <w:rPr>
                <w:rFonts w:hint="eastAsia" w:asciiTheme="minorEastAsia" w:hAnsiTheme="minorEastAsia" w:eastAsiaTheme="minorEastAsia" w:cstheme="minorEastAsia"/>
                <w:i w:val="0"/>
                <w:iCs w:val="0"/>
                <w:color w:val="000000"/>
                <w:sz w:val="20"/>
                <w:szCs w:val="20"/>
                <w:u w:val="none"/>
                <w:lang w:val="en-US" w:eastAsia="zh-CN" w:bidi="ar"/>
              </w:rPr>
              <w:br/>
            </w:r>
            <w:r>
              <w:rPr>
                <w:rFonts w:hint="eastAsia" w:asciiTheme="minorEastAsia" w:hAnsiTheme="minorEastAsia" w:eastAsiaTheme="minorEastAsia" w:cstheme="minorEastAsia"/>
                <w:i w:val="0"/>
                <w:iCs w:val="0"/>
                <w:color w:val="000000"/>
                <w:sz w:val="20"/>
                <w:szCs w:val="20"/>
                <w:u w:val="none"/>
                <w:lang w:val="en-US" w:eastAsia="zh-CN" w:bidi="ar"/>
              </w:rPr>
              <w:t xml:space="preserve">2、不锈钢底座四周与混凝土用玻璃胶、结构胶固定</w:t>
            </w:r>
            <w:r>
              <w:rPr>
                <w:rFonts w:hint="eastAsia" w:asciiTheme="minorEastAsia" w:hAnsiTheme="minorEastAsia" w:eastAsiaTheme="minorEastAsia" w:cstheme="minorEastAsia"/>
                <w:i w:val="0"/>
                <w:iCs w:val="0"/>
                <w:color w:val="000000"/>
                <w:sz w:val="20"/>
                <w:szCs w:val="20"/>
                <w:u w:val="none"/>
                <w:lang w:val="en-US" w:eastAsia="zh-CN" w:bidi="ar"/>
              </w:rPr>
              <w:br/>
            </w:r>
            <w:r>
              <w:rPr>
                <w:rFonts w:hint="eastAsia" w:asciiTheme="minorEastAsia" w:hAnsiTheme="minorEastAsia" w:eastAsiaTheme="minorEastAsia" w:cstheme="minorEastAsia"/>
                <w:i w:val="0"/>
                <w:iCs w:val="0"/>
                <w:color w:val="000000"/>
                <w:sz w:val="20"/>
                <w:szCs w:val="20"/>
                <w:u w:val="none"/>
                <w:lang w:val="en-US" w:eastAsia="zh-CN" w:bidi="ar"/>
              </w:rPr>
              <w:t xml:space="preserve">3、规格尺寸：5800*500*880</w:t>
            </w:r>
            <w:r>
              <w:rPr>
                <w:rFonts w:hint="eastAsia" w:asciiTheme="minorEastAsia" w:hAnsiTheme="minorEastAsia" w:eastAsiaTheme="minorEastAsia" w:cstheme="minorEastAsia"/>
                <w:i w:val="0"/>
                <w:iCs w:val="0"/>
                <w:color w:val="000000"/>
                <w:sz w:val="20"/>
                <w:szCs w:val="20"/>
                <w:u w:val="none"/>
                <w:lang w:val="en-US" w:eastAsia="zh-CN" w:bidi="ar"/>
              </w:rPr>
              <w:br/>
            </w:r>
            <w:r>
              <w:rPr>
                <w:rFonts w:hint="eastAsia" w:asciiTheme="minorEastAsia" w:hAnsiTheme="minorEastAsia" w:eastAsiaTheme="minorEastAsia" w:cstheme="minorEastAsia"/>
                <w:i w:val="0"/>
                <w:iCs w:val="0"/>
                <w:color w:val="000000"/>
                <w:sz w:val="20"/>
                <w:szCs w:val="20"/>
                <w:u w:val="none"/>
                <w:lang w:val="en-US" w:eastAsia="zh-CN" w:bidi="ar"/>
              </w:rPr>
              <w:t xml:space="preserve">4、由专业厂家定制及安装</w:t>
            </w:r>
            <w:r>
              <w:rPr>
                <w:rFonts w:hint="eastAsia" w:asciiTheme="minorEastAsia" w:hAnsiTheme="minorEastAsia" w:eastAsiaTheme="minorEastAsia" w:cstheme="minorEastAsia"/>
                <w:i w:val="0"/>
                <w:iCs w:val="0"/>
                <w:color w:val="000000"/>
                <w:sz w:val="20"/>
                <w:szCs w:val="20"/>
                <w:u w:val="none"/>
                <w:lang w:val="en-US" w:eastAsia="zh-CN" w:bidi="ar"/>
              </w:rPr>
              <w:br/>
            </w:r>
            <w:r>
              <w:rPr>
                <w:rFonts w:hint="eastAsia" w:asciiTheme="minorEastAsia" w:hAnsiTheme="minorEastAsia" w:eastAsiaTheme="minorEastAsia" w:cstheme="minorEastAsia"/>
                <w:i w:val="0"/>
                <w:iCs w:val="0"/>
                <w:color w:val="000000"/>
                <w:sz w:val="20"/>
                <w:szCs w:val="20"/>
                <w:u w:val="none"/>
                <w:lang w:val="en-US" w:eastAsia="zh-CN" w:bidi="ar"/>
              </w:rPr>
              <w:t xml:space="preserve">5、其他详见图纸要求</w:t>
            </w:r>
            <w:r/>
          </w:p>
        </w:tc>
        <w:tc>
          <w:tcPr>
            <w:shd w:val="clear" w:color="auto" w:fill="auto"/>
            <w:tcW w:w="982" w:type="dxa"/>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lang w:val="en-US" w:eastAsia="zh-CN" w:bidi="ar"/>
              </w:rPr>
              <w:t xml:space="preserve">个</w:t>
            </w:r>
            <w:r/>
          </w:p>
        </w:tc>
        <w:tc>
          <w:tcPr>
            <w:shd w:val="clear" w:color="auto" w:fill="auto"/>
            <w:tcW w:w="971" w:type="dxa"/>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lang w:val="en-US" w:eastAsia="zh-CN" w:bidi="ar"/>
              </w:rPr>
              <w:t xml:space="preserve">1</w:t>
            </w:r>
            <w:r/>
          </w:p>
        </w:tc>
      </w:tr>
      <w:tr>
        <w:trPr>
          <w:trHeight w:val="995"/>
        </w:trPr>
        <w:tc>
          <w:tcPr>
            <w:shd w:val="clear" w:color="auto" w:fill="auto"/>
            <w:tcW w:w="749" w:type="dxa"/>
            <w:vAlign w:val="center"/>
            <w:textDirection w:val="lrTb"/>
            <w:noWrap w:val="false"/>
          </w:tcPr>
          <w:p>
            <w:pPr>
              <w:jc w:val="center"/>
              <w:keepLines w:val="0"/>
              <w:keepNext w:val="0"/>
              <w:widowControl/>
              <w:rPr>
                <w:rFonts w:hint="default" w:asciiTheme="minorEastAsia" w:hAnsiTheme="minorEastAsia" w:eastAsiaTheme="minorEastAsia" w:cstheme="minorEastAsia"/>
                <w:i w:val="0"/>
                <w:iCs w:val="0"/>
                <w:color w:val="000000"/>
                <w:sz w:val="20"/>
                <w:szCs w:val="20"/>
                <w:u w:val="none"/>
                <w:lang w:val="en-US"/>
              </w:rPr>
              <w:suppressLineNumbers w:val="0"/>
            </w:pPr>
            <w:r>
              <w:rPr>
                <w:rFonts w:hint="eastAsia" w:asciiTheme="minorEastAsia" w:hAnsiTheme="minorEastAsia" w:cstheme="minorEastAsia"/>
                <w:i w:val="0"/>
                <w:iCs w:val="0"/>
                <w:color w:val="000000"/>
                <w:sz w:val="20"/>
                <w:szCs w:val="20"/>
                <w:u w:val="none"/>
                <w:lang w:val="en-US" w:eastAsia="zh-CN" w:bidi="ar"/>
              </w:rPr>
              <w:t xml:space="preserve">93</w:t>
            </w:r>
            <w:r/>
          </w:p>
        </w:tc>
        <w:tc>
          <w:tcPr>
            <w:shd w:val="clear" w:color="auto" w:fill="auto"/>
            <w:tcW w:w="1344"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lang w:val="en-US" w:eastAsia="zh-CN" w:bidi="ar"/>
              </w:rPr>
              <w:t xml:space="preserve">水纹不锈钢小品</w:t>
            </w:r>
            <w:r/>
          </w:p>
        </w:tc>
        <w:tc>
          <w:tcPr>
            <w:shd w:val="clear" w:color="auto" w:fill="auto"/>
            <w:tcW w:w="4751"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lang w:val="en-US" w:eastAsia="zh-CN" w:bidi="ar"/>
              </w:rPr>
              <w:t xml:space="preserve">1、规格尺寸：4圈5厚亚光面不锈钢片裁剪成片加工成环</w:t>
            </w:r>
            <w:r>
              <w:rPr>
                <w:rFonts w:hint="eastAsia" w:asciiTheme="minorEastAsia" w:hAnsiTheme="minorEastAsia" w:eastAsiaTheme="minorEastAsia" w:cstheme="minorEastAsia"/>
                <w:i w:val="0"/>
                <w:iCs w:val="0"/>
                <w:color w:val="000000"/>
                <w:sz w:val="20"/>
                <w:szCs w:val="20"/>
                <w:u w:val="none"/>
                <w:lang w:val="en-US" w:eastAsia="zh-CN" w:bidi="ar"/>
              </w:rPr>
              <w:br/>
            </w:r>
            <w:r>
              <w:rPr>
                <w:rFonts w:hint="eastAsia" w:asciiTheme="minorEastAsia" w:hAnsiTheme="minorEastAsia" w:eastAsiaTheme="minorEastAsia" w:cstheme="minorEastAsia"/>
                <w:i w:val="0"/>
                <w:iCs w:val="0"/>
                <w:color w:val="000000"/>
                <w:sz w:val="20"/>
                <w:szCs w:val="20"/>
                <w:u w:val="none"/>
                <w:lang w:val="en-US" w:eastAsia="zh-CN" w:bidi="ar"/>
              </w:rPr>
              <w:t xml:space="preserve">2、320*120*5厚不锈钢板底座</w:t>
            </w:r>
            <w:r>
              <w:rPr>
                <w:rFonts w:hint="eastAsia" w:asciiTheme="minorEastAsia" w:hAnsiTheme="minorEastAsia" w:eastAsiaTheme="minorEastAsia" w:cstheme="minorEastAsia"/>
                <w:i w:val="0"/>
                <w:iCs w:val="0"/>
                <w:color w:val="000000"/>
                <w:sz w:val="20"/>
                <w:szCs w:val="20"/>
                <w:u w:val="none"/>
                <w:lang w:val="en-US" w:eastAsia="zh-CN" w:bidi="ar"/>
              </w:rPr>
              <w:br/>
            </w:r>
            <w:r>
              <w:rPr>
                <w:rFonts w:hint="eastAsia" w:asciiTheme="minorEastAsia" w:hAnsiTheme="minorEastAsia" w:eastAsiaTheme="minorEastAsia" w:cstheme="minorEastAsia"/>
                <w:i w:val="0"/>
                <w:iCs w:val="0"/>
                <w:color w:val="000000"/>
                <w:sz w:val="20"/>
                <w:szCs w:val="20"/>
                <w:u w:val="none"/>
                <w:lang w:val="en-US" w:eastAsia="zh-CN" w:bidi="ar"/>
              </w:rPr>
              <w:t xml:space="preserve">3、尺寸大小详见节点大样</w:t>
            </w:r>
            <w:r>
              <w:rPr>
                <w:rFonts w:hint="eastAsia" w:asciiTheme="minorEastAsia" w:hAnsiTheme="minorEastAsia" w:eastAsiaTheme="minorEastAsia" w:cstheme="minorEastAsia"/>
                <w:i w:val="0"/>
                <w:iCs w:val="0"/>
                <w:color w:val="000000"/>
                <w:sz w:val="20"/>
                <w:szCs w:val="20"/>
                <w:u w:val="none"/>
                <w:lang w:val="en-US" w:eastAsia="zh-CN" w:bidi="ar"/>
              </w:rPr>
              <w:br/>
            </w:r>
            <w:r>
              <w:rPr>
                <w:rFonts w:hint="eastAsia" w:asciiTheme="minorEastAsia" w:hAnsiTheme="minorEastAsia" w:eastAsiaTheme="minorEastAsia" w:cstheme="minorEastAsia"/>
                <w:i w:val="0"/>
                <w:iCs w:val="0"/>
                <w:color w:val="000000"/>
                <w:sz w:val="20"/>
                <w:szCs w:val="20"/>
                <w:u w:val="none"/>
                <w:lang w:val="en-US" w:eastAsia="zh-CN" w:bidi="ar"/>
              </w:rPr>
              <w:t xml:space="preserve">4、由专业厂家定制及安装</w:t>
            </w:r>
            <w:r>
              <w:rPr>
                <w:rFonts w:hint="eastAsia" w:asciiTheme="minorEastAsia" w:hAnsiTheme="minorEastAsia" w:eastAsiaTheme="minorEastAsia" w:cstheme="minorEastAsia"/>
                <w:i w:val="0"/>
                <w:iCs w:val="0"/>
                <w:color w:val="000000"/>
                <w:sz w:val="20"/>
                <w:szCs w:val="20"/>
                <w:u w:val="none"/>
                <w:lang w:val="en-US" w:eastAsia="zh-CN" w:bidi="ar"/>
              </w:rPr>
              <w:br/>
            </w:r>
            <w:r>
              <w:rPr>
                <w:rFonts w:hint="eastAsia" w:asciiTheme="minorEastAsia" w:hAnsiTheme="minorEastAsia" w:eastAsiaTheme="minorEastAsia" w:cstheme="minorEastAsia"/>
                <w:i w:val="0"/>
                <w:iCs w:val="0"/>
                <w:color w:val="000000"/>
                <w:sz w:val="20"/>
                <w:szCs w:val="20"/>
                <w:u w:val="none"/>
                <w:lang w:val="en-US" w:eastAsia="zh-CN" w:bidi="ar"/>
              </w:rPr>
              <w:t xml:space="preserve">5、其他详见图纸要求</w:t>
            </w:r>
            <w:r/>
          </w:p>
        </w:tc>
        <w:tc>
          <w:tcPr>
            <w:shd w:val="clear" w:color="auto" w:fill="auto"/>
            <w:tcW w:w="982" w:type="dxa"/>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lang w:val="en-US" w:eastAsia="zh-CN" w:bidi="ar"/>
              </w:rPr>
              <w:t xml:space="preserve">个</w:t>
            </w:r>
            <w:r/>
          </w:p>
        </w:tc>
        <w:tc>
          <w:tcPr>
            <w:shd w:val="clear" w:color="auto" w:fill="auto"/>
            <w:tcW w:w="971" w:type="dxa"/>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lang w:val="en-US" w:eastAsia="zh-CN" w:bidi="ar"/>
              </w:rPr>
              <w:t xml:space="preserve">4</w:t>
            </w:r>
            <w:r/>
          </w:p>
        </w:tc>
      </w:tr>
      <w:tr>
        <w:trPr>
          <w:trHeight w:val="500"/>
        </w:trPr>
        <w:tc>
          <w:tcPr>
            <w:shd w:val="clear" w:color="auto" w:fill="auto"/>
            <w:tcW w:w="749" w:type="dxa"/>
            <w:vAlign w:val="center"/>
            <w:textDirection w:val="lrTb"/>
            <w:noWrap w:val="false"/>
          </w:tcPr>
          <w:p>
            <w:pPr>
              <w:jc w:val="center"/>
              <w:keepLines w:val="0"/>
              <w:keepNext w:val="0"/>
              <w:widowControl/>
              <w:rPr>
                <w:rFonts w:hint="default" w:asciiTheme="minorEastAsia" w:hAnsiTheme="minorEastAsia" w:eastAsiaTheme="minorEastAsia" w:cstheme="minorEastAsia"/>
                <w:i w:val="0"/>
                <w:iCs w:val="0"/>
                <w:color w:val="000000"/>
                <w:sz w:val="20"/>
                <w:szCs w:val="20"/>
                <w:u w:val="none"/>
                <w:lang w:val="en-US"/>
              </w:rPr>
              <w:suppressLineNumbers w:val="0"/>
            </w:pPr>
            <w:r>
              <w:rPr>
                <w:rFonts w:hint="eastAsia" w:asciiTheme="minorEastAsia" w:hAnsiTheme="minorEastAsia" w:cstheme="minorEastAsia"/>
                <w:i w:val="0"/>
                <w:iCs w:val="0"/>
                <w:color w:val="000000"/>
                <w:sz w:val="20"/>
                <w:szCs w:val="20"/>
                <w:u w:val="none"/>
                <w:lang w:val="en-US" w:eastAsia="zh-CN" w:bidi="ar"/>
              </w:rPr>
              <w:t xml:space="preserve">94</w:t>
            </w:r>
            <w:r/>
          </w:p>
        </w:tc>
        <w:tc>
          <w:tcPr>
            <w:shd w:val="clear" w:color="auto" w:fill="auto"/>
            <w:tcW w:w="1344"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lang w:val="en-US" w:eastAsia="zh-CN" w:bidi="ar"/>
              </w:rPr>
              <w:t xml:space="preserve">沉思者雕塑</w:t>
            </w:r>
            <w:r/>
          </w:p>
        </w:tc>
        <w:tc>
          <w:tcPr>
            <w:shd w:val="clear" w:color="auto" w:fill="auto"/>
            <w:tcW w:w="4751"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lang w:val="en-US" w:eastAsia="zh-CN" w:bidi="ar"/>
              </w:rPr>
              <w:t xml:space="preserve">1、名称及材质：15厚耐候钢沉思者雕塑</w:t>
            </w:r>
            <w:r>
              <w:rPr>
                <w:rFonts w:hint="eastAsia" w:asciiTheme="minorEastAsia" w:hAnsiTheme="minorEastAsia" w:eastAsiaTheme="minorEastAsia" w:cstheme="minorEastAsia"/>
                <w:i w:val="0"/>
                <w:iCs w:val="0"/>
                <w:color w:val="000000"/>
                <w:sz w:val="20"/>
                <w:szCs w:val="20"/>
                <w:u w:val="none"/>
                <w:lang w:val="en-US" w:eastAsia="zh-CN" w:bidi="ar"/>
              </w:rPr>
              <w:br/>
            </w:r>
            <w:r>
              <w:rPr>
                <w:rFonts w:hint="eastAsia" w:asciiTheme="minorEastAsia" w:hAnsiTheme="minorEastAsia" w:eastAsiaTheme="minorEastAsia" w:cstheme="minorEastAsia"/>
                <w:i w:val="0"/>
                <w:iCs w:val="0"/>
                <w:color w:val="000000"/>
                <w:sz w:val="20"/>
                <w:szCs w:val="20"/>
                <w:u w:val="none"/>
                <w:lang w:val="en-US" w:eastAsia="zh-CN" w:bidi="ar"/>
              </w:rPr>
              <w:t xml:space="preserve">2、干挂石材基座及基础已另计</w:t>
            </w:r>
            <w:r>
              <w:rPr>
                <w:rFonts w:hint="eastAsia" w:asciiTheme="minorEastAsia" w:hAnsiTheme="minorEastAsia" w:eastAsiaTheme="minorEastAsia" w:cstheme="minorEastAsia"/>
                <w:i w:val="0"/>
                <w:iCs w:val="0"/>
                <w:color w:val="000000"/>
                <w:sz w:val="20"/>
                <w:szCs w:val="20"/>
                <w:u w:val="none"/>
                <w:lang w:val="en-US" w:eastAsia="zh-CN" w:bidi="ar"/>
              </w:rPr>
              <w:br/>
            </w:r>
            <w:r>
              <w:rPr>
                <w:rFonts w:hint="eastAsia" w:asciiTheme="minorEastAsia" w:hAnsiTheme="minorEastAsia" w:eastAsiaTheme="minorEastAsia" w:cstheme="minorEastAsia"/>
                <w:i w:val="0"/>
                <w:iCs w:val="0"/>
                <w:color w:val="000000"/>
                <w:sz w:val="20"/>
                <w:szCs w:val="20"/>
                <w:u w:val="none"/>
                <w:lang w:val="en-US" w:eastAsia="zh-CN" w:bidi="ar"/>
              </w:rPr>
              <w:t xml:space="preserve">3、由专业厂家二次深化设计</w:t>
            </w:r>
            <w:r>
              <w:rPr>
                <w:rFonts w:hint="eastAsia" w:asciiTheme="minorEastAsia" w:hAnsiTheme="minorEastAsia" w:eastAsiaTheme="minorEastAsia" w:cstheme="minorEastAsia"/>
                <w:i w:val="0"/>
                <w:iCs w:val="0"/>
                <w:color w:val="000000"/>
                <w:sz w:val="20"/>
                <w:szCs w:val="20"/>
                <w:u w:val="none"/>
                <w:lang w:val="en-US" w:eastAsia="zh-CN" w:bidi="ar"/>
              </w:rPr>
              <w:br/>
            </w:r>
            <w:r>
              <w:rPr>
                <w:rFonts w:hint="eastAsia" w:asciiTheme="minorEastAsia" w:hAnsiTheme="minorEastAsia" w:eastAsiaTheme="minorEastAsia" w:cstheme="minorEastAsia"/>
                <w:i w:val="0"/>
                <w:iCs w:val="0"/>
                <w:color w:val="000000"/>
                <w:sz w:val="20"/>
                <w:szCs w:val="20"/>
                <w:u w:val="none"/>
                <w:lang w:val="en-US" w:eastAsia="zh-CN" w:bidi="ar"/>
              </w:rPr>
              <w:t xml:space="preserve">4、其他详见图纸要求</w:t>
            </w:r>
            <w:r/>
          </w:p>
        </w:tc>
        <w:tc>
          <w:tcPr>
            <w:shd w:val="clear" w:color="auto" w:fill="auto"/>
            <w:tcW w:w="982" w:type="dxa"/>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lang w:val="en-US" w:eastAsia="zh-CN" w:bidi="ar"/>
              </w:rPr>
              <w:t xml:space="preserve">座</w:t>
            </w:r>
            <w:r/>
          </w:p>
        </w:tc>
        <w:tc>
          <w:tcPr>
            <w:shd w:val="clear" w:color="auto" w:fill="auto"/>
            <w:tcW w:w="971" w:type="dxa"/>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lang w:val="en-US" w:eastAsia="zh-CN" w:bidi="ar"/>
              </w:rPr>
              <w:t xml:space="preserve">1</w:t>
            </w:r>
            <w:r/>
          </w:p>
        </w:tc>
      </w:tr>
      <w:tr>
        <w:trPr>
          <w:trHeight w:val="500"/>
        </w:trPr>
        <w:tc>
          <w:tcPr>
            <w:shd w:val="clear" w:color="auto" w:fill="auto"/>
            <w:tcW w:w="749" w:type="dxa"/>
            <w:vAlign w:val="center"/>
            <w:textDirection w:val="lrTb"/>
            <w:noWrap w:val="false"/>
          </w:tcPr>
          <w:p>
            <w:pPr>
              <w:jc w:val="center"/>
              <w:keepLines w:val="0"/>
              <w:keepNext w:val="0"/>
              <w:widowControl/>
              <w:rPr>
                <w:rFonts w:hint="default" w:asciiTheme="minorEastAsia" w:hAnsiTheme="minorEastAsia" w:eastAsiaTheme="minorEastAsia" w:cstheme="minorEastAsia"/>
                <w:i w:val="0"/>
                <w:iCs w:val="0"/>
                <w:color w:val="000000"/>
                <w:sz w:val="20"/>
                <w:szCs w:val="20"/>
                <w:u w:val="none"/>
                <w:lang w:val="en-US"/>
              </w:rPr>
              <w:suppressLineNumbers w:val="0"/>
            </w:pPr>
            <w:r>
              <w:rPr>
                <w:rFonts w:hint="eastAsia" w:asciiTheme="minorEastAsia" w:hAnsiTheme="minorEastAsia" w:cstheme="minorEastAsia"/>
                <w:i w:val="0"/>
                <w:iCs w:val="0"/>
                <w:color w:val="000000"/>
                <w:sz w:val="20"/>
                <w:szCs w:val="20"/>
                <w:u w:val="none"/>
                <w:lang w:val="en-US" w:eastAsia="zh-CN" w:bidi="ar"/>
              </w:rPr>
              <w:t xml:space="preserve">95</w:t>
            </w:r>
            <w:r/>
          </w:p>
        </w:tc>
        <w:tc>
          <w:tcPr>
            <w:shd w:val="clear" w:color="auto" w:fill="auto"/>
            <w:tcW w:w="1344"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lang w:val="en-US" w:eastAsia="zh-CN" w:bidi="ar"/>
              </w:rPr>
              <w:t xml:space="preserve">点风景石1</w:t>
            </w:r>
            <w:r/>
          </w:p>
        </w:tc>
        <w:tc>
          <w:tcPr>
            <w:shd w:val="clear" w:color="auto" w:fill="auto"/>
            <w:tcW w:w="4751"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lang w:val="en-US" w:eastAsia="zh-CN" w:bidi="ar"/>
              </w:rPr>
              <w:t xml:space="preserve">1、景观置石</w:t>
            </w:r>
            <w:r>
              <w:rPr>
                <w:rFonts w:hint="eastAsia" w:asciiTheme="minorEastAsia" w:hAnsiTheme="minorEastAsia" w:eastAsiaTheme="minorEastAsia" w:cstheme="minorEastAsia"/>
                <w:i w:val="0"/>
                <w:iCs w:val="0"/>
                <w:color w:val="000000"/>
                <w:sz w:val="20"/>
                <w:szCs w:val="20"/>
                <w:u w:val="none"/>
                <w:lang w:val="en-US" w:eastAsia="zh-CN" w:bidi="ar"/>
              </w:rPr>
              <w:br/>
            </w:r>
            <w:r>
              <w:rPr>
                <w:rFonts w:hint="eastAsia" w:asciiTheme="minorEastAsia" w:hAnsiTheme="minorEastAsia" w:eastAsiaTheme="minorEastAsia" w:cstheme="minorEastAsia"/>
                <w:i w:val="0"/>
                <w:iCs w:val="0"/>
                <w:color w:val="000000"/>
                <w:sz w:val="20"/>
                <w:szCs w:val="20"/>
                <w:u w:val="none"/>
                <w:lang w:val="en-US" w:eastAsia="zh-CN" w:bidi="ar"/>
              </w:rPr>
              <w:t xml:space="preserve">2、布置方式详见节点TY-01~节点9</w:t>
            </w:r>
            <w:r>
              <w:rPr>
                <w:rFonts w:hint="eastAsia" w:asciiTheme="minorEastAsia" w:hAnsiTheme="minorEastAsia" w:eastAsiaTheme="minorEastAsia" w:cstheme="minorEastAsia"/>
                <w:i w:val="0"/>
                <w:iCs w:val="0"/>
                <w:color w:val="000000"/>
                <w:sz w:val="20"/>
                <w:szCs w:val="20"/>
                <w:u w:val="none"/>
                <w:lang w:val="en-US" w:eastAsia="zh-CN" w:bidi="ar"/>
              </w:rPr>
              <w:br/>
            </w:r>
            <w:r>
              <w:rPr>
                <w:rFonts w:hint="eastAsia" w:asciiTheme="minorEastAsia" w:hAnsiTheme="minorEastAsia" w:eastAsiaTheme="minorEastAsia" w:cstheme="minorEastAsia"/>
                <w:i w:val="0"/>
                <w:iCs w:val="0"/>
                <w:color w:val="000000"/>
                <w:sz w:val="20"/>
                <w:szCs w:val="20"/>
                <w:u w:val="none"/>
                <w:lang w:val="en-US" w:eastAsia="zh-CN" w:bidi="ar"/>
              </w:rPr>
              <w:t xml:space="preserve">3、其他详见图纸要求</w:t>
            </w:r>
            <w:r/>
          </w:p>
        </w:tc>
        <w:tc>
          <w:tcPr>
            <w:shd w:val="clear" w:color="auto" w:fill="auto"/>
            <w:tcW w:w="982" w:type="dxa"/>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lang w:val="en-US" w:eastAsia="zh-CN" w:bidi="ar"/>
              </w:rPr>
              <w:t xml:space="preserve">t</w:t>
            </w:r>
            <w:r/>
          </w:p>
        </w:tc>
        <w:tc>
          <w:tcPr>
            <w:shd w:val="clear" w:color="auto" w:fill="auto"/>
            <w:tcW w:w="971" w:type="dxa"/>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lang w:val="en-US" w:eastAsia="zh-CN" w:bidi="ar"/>
              </w:rPr>
              <w:t xml:space="preserve">12.08</w:t>
            </w:r>
            <w:r/>
          </w:p>
        </w:tc>
      </w:tr>
      <w:tr>
        <w:trPr>
          <w:trHeight w:val="665"/>
        </w:trPr>
        <w:tc>
          <w:tcPr>
            <w:shd w:val="clear" w:color="auto" w:fill="auto"/>
            <w:tcW w:w="749" w:type="dxa"/>
            <w:vAlign w:val="center"/>
            <w:textDirection w:val="lrTb"/>
            <w:noWrap w:val="false"/>
          </w:tcPr>
          <w:p>
            <w:pPr>
              <w:jc w:val="center"/>
              <w:keepLines w:val="0"/>
              <w:keepNext w:val="0"/>
              <w:widowControl/>
              <w:rPr>
                <w:rFonts w:hint="default" w:asciiTheme="minorEastAsia" w:hAnsiTheme="minorEastAsia" w:eastAsiaTheme="minorEastAsia" w:cstheme="minorEastAsia"/>
                <w:i w:val="0"/>
                <w:iCs w:val="0"/>
                <w:color w:val="000000"/>
                <w:sz w:val="20"/>
                <w:szCs w:val="20"/>
                <w:u w:val="none"/>
                <w:lang w:val="en-US"/>
              </w:rPr>
              <w:suppressLineNumbers w:val="0"/>
            </w:pPr>
            <w:r>
              <w:rPr>
                <w:rFonts w:hint="eastAsia" w:asciiTheme="minorEastAsia" w:hAnsiTheme="minorEastAsia" w:cstheme="minorEastAsia"/>
                <w:i w:val="0"/>
                <w:iCs w:val="0"/>
                <w:color w:val="000000"/>
                <w:sz w:val="20"/>
                <w:szCs w:val="20"/>
                <w:u w:val="none"/>
                <w:lang w:val="en-US" w:eastAsia="zh-CN" w:bidi="ar"/>
              </w:rPr>
              <w:t xml:space="preserve">96</w:t>
            </w:r>
            <w:r/>
          </w:p>
        </w:tc>
        <w:tc>
          <w:tcPr>
            <w:shd w:val="clear" w:color="auto" w:fill="auto"/>
            <w:tcW w:w="1344"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lang w:val="en-US" w:eastAsia="zh-CN" w:bidi="ar"/>
              </w:rPr>
              <w:t xml:space="preserve">水钵一</w:t>
            </w:r>
            <w:r/>
          </w:p>
        </w:tc>
        <w:tc>
          <w:tcPr>
            <w:shd w:val="clear" w:color="auto" w:fill="auto"/>
            <w:tcW w:w="4751"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lang w:val="en-US" w:eastAsia="zh-CN" w:bidi="ar"/>
              </w:rPr>
              <w:t xml:space="preserve">1、名称及材质：中国黑亚光面花岗岩水钵由专业厂家定制</w:t>
            </w:r>
            <w:r>
              <w:rPr>
                <w:rFonts w:hint="eastAsia" w:asciiTheme="minorEastAsia" w:hAnsiTheme="minorEastAsia" w:eastAsiaTheme="minorEastAsia" w:cstheme="minorEastAsia"/>
                <w:i w:val="0"/>
                <w:iCs w:val="0"/>
                <w:color w:val="000000"/>
                <w:sz w:val="20"/>
                <w:szCs w:val="20"/>
                <w:u w:val="none"/>
                <w:lang w:val="en-US" w:eastAsia="zh-CN" w:bidi="ar"/>
              </w:rPr>
              <w:br/>
            </w:r>
            <w:r>
              <w:rPr>
                <w:rFonts w:hint="eastAsia" w:asciiTheme="minorEastAsia" w:hAnsiTheme="minorEastAsia" w:eastAsiaTheme="minorEastAsia" w:cstheme="minorEastAsia"/>
                <w:i w:val="0"/>
                <w:iCs w:val="0"/>
                <w:color w:val="000000"/>
                <w:sz w:val="20"/>
                <w:szCs w:val="20"/>
                <w:u w:val="none"/>
                <w:lang w:val="en-US" w:eastAsia="zh-CN" w:bidi="ar"/>
              </w:rPr>
              <w:t xml:space="preserve">2、规格尺寸：详见图纸大样</w:t>
            </w:r>
            <w:r>
              <w:rPr>
                <w:rFonts w:hint="eastAsia" w:asciiTheme="minorEastAsia" w:hAnsiTheme="minorEastAsia" w:eastAsiaTheme="minorEastAsia" w:cstheme="minorEastAsia"/>
                <w:i w:val="0"/>
                <w:iCs w:val="0"/>
                <w:color w:val="000000"/>
                <w:sz w:val="20"/>
                <w:szCs w:val="20"/>
                <w:u w:val="none"/>
                <w:lang w:val="en-US" w:eastAsia="zh-CN" w:bidi="ar"/>
              </w:rPr>
              <w:br/>
            </w:r>
            <w:r>
              <w:rPr>
                <w:rFonts w:hint="eastAsia" w:asciiTheme="minorEastAsia" w:hAnsiTheme="minorEastAsia" w:eastAsiaTheme="minorEastAsia" w:cstheme="minorEastAsia"/>
                <w:i w:val="0"/>
                <w:iCs w:val="0"/>
                <w:color w:val="000000"/>
                <w:sz w:val="20"/>
                <w:szCs w:val="20"/>
                <w:u w:val="none"/>
                <w:lang w:val="en-US" w:eastAsia="zh-CN" w:bidi="ar"/>
              </w:rPr>
              <w:t xml:space="preserve">3、其他详见图纸要求</w:t>
            </w:r>
            <w:r/>
          </w:p>
        </w:tc>
        <w:tc>
          <w:tcPr>
            <w:shd w:val="clear" w:color="auto" w:fill="auto"/>
            <w:tcW w:w="982" w:type="dxa"/>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lang w:val="en-US" w:eastAsia="zh-CN" w:bidi="ar"/>
              </w:rPr>
              <w:t xml:space="preserve">个</w:t>
            </w:r>
            <w:r/>
          </w:p>
        </w:tc>
        <w:tc>
          <w:tcPr>
            <w:shd w:val="clear" w:color="auto" w:fill="auto"/>
            <w:tcW w:w="971" w:type="dxa"/>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lang w:val="en-US" w:eastAsia="zh-CN" w:bidi="ar"/>
              </w:rPr>
              <w:t xml:space="preserve">1</w:t>
            </w:r>
            <w:r/>
          </w:p>
        </w:tc>
      </w:tr>
      <w:tr>
        <w:trPr>
          <w:trHeight w:val="665"/>
        </w:trPr>
        <w:tc>
          <w:tcPr>
            <w:shd w:val="clear" w:color="auto" w:fill="auto"/>
            <w:tcW w:w="749" w:type="dxa"/>
            <w:vAlign w:val="center"/>
            <w:textDirection w:val="lrTb"/>
            <w:noWrap w:val="false"/>
          </w:tcPr>
          <w:p>
            <w:pPr>
              <w:jc w:val="center"/>
              <w:keepLines w:val="0"/>
              <w:keepNext w:val="0"/>
              <w:widowControl/>
              <w:rPr>
                <w:rFonts w:hint="default" w:asciiTheme="minorEastAsia" w:hAnsiTheme="minorEastAsia" w:eastAsiaTheme="minorEastAsia" w:cstheme="minorEastAsia"/>
                <w:i w:val="0"/>
                <w:iCs w:val="0"/>
                <w:color w:val="000000"/>
                <w:sz w:val="20"/>
                <w:szCs w:val="20"/>
                <w:u w:val="none"/>
                <w:lang w:val="en-US"/>
              </w:rPr>
              <w:suppressLineNumbers w:val="0"/>
            </w:pPr>
            <w:r>
              <w:rPr>
                <w:rFonts w:hint="eastAsia" w:asciiTheme="minorEastAsia" w:hAnsiTheme="minorEastAsia" w:cstheme="minorEastAsia"/>
                <w:i w:val="0"/>
                <w:iCs w:val="0"/>
                <w:color w:val="000000"/>
                <w:sz w:val="20"/>
                <w:szCs w:val="20"/>
                <w:u w:val="none"/>
                <w:lang w:val="en-US" w:eastAsia="zh-CN" w:bidi="ar"/>
              </w:rPr>
              <w:t xml:space="preserve">97</w:t>
            </w:r>
            <w:r/>
          </w:p>
        </w:tc>
        <w:tc>
          <w:tcPr>
            <w:shd w:val="clear" w:color="auto" w:fill="auto"/>
            <w:tcW w:w="1344"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lang w:val="en-US" w:eastAsia="zh-CN" w:bidi="ar"/>
              </w:rPr>
              <w:t xml:space="preserve">水钵二</w:t>
            </w:r>
            <w:r/>
          </w:p>
        </w:tc>
        <w:tc>
          <w:tcPr>
            <w:shd w:val="clear" w:color="auto" w:fill="auto"/>
            <w:tcW w:w="4751"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lang w:val="en-US" w:eastAsia="zh-CN" w:bidi="ar"/>
              </w:rPr>
              <w:t xml:space="preserve">1、名称及材质：中国黑亚光面花岗岩水钵由专业厂家定制</w:t>
            </w:r>
            <w:r>
              <w:rPr>
                <w:rFonts w:hint="eastAsia" w:asciiTheme="minorEastAsia" w:hAnsiTheme="minorEastAsia" w:eastAsiaTheme="minorEastAsia" w:cstheme="minorEastAsia"/>
                <w:i w:val="0"/>
                <w:iCs w:val="0"/>
                <w:color w:val="000000"/>
                <w:sz w:val="20"/>
                <w:szCs w:val="20"/>
                <w:u w:val="none"/>
                <w:lang w:val="en-US" w:eastAsia="zh-CN" w:bidi="ar"/>
              </w:rPr>
              <w:br/>
            </w:r>
            <w:r>
              <w:rPr>
                <w:rFonts w:hint="eastAsia" w:asciiTheme="minorEastAsia" w:hAnsiTheme="minorEastAsia" w:eastAsiaTheme="minorEastAsia" w:cstheme="minorEastAsia"/>
                <w:i w:val="0"/>
                <w:iCs w:val="0"/>
                <w:color w:val="000000"/>
                <w:sz w:val="20"/>
                <w:szCs w:val="20"/>
                <w:u w:val="none"/>
                <w:lang w:val="en-US" w:eastAsia="zh-CN" w:bidi="ar"/>
              </w:rPr>
              <w:t xml:space="preserve">2、规格尺寸：详见图纸大样</w:t>
            </w:r>
            <w:r>
              <w:rPr>
                <w:rFonts w:hint="eastAsia" w:asciiTheme="minorEastAsia" w:hAnsiTheme="minorEastAsia" w:eastAsiaTheme="minorEastAsia" w:cstheme="minorEastAsia"/>
                <w:i w:val="0"/>
                <w:iCs w:val="0"/>
                <w:color w:val="000000"/>
                <w:sz w:val="20"/>
                <w:szCs w:val="20"/>
                <w:u w:val="none"/>
                <w:lang w:val="en-US" w:eastAsia="zh-CN" w:bidi="ar"/>
              </w:rPr>
              <w:br/>
            </w:r>
            <w:r>
              <w:rPr>
                <w:rFonts w:hint="eastAsia" w:asciiTheme="minorEastAsia" w:hAnsiTheme="minorEastAsia" w:eastAsiaTheme="minorEastAsia" w:cstheme="minorEastAsia"/>
                <w:i w:val="0"/>
                <w:iCs w:val="0"/>
                <w:color w:val="000000"/>
                <w:sz w:val="20"/>
                <w:szCs w:val="20"/>
                <w:u w:val="none"/>
                <w:lang w:val="en-US" w:eastAsia="zh-CN" w:bidi="ar"/>
              </w:rPr>
              <w:t xml:space="preserve">3、其他详见图纸要求</w:t>
            </w:r>
            <w:r/>
          </w:p>
        </w:tc>
        <w:tc>
          <w:tcPr>
            <w:shd w:val="clear" w:color="auto" w:fill="auto"/>
            <w:tcW w:w="982" w:type="dxa"/>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lang w:val="en-US" w:eastAsia="zh-CN" w:bidi="ar"/>
              </w:rPr>
              <w:t xml:space="preserve">个</w:t>
            </w:r>
            <w:r/>
          </w:p>
        </w:tc>
        <w:tc>
          <w:tcPr>
            <w:shd w:val="clear" w:color="auto" w:fill="auto"/>
            <w:tcW w:w="971" w:type="dxa"/>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lang w:val="en-US" w:eastAsia="zh-CN" w:bidi="ar"/>
              </w:rPr>
              <w:t xml:space="preserve">1</w:t>
            </w:r>
            <w:r/>
          </w:p>
        </w:tc>
      </w:tr>
      <w:tr>
        <w:trPr>
          <w:trHeight w:val="665"/>
        </w:trPr>
        <w:tc>
          <w:tcPr>
            <w:shd w:val="clear" w:color="auto" w:fill="auto"/>
            <w:tcW w:w="749" w:type="dxa"/>
            <w:vAlign w:val="center"/>
            <w:textDirection w:val="lrTb"/>
            <w:noWrap w:val="false"/>
          </w:tcPr>
          <w:p>
            <w:pPr>
              <w:jc w:val="center"/>
              <w:keepLines w:val="0"/>
              <w:keepNext w:val="0"/>
              <w:widowControl/>
              <w:rPr>
                <w:rFonts w:hint="default" w:asciiTheme="minorEastAsia" w:hAnsiTheme="minorEastAsia" w:eastAsiaTheme="minorEastAsia" w:cstheme="minorEastAsia"/>
                <w:i w:val="0"/>
                <w:iCs w:val="0"/>
                <w:color w:val="000000"/>
                <w:sz w:val="20"/>
                <w:szCs w:val="20"/>
                <w:u w:val="none"/>
                <w:lang w:val="en-US"/>
              </w:rPr>
              <w:suppressLineNumbers w:val="0"/>
            </w:pPr>
            <w:r>
              <w:rPr>
                <w:rFonts w:hint="eastAsia" w:asciiTheme="minorEastAsia" w:hAnsiTheme="minorEastAsia" w:cstheme="minorEastAsia"/>
                <w:i w:val="0"/>
                <w:iCs w:val="0"/>
                <w:color w:val="000000"/>
                <w:sz w:val="20"/>
                <w:szCs w:val="20"/>
                <w:u w:val="none"/>
                <w:lang w:val="en-US" w:eastAsia="zh-CN" w:bidi="ar"/>
              </w:rPr>
              <w:t xml:space="preserve">98</w:t>
            </w:r>
            <w:r/>
          </w:p>
        </w:tc>
        <w:tc>
          <w:tcPr>
            <w:shd w:val="clear" w:color="auto" w:fill="auto"/>
            <w:tcW w:w="1344"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lang w:val="en-US" w:eastAsia="zh-CN" w:bidi="ar"/>
              </w:rPr>
              <w:t xml:space="preserve">点风景石2</w:t>
            </w:r>
            <w:r/>
          </w:p>
        </w:tc>
        <w:tc>
          <w:tcPr>
            <w:shd w:val="clear" w:color="auto" w:fill="auto"/>
            <w:tcW w:w="4751"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lang w:val="en-US" w:eastAsia="zh-CN" w:bidi="ar"/>
              </w:rPr>
              <w:t xml:space="preserve">1、黑山石景石</w:t>
            </w:r>
            <w:r>
              <w:rPr>
                <w:rFonts w:hint="eastAsia" w:asciiTheme="minorEastAsia" w:hAnsiTheme="minorEastAsia" w:eastAsiaTheme="minorEastAsia" w:cstheme="minorEastAsia"/>
                <w:i w:val="0"/>
                <w:iCs w:val="0"/>
                <w:color w:val="000000"/>
                <w:sz w:val="20"/>
                <w:szCs w:val="20"/>
                <w:u w:val="none"/>
                <w:lang w:val="en-US" w:eastAsia="zh-CN" w:bidi="ar"/>
              </w:rPr>
              <w:br/>
            </w:r>
            <w:r>
              <w:rPr>
                <w:rFonts w:hint="eastAsia" w:asciiTheme="minorEastAsia" w:hAnsiTheme="minorEastAsia" w:eastAsiaTheme="minorEastAsia" w:cstheme="minorEastAsia"/>
                <w:i w:val="0"/>
                <w:iCs w:val="0"/>
                <w:color w:val="000000"/>
                <w:sz w:val="20"/>
                <w:szCs w:val="20"/>
                <w:u w:val="none"/>
                <w:lang w:val="en-US" w:eastAsia="zh-CN" w:bidi="ar"/>
              </w:rPr>
              <w:t xml:space="preserve">2、石料规格、重量：φ600-1200</w:t>
            </w:r>
            <w:r>
              <w:rPr>
                <w:rFonts w:hint="eastAsia" w:asciiTheme="minorEastAsia" w:hAnsiTheme="minorEastAsia" w:eastAsiaTheme="minorEastAsia" w:cstheme="minorEastAsia"/>
                <w:i w:val="0"/>
                <w:iCs w:val="0"/>
                <w:color w:val="000000"/>
                <w:sz w:val="20"/>
                <w:szCs w:val="20"/>
                <w:u w:val="none"/>
                <w:lang w:val="en-US" w:eastAsia="zh-CN" w:bidi="ar"/>
              </w:rPr>
              <w:br/>
            </w:r>
            <w:r>
              <w:rPr>
                <w:rFonts w:hint="eastAsia" w:asciiTheme="minorEastAsia" w:hAnsiTheme="minorEastAsia" w:eastAsiaTheme="minorEastAsia" w:cstheme="minorEastAsia"/>
                <w:i w:val="0"/>
                <w:iCs w:val="0"/>
                <w:color w:val="000000"/>
                <w:sz w:val="20"/>
                <w:szCs w:val="20"/>
                <w:u w:val="none"/>
                <w:lang w:val="en-US" w:eastAsia="zh-CN" w:bidi="ar"/>
              </w:rPr>
              <w:t xml:space="preserve">3、布置方式详见节点TY-01~节点9</w:t>
            </w:r>
            <w:r>
              <w:rPr>
                <w:rFonts w:hint="eastAsia" w:asciiTheme="minorEastAsia" w:hAnsiTheme="minorEastAsia" w:eastAsiaTheme="minorEastAsia" w:cstheme="minorEastAsia"/>
                <w:i w:val="0"/>
                <w:iCs w:val="0"/>
                <w:color w:val="000000"/>
                <w:sz w:val="20"/>
                <w:szCs w:val="20"/>
                <w:u w:val="none"/>
                <w:lang w:val="en-US" w:eastAsia="zh-CN" w:bidi="ar"/>
              </w:rPr>
              <w:br/>
            </w:r>
            <w:r>
              <w:rPr>
                <w:rFonts w:hint="eastAsia" w:asciiTheme="minorEastAsia" w:hAnsiTheme="minorEastAsia" w:eastAsiaTheme="minorEastAsia" w:cstheme="minorEastAsia"/>
                <w:i w:val="0"/>
                <w:iCs w:val="0"/>
                <w:color w:val="000000"/>
                <w:sz w:val="20"/>
                <w:szCs w:val="20"/>
                <w:u w:val="none"/>
                <w:lang w:val="en-US" w:eastAsia="zh-CN" w:bidi="ar"/>
              </w:rPr>
              <w:t xml:space="preserve">4、其他详见图纸要求</w:t>
            </w:r>
            <w:r/>
          </w:p>
        </w:tc>
        <w:tc>
          <w:tcPr>
            <w:shd w:val="clear" w:color="auto" w:fill="auto"/>
            <w:tcW w:w="982" w:type="dxa"/>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lang w:val="en-US" w:eastAsia="zh-CN" w:bidi="ar"/>
              </w:rPr>
              <w:t xml:space="preserve">t</w:t>
            </w:r>
            <w:r/>
          </w:p>
        </w:tc>
        <w:tc>
          <w:tcPr>
            <w:shd w:val="clear" w:color="auto" w:fill="auto"/>
            <w:tcW w:w="971" w:type="dxa"/>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lang w:val="en-US" w:eastAsia="zh-CN" w:bidi="ar"/>
              </w:rPr>
              <w:t xml:space="preserve">100.86</w:t>
            </w:r>
            <w:r/>
          </w:p>
        </w:tc>
      </w:tr>
      <w:tr>
        <w:trPr>
          <w:trHeight w:val="1324"/>
        </w:trPr>
        <w:tc>
          <w:tcPr>
            <w:shd w:val="clear" w:color="auto" w:fill="auto"/>
            <w:tcW w:w="749" w:type="dxa"/>
            <w:vAlign w:val="center"/>
            <w:textDirection w:val="lrTb"/>
            <w:noWrap w:val="false"/>
          </w:tcPr>
          <w:p>
            <w:pPr>
              <w:jc w:val="center"/>
              <w:keepLines w:val="0"/>
              <w:keepNext w:val="0"/>
              <w:widowControl/>
              <w:rPr>
                <w:rFonts w:hint="default" w:asciiTheme="minorEastAsia" w:hAnsiTheme="minorEastAsia" w:eastAsiaTheme="minorEastAsia" w:cstheme="minorEastAsia"/>
                <w:i w:val="0"/>
                <w:iCs w:val="0"/>
                <w:color w:val="000000"/>
                <w:sz w:val="20"/>
                <w:szCs w:val="20"/>
                <w:u w:val="none"/>
                <w:lang w:val="en-US"/>
              </w:rPr>
              <w:suppressLineNumbers w:val="0"/>
            </w:pPr>
            <w:r>
              <w:rPr>
                <w:rFonts w:hint="eastAsia" w:asciiTheme="minorEastAsia" w:hAnsiTheme="minorEastAsia" w:cstheme="minorEastAsia"/>
                <w:i w:val="0"/>
                <w:iCs w:val="0"/>
                <w:color w:val="000000"/>
                <w:sz w:val="20"/>
                <w:szCs w:val="20"/>
                <w:u w:val="none"/>
                <w:lang w:val="en-US" w:eastAsia="zh-CN" w:bidi="ar"/>
              </w:rPr>
              <w:t xml:space="preserve">99</w:t>
            </w:r>
            <w:r/>
          </w:p>
        </w:tc>
        <w:tc>
          <w:tcPr>
            <w:shd w:val="clear" w:color="auto" w:fill="auto"/>
            <w:tcW w:w="1344"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lang w:val="en-US" w:eastAsia="zh-CN" w:bidi="ar"/>
              </w:rPr>
              <w:t xml:space="preserve">学习角廊架</w:t>
            </w:r>
            <w:r/>
          </w:p>
        </w:tc>
        <w:tc>
          <w:tcPr>
            <w:shd w:val="clear" w:color="auto" w:fill="auto"/>
            <w:tcW w:w="4751"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lang w:val="en-US" w:eastAsia="zh-CN" w:bidi="ar"/>
              </w:rPr>
              <w:t xml:space="preserve">1、200*200*8厚钢柱，白色氟碳漆饰面</w:t>
            </w:r>
            <w:r>
              <w:rPr>
                <w:rFonts w:hint="eastAsia" w:asciiTheme="minorEastAsia" w:hAnsiTheme="minorEastAsia" w:eastAsiaTheme="minorEastAsia" w:cstheme="minorEastAsia"/>
                <w:i w:val="0"/>
                <w:iCs w:val="0"/>
                <w:color w:val="000000"/>
                <w:sz w:val="20"/>
                <w:szCs w:val="20"/>
                <w:u w:val="none"/>
                <w:lang w:val="en-US" w:eastAsia="zh-CN" w:bidi="ar"/>
              </w:rPr>
              <w:br/>
            </w:r>
            <w:r>
              <w:rPr>
                <w:rFonts w:hint="eastAsia" w:asciiTheme="minorEastAsia" w:hAnsiTheme="minorEastAsia" w:eastAsiaTheme="minorEastAsia" w:cstheme="minorEastAsia"/>
                <w:i w:val="0"/>
                <w:iCs w:val="0"/>
                <w:color w:val="000000"/>
                <w:sz w:val="20"/>
                <w:szCs w:val="20"/>
                <w:u w:val="none"/>
                <w:lang w:val="en-US" w:eastAsia="zh-CN" w:bidi="ar"/>
              </w:rPr>
              <w:t xml:space="preserve">2、200*100*6、100*100*6、100*50*5厚钢梁，白色氟碳漆饰面</w:t>
            </w:r>
            <w:r>
              <w:rPr>
                <w:rFonts w:hint="eastAsia" w:asciiTheme="minorEastAsia" w:hAnsiTheme="minorEastAsia" w:eastAsiaTheme="minorEastAsia" w:cstheme="minorEastAsia"/>
                <w:i w:val="0"/>
                <w:iCs w:val="0"/>
                <w:color w:val="000000"/>
                <w:sz w:val="20"/>
                <w:szCs w:val="20"/>
                <w:u w:val="none"/>
                <w:lang w:val="en-US" w:eastAsia="zh-CN" w:bidi="ar"/>
              </w:rPr>
              <w:br/>
            </w:r>
            <w:r>
              <w:rPr>
                <w:rFonts w:hint="eastAsia" w:asciiTheme="minorEastAsia" w:hAnsiTheme="minorEastAsia" w:eastAsiaTheme="minorEastAsia" w:cstheme="minorEastAsia"/>
                <w:i w:val="0"/>
                <w:iCs w:val="0"/>
                <w:color w:val="000000"/>
                <w:sz w:val="20"/>
                <w:szCs w:val="20"/>
                <w:u w:val="none"/>
                <w:lang w:val="en-US" w:eastAsia="zh-CN" w:bidi="ar"/>
              </w:rPr>
              <w:t xml:space="preserve">3、屋面5厚钢板，白色氟碳漆饰面</w:t>
            </w:r>
            <w:r>
              <w:rPr>
                <w:rFonts w:hint="eastAsia" w:asciiTheme="minorEastAsia" w:hAnsiTheme="minorEastAsia" w:eastAsiaTheme="minorEastAsia" w:cstheme="minorEastAsia"/>
                <w:i w:val="0"/>
                <w:iCs w:val="0"/>
                <w:color w:val="000000"/>
                <w:sz w:val="20"/>
                <w:szCs w:val="20"/>
                <w:u w:val="none"/>
                <w:lang w:val="en-US" w:eastAsia="zh-CN" w:bidi="ar"/>
              </w:rPr>
              <w:br/>
            </w:r>
            <w:r>
              <w:rPr>
                <w:rFonts w:hint="eastAsia" w:asciiTheme="minorEastAsia" w:hAnsiTheme="minorEastAsia" w:eastAsiaTheme="minorEastAsia" w:cstheme="minorEastAsia"/>
                <w:i w:val="0"/>
                <w:iCs w:val="0"/>
                <w:color w:val="000000"/>
                <w:sz w:val="20"/>
                <w:szCs w:val="20"/>
                <w:u w:val="none"/>
                <w:lang w:val="en-US" w:eastAsia="zh-CN" w:bidi="ar"/>
              </w:rPr>
              <w:t xml:space="preserve">4、100*50*5厚方钢骨架，白色氟碳漆饰面；6+pvb1.52+6彩色夹胶玻璃</w:t>
            </w:r>
            <w:r>
              <w:rPr>
                <w:rFonts w:hint="eastAsia" w:asciiTheme="minorEastAsia" w:hAnsiTheme="minorEastAsia" w:eastAsiaTheme="minorEastAsia" w:cstheme="minorEastAsia"/>
                <w:i w:val="0"/>
                <w:iCs w:val="0"/>
                <w:color w:val="000000"/>
                <w:sz w:val="20"/>
                <w:szCs w:val="20"/>
                <w:u w:val="none"/>
                <w:lang w:val="en-US" w:eastAsia="zh-CN" w:bidi="ar"/>
              </w:rPr>
              <w:br/>
            </w:r>
            <w:r>
              <w:rPr>
                <w:rFonts w:hint="eastAsia" w:asciiTheme="minorEastAsia" w:hAnsiTheme="minorEastAsia" w:eastAsiaTheme="minorEastAsia" w:cstheme="minorEastAsia"/>
                <w:i w:val="0"/>
                <w:iCs w:val="0"/>
                <w:color w:val="000000"/>
                <w:sz w:val="20"/>
                <w:szCs w:val="20"/>
                <w:u w:val="none"/>
                <w:lang w:val="en-US" w:eastAsia="zh-CN" w:bidi="ar"/>
              </w:rPr>
              <w:t xml:space="preserve">5、具体详见图纸节点大样</w:t>
            </w:r>
            <w:r>
              <w:rPr>
                <w:rFonts w:hint="eastAsia" w:asciiTheme="minorEastAsia" w:hAnsiTheme="minorEastAsia" w:eastAsiaTheme="minorEastAsia" w:cstheme="minorEastAsia"/>
                <w:i w:val="0"/>
                <w:iCs w:val="0"/>
                <w:color w:val="000000"/>
                <w:sz w:val="20"/>
                <w:szCs w:val="20"/>
                <w:u w:val="none"/>
                <w:lang w:val="en-US" w:eastAsia="zh-CN" w:bidi="ar"/>
              </w:rPr>
              <w:br/>
            </w:r>
            <w:r>
              <w:rPr>
                <w:rFonts w:hint="eastAsia" w:asciiTheme="minorEastAsia" w:hAnsiTheme="minorEastAsia" w:eastAsiaTheme="minorEastAsia" w:cstheme="minorEastAsia"/>
                <w:i w:val="0"/>
                <w:iCs w:val="0"/>
                <w:color w:val="000000"/>
                <w:sz w:val="20"/>
                <w:szCs w:val="20"/>
                <w:u w:val="none"/>
                <w:lang w:val="en-US" w:eastAsia="zh-CN" w:bidi="ar"/>
              </w:rPr>
              <w:t xml:space="preserve">6、其他详见图纸要求</w:t>
            </w:r>
            <w:r/>
          </w:p>
        </w:tc>
        <w:tc>
          <w:tcPr>
            <w:shd w:val="clear" w:color="auto" w:fill="auto"/>
            <w:tcW w:w="982" w:type="dxa"/>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lang w:val="en-US" w:eastAsia="zh-CN" w:bidi="ar"/>
              </w:rPr>
              <w:t xml:space="preserve">个</w:t>
            </w:r>
            <w:r/>
          </w:p>
        </w:tc>
        <w:tc>
          <w:tcPr>
            <w:shd w:val="clear" w:color="auto" w:fill="auto"/>
            <w:tcW w:w="971" w:type="dxa"/>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lang w:val="en-US" w:eastAsia="zh-CN" w:bidi="ar"/>
              </w:rPr>
              <w:t xml:space="preserve">2</w:t>
            </w:r>
            <w:r/>
          </w:p>
        </w:tc>
      </w:tr>
      <w:tr>
        <w:trPr>
          <w:trHeight w:val="665"/>
        </w:trPr>
        <w:tc>
          <w:tcPr>
            <w:shd w:val="clear" w:color="auto" w:fill="auto"/>
            <w:tcW w:w="749" w:type="dxa"/>
            <w:vAlign w:val="center"/>
            <w:textDirection w:val="lrTb"/>
            <w:noWrap w:val="false"/>
          </w:tcPr>
          <w:p>
            <w:pPr>
              <w:jc w:val="center"/>
              <w:keepLines w:val="0"/>
              <w:keepNext w:val="0"/>
              <w:widowControl/>
              <w:rPr>
                <w:rFonts w:hint="default" w:asciiTheme="minorEastAsia" w:hAnsiTheme="minorEastAsia" w:eastAsiaTheme="minorEastAsia" w:cstheme="minorEastAsia"/>
                <w:i w:val="0"/>
                <w:iCs w:val="0"/>
                <w:color w:val="000000"/>
                <w:sz w:val="20"/>
                <w:szCs w:val="20"/>
                <w:u w:val="none"/>
                <w:lang w:val="en-US"/>
              </w:rPr>
              <w:suppressLineNumbers w:val="0"/>
            </w:pPr>
            <w:r>
              <w:rPr>
                <w:rFonts w:hint="eastAsia" w:asciiTheme="minorEastAsia" w:hAnsiTheme="minorEastAsia" w:cstheme="minorEastAsia"/>
                <w:i w:val="0"/>
                <w:iCs w:val="0"/>
                <w:color w:val="000000"/>
                <w:sz w:val="20"/>
                <w:szCs w:val="20"/>
                <w:u w:val="none"/>
                <w:lang w:val="en-US" w:eastAsia="zh-CN" w:bidi="ar"/>
              </w:rPr>
              <w:t xml:space="preserve">100</w:t>
            </w:r>
            <w:r/>
          </w:p>
        </w:tc>
        <w:tc>
          <w:tcPr>
            <w:shd w:val="clear" w:color="auto" w:fill="auto"/>
            <w:tcW w:w="1344"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lang w:val="en-US" w:eastAsia="zh-CN" w:bidi="ar"/>
              </w:rPr>
              <w:t xml:space="preserve">艺术中心景观亭</w:t>
            </w:r>
            <w:r/>
          </w:p>
        </w:tc>
        <w:tc>
          <w:tcPr>
            <w:shd w:val="clear" w:color="auto" w:fill="auto"/>
            <w:tcW w:w="4751"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lang w:val="en-US" w:eastAsia="zh-CN" w:bidi="ar"/>
              </w:rPr>
              <w:t xml:space="preserve">1、钢材品种、规格：250*250*8厚方钢柱、200*50*3厚方钢</w:t>
            </w:r>
            <w:r>
              <w:rPr>
                <w:rFonts w:hint="eastAsia" w:asciiTheme="minorEastAsia" w:hAnsiTheme="minorEastAsia" w:eastAsiaTheme="minorEastAsia" w:cstheme="minorEastAsia"/>
                <w:i w:val="0"/>
                <w:iCs w:val="0"/>
                <w:color w:val="000000"/>
                <w:sz w:val="20"/>
                <w:szCs w:val="20"/>
                <w:u w:val="none"/>
                <w:lang w:val="en-US" w:eastAsia="zh-CN" w:bidi="ar"/>
              </w:rPr>
              <w:br/>
            </w:r>
            <w:r>
              <w:rPr>
                <w:rFonts w:hint="eastAsia" w:asciiTheme="minorEastAsia" w:hAnsiTheme="minorEastAsia" w:eastAsiaTheme="minorEastAsia" w:cstheme="minorEastAsia"/>
                <w:i w:val="0"/>
                <w:iCs w:val="0"/>
                <w:color w:val="000000"/>
                <w:sz w:val="20"/>
                <w:szCs w:val="20"/>
                <w:u w:val="none"/>
                <w:lang w:val="en-US" w:eastAsia="zh-CN" w:bidi="ar"/>
              </w:rPr>
              <w:t xml:space="preserve">2、白色氟碳漆饰面</w:t>
            </w:r>
            <w:r>
              <w:rPr>
                <w:rFonts w:hint="eastAsia" w:asciiTheme="minorEastAsia" w:hAnsiTheme="minorEastAsia" w:eastAsiaTheme="minorEastAsia" w:cstheme="minorEastAsia"/>
                <w:i w:val="0"/>
                <w:iCs w:val="0"/>
                <w:color w:val="000000"/>
                <w:sz w:val="20"/>
                <w:szCs w:val="20"/>
                <w:u w:val="none"/>
                <w:lang w:val="en-US" w:eastAsia="zh-CN" w:bidi="ar"/>
              </w:rPr>
              <w:br/>
            </w:r>
            <w:r>
              <w:rPr>
                <w:rFonts w:hint="eastAsia" w:asciiTheme="minorEastAsia" w:hAnsiTheme="minorEastAsia" w:eastAsiaTheme="minorEastAsia" w:cstheme="minorEastAsia"/>
                <w:i w:val="0"/>
                <w:iCs w:val="0"/>
                <w:color w:val="000000"/>
                <w:sz w:val="20"/>
                <w:szCs w:val="20"/>
                <w:u w:val="none"/>
                <w:lang w:val="en-US" w:eastAsia="zh-CN" w:bidi="ar"/>
              </w:rPr>
              <w:t xml:space="preserve">3、其他详见图纸要求</w:t>
            </w:r>
            <w:r/>
          </w:p>
        </w:tc>
        <w:tc>
          <w:tcPr>
            <w:shd w:val="clear" w:color="auto" w:fill="auto"/>
            <w:tcW w:w="982" w:type="dxa"/>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lang w:val="en-US" w:eastAsia="zh-CN" w:bidi="ar"/>
              </w:rPr>
              <w:t xml:space="preserve">个</w:t>
            </w:r>
            <w:r/>
          </w:p>
        </w:tc>
        <w:tc>
          <w:tcPr>
            <w:shd w:val="clear" w:color="auto" w:fill="auto"/>
            <w:tcW w:w="971" w:type="dxa"/>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lang w:val="en-US" w:eastAsia="zh-CN" w:bidi="ar"/>
              </w:rPr>
              <w:t xml:space="preserve">1</w:t>
            </w:r>
            <w:r/>
          </w:p>
        </w:tc>
      </w:tr>
      <w:tr>
        <w:trPr>
          <w:trHeight w:val="830"/>
        </w:trPr>
        <w:tc>
          <w:tcPr>
            <w:shd w:val="clear" w:color="auto" w:fill="auto"/>
            <w:tcW w:w="749" w:type="dxa"/>
            <w:vAlign w:val="center"/>
            <w:textDirection w:val="lrTb"/>
            <w:noWrap w:val="false"/>
          </w:tcPr>
          <w:p>
            <w:pPr>
              <w:jc w:val="center"/>
              <w:keepLines w:val="0"/>
              <w:keepNext w:val="0"/>
              <w:widowControl/>
              <w:rPr>
                <w:rFonts w:hint="default" w:asciiTheme="minorEastAsia" w:hAnsiTheme="minorEastAsia" w:eastAsiaTheme="minorEastAsia" w:cstheme="minorEastAsia"/>
                <w:i w:val="0"/>
                <w:iCs w:val="0"/>
                <w:color w:val="000000"/>
                <w:sz w:val="20"/>
                <w:szCs w:val="20"/>
                <w:u w:val="none"/>
                <w:lang w:val="en-US"/>
              </w:rPr>
              <w:suppressLineNumbers w:val="0"/>
            </w:pPr>
            <w:r>
              <w:rPr>
                <w:rFonts w:hint="eastAsia" w:asciiTheme="minorEastAsia" w:hAnsiTheme="minorEastAsia" w:cstheme="minorEastAsia"/>
                <w:i w:val="0"/>
                <w:iCs w:val="0"/>
                <w:color w:val="000000"/>
                <w:sz w:val="20"/>
                <w:szCs w:val="20"/>
                <w:u w:val="none"/>
                <w:lang w:val="en-US" w:eastAsia="zh-CN" w:bidi="ar"/>
              </w:rPr>
              <w:t xml:space="preserve">101</w:t>
            </w:r>
            <w:r/>
          </w:p>
        </w:tc>
        <w:tc>
          <w:tcPr>
            <w:shd w:val="clear" w:color="auto" w:fill="auto"/>
            <w:tcW w:w="1344"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lang w:val="en-US" w:eastAsia="zh-CN" w:bidi="ar"/>
              </w:rPr>
              <w:t xml:space="preserve">景墙装饰一（中国思想家）</w:t>
            </w:r>
            <w:r/>
          </w:p>
        </w:tc>
        <w:tc>
          <w:tcPr>
            <w:shd w:val="clear" w:color="auto" w:fill="auto"/>
            <w:tcW w:w="4751"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lang w:val="en-US" w:eastAsia="zh-CN" w:bidi="ar"/>
              </w:rPr>
              <w:t xml:space="preserve">1、墙体材料种类、规格：5mm厚304不锈钢板,亚光面；四周折边30mm</w:t>
            </w:r>
            <w:r>
              <w:rPr>
                <w:rFonts w:hint="eastAsia" w:asciiTheme="minorEastAsia" w:hAnsiTheme="minorEastAsia" w:eastAsiaTheme="minorEastAsia" w:cstheme="minorEastAsia"/>
                <w:i w:val="0"/>
                <w:iCs w:val="0"/>
                <w:color w:val="000000"/>
                <w:sz w:val="20"/>
                <w:szCs w:val="20"/>
                <w:u w:val="none"/>
                <w:lang w:val="en-US" w:eastAsia="zh-CN" w:bidi="ar"/>
              </w:rPr>
              <w:br/>
            </w:r>
            <w:r>
              <w:rPr>
                <w:rFonts w:hint="eastAsia" w:asciiTheme="minorEastAsia" w:hAnsiTheme="minorEastAsia" w:eastAsiaTheme="minorEastAsia" w:cstheme="minorEastAsia"/>
                <w:i w:val="0"/>
                <w:iCs w:val="0"/>
                <w:color w:val="000000"/>
                <w:sz w:val="20"/>
                <w:szCs w:val="20"/>
                <w:u w:val="none"/>
                <w:lang w:val="en-US" w:eastAsia="zh-CN" w:bidi="ar"/>
              </w:rPr>
              <w:t xml:space="preserve">2、激光雕刻图案及文字</w:t>
            </w:r>
            <w:r>
              <w:rPr>
                <w:rFonts w:hint="eastAsia" w:asciiTheme="minorEastAsia" w:hAnsiTheme="minorEastAsia" w:eastAsiaTheme="minorEastAsia" w:cstheme="minorEastAsia"/>
                <w:i w:val="0"/>
                <w:iCs w:val="0"/>
                <w:color w:val="000000"/>
                <w:sz w:val="20"/>
                <w:szCs w:val="20"/>
                <w:u w:val="none"/>
                <w:lang w:val="en-US" w:eastAsia="zh-CN" w:bidi="ar"/>
              </w:rPr>
              <w:br/>
            </w:r>
            <w:r>
              <w:rPr>
                <w:rFonts w:hint="eastAsia" w:asciiTheme="minorEastAsia" w:hAnsiTheme="minorEastAsia" w:eastAsiaTheme="minorEastAsia" w:cstheme="minorEastAsia"/>
                <w:i w:val="0"/>
                <w:iCs w:val="0"/>
                <w:color w:val="000000"/>
                <w:sz w:val="20"/>
                <w:szCs w:val="20"/>
                <w:u w:val="none"/>
                <w:lang w:val="en-US" w:eastAsia="zh-CN" w:bidi="ar"/>
              </w:rPr>
              <w:t xml:space="preserve">3、不锈钢板安装完成后，距离墙面50mm</w:t>
            </w:r>
            <w:r>
              <w:rPr>
                <w:rFonts w:hint="eastAsia" w:asciiTheme="minorEastAsia" w:hAnsiTheme="minorEastAsia" w:eastAsiaTheme="minorEastAsia" w:cstheme="minorEastAsia"/>
                <w:i w:val="0"/>
                <w:iCs w:val="0"/>
                <w:color w:val="000000"/>
                <w:sz w:val="20"/>
                <w:szCs w:val="20"/>
                <w:u w:val="none"/>
                <w:lang w:val="en-US" w:eastAsia="zh-CN" w:bidi="ar"/>
              </w:rPr>
              <w:br/>
            </w:r>
            <w:r>
              <w:rPr>
                <w:rFonts w:hint="eastAsia" w:asciiTheme="minorEastAsia" w:hAnsiTheme="minorEastAsia" w:eastAsiaTheme="minorEastAsia" w:cstheme="minorEastAsia"/>
                <w:i w:val="0"/>
                <w:iCs w:val="0"/>
                <w:color w:val="000000"/>
                <w:sz w:val="20"/>
                <w:szCs w:val="20"/>
                <w:u w:val="none"/>
                <w:lang w:val="en-US" w:eastAsia="zh-CN" w:bidi="ar"/>
              </w:rPr>
              <w:t xml:space="preserve">4、其他详见图纸要求</w:t>
            </w:r>
            <w:r/>
          </w:p>
        </w:tc>
        <w:tc>
          <w:tcPr>
            <w:shd w:val="clear" w:color="auto" w:fill="auto"/>
            <w:tcW w:w="982" w:type="dxa"/>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lang w:val="en-US" w:eastAsia="zh-CN" w:bidi="ar"/>
              </w:rPr>
              <w:t xml:space="preserve">m2</w:t>
            </w:r>
            <w:r/>
          </w:p>
        </w:tc>
        <w:tc>
          <w:tcPr>
            <w:shd w:val="clear" w:color="auto" w:fill="auto"/>
            <w:tcW w:w="971" w:type="dxa"/>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lang w:val="en-US" w:eastAsia="zh-CN" w:bidi="ar"/>
              </w:rPr>
              <w:t xml:space="preserve">6.53</w:t>
            </w:r>
            <w:r/>
          </w:p>
        </w:tc>
      </w:tr>
      <w:tr>
        <w:trPr>
          <w:trHeight w:val="830"/>
        </w:trPr>
        <w:tc>
          <w:tcPr>
            <w:shd w:val="clear" w:color="auto" w:fill="auto"/>
            <w:tcW w:w="749" w:type="dxa"/>
            <w:vAlign w:val="center"/>
            <w:textDirection w:val="lrTb"/>
            <w:noWrap w:val="false"/>
          </w:tcPr>
          <w:p>
            <w:pPr>
              <w:jc w:val="center"/>
              <w:keepLines w:val="0"/>
              <w:keepNext w:val="0"/>
              <w:widowControl/>
              <w:rPr>
                <w:rFonts w:hint="default" w:asciiTheme="minorEastAsia" w:hAnsiTheme="minorEastAsia" w:eastAsiaTheme="minorEastAsia" w:cstheme="minorEastAsia"/>
                <w:i w:val="0"/>
                <w:iCs w:val="0"/>
                <w:color w:val="000000"/>
                <w:sz w:val="20"/>
                <w:szCs w:val="20"/>
                <w:u w:val="none"/>
                <w:lang w:val="en-US"/>
              </w:rPr>
              <w:suppressLineNumbers w:val="0"/>
            </w:pPr>
            <w:r>
              <w:rPr>
                <w:rFonts w:hint="eastAsia" w:asciiTheme="minorEastAsia" w:hAnsiTheme="minorEastAsia" w:cstheme="minorEastAsia"/>
                <w:i w:val="0"/>
                <w:iCs w:val="0"/>
                <w:color w:val="000000"/>
                <w:sz w:val="20"/>
                <w:szCs w:val="20"/>
                <w:u w:val="none"/>
                <w:lang w:val="en-US" w:eastAsia="zh-CN" w:bidi="ar"/>
              </w:rPr>
              <w:t xml:space="preserve">102</w:t>
            </w:r>
            <w:r/>
          </w:p>
        </w:tc>
        <w:tc>
          <w:tcPr>
            <w:shd w:val="clear" w:color="auto" w:fill="auto"/>
            <w:tcW w:w="1344"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lang w:val="en-US" w:eastAsia="zh-CN" w:bidi="ar"/>
              </w:rPr>
              <w:t xml:space="preserve">景墙装饰二（国外思想家）</w:t>
            </w:r>
            <w:r/>
          </w:p>
        </w:tc>
        <w:tc>
          <w:tcPr>
            <w:shd w:val="clear" w:color="auto" w:fill="auto"/>
            <w:tcW w:w="4751"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lang w:val="en-US" w:eastAsia="zh-CN" w:bidi="ar"/>
              </w:rPr>
              <w:t xml:space="preserve">1、墙体材料种类、规格：5mm厚304不锈钢板,亚光面；四周折边30mm</w:t>
            </w:r>
            <w:r>
              <w:rPr>
                <w:rFonts w:hint="eastAsia" w:asciiTheme="minorEastAsia" w:hAnsiTheme="minorEastAsia" w:eastAsiaTheme="minorEastAsia" w:cstheme="minorEastAsia"/>
                <w:i w:val="0"/>
                <w:iCs w:val="0"/>
                <w:color w:val="000000"/>
                <w:sz w:val="20"/>
                <w:szCs w:val="20"/>
                <w:u w:val="none"/>
                <w:lang w:val="en-US" w:eastAsia="zh-CN" w:bidi="ar"/>
              </w:rPr>
              <w:br/>
            </w:r>
            <w:r>
              <w:rPr>
                <w:rFonts w:hint="eastAsia" w:asciiTheme="minorEastAsia" w:hAnsiTheme="minorEastAsia" w:eastAsiaTheme="minorEastAsia" w:cstheme="minorEastAsia"/>
                <w:i w:val="0"/>
                <w:iCs w:val="0"/>
                <w:color w:val="000000"/>
                <w:sz w:val="20"/>
                <w:szCs w:val="20"/>
                <w:u w:val="none"/>
                <w:lang w:val="en-US" w:eastAsia="zh-CN" w:bidi="ar"/>
              </w:rPr>
              <w:t xml:space="preserve">2、激光雕刻图案及文字</w:t>
            </w:r>
            <w:r>
              <w:rPr>
                <w:rFonts w:hint="eastAsia" w:asciiTheme="minorEastAsia" w:hAnsiTheme="minorEastAsia" w:eastAsiaTheme="minorEastAsia" w:cstheme="minorEastAsia"/>
                <w:i w:val="0"/>
                <w:iCs w:val="0"/>
                <w:color w:val="000000"/>
                <w:sz w:val="20"/>
                <w:szCs w:val="20"/>
                <w:u w:val="none"/>
                <w:lang w:val="en-US" w:eastAsia="zh-CN" w:bidi="ar"/>
              </w:rPr>
              <w:br/>
            </w:r>
            <w:r>
              <w:rPr>
                <w:rFonts w:hint="eastAsia" w:asciiTheme="minorEastAsia" w:hAnsiTheme="minorEastAsia" w:eastAsiaTheme="minorEastAsia" w:cstheme="minorEastAsia"/>
                <w:i w:val="0"/>
                <w:iCs w:val="0"/>
                <w:color w:val="000000"/>
                <w:sz w:val="20"/>
                <w:szCs w:val="20"/>
                <w:u w:val="none"/>
                <w:lang w:val="en-US" w:eastAsia="zh-CN" w:bidi="ar"/>
              </w:rPr>
              <w:t xml:space="preserve">3、不锈钢板安装完成后，距离墙面50mm</w:t>
            </w:r>
            <w:r>
              <w:rPr>
                <w:rFonts w:hint="eastAsia" w:asciiTheme="minorEastAsia" w:hAnsiTheme="minorEastAsia" w:eastAsiaTheme="minorEastAsia" w:cstheme="minorEastAsia"/>
                <w:i w:val="0"/>
                <w:iCs w:val="0"/>
                <w:color w:val="000000"/>
                <w:sz w:val="20"/>
                <w:szCs w:val="20"/>
                <w:u w:val="none"/>
                <w:lang w:val="en-US" w:eastAsia="zh-CN" w:bidi="ar"/>
              </w:rPr>
              <w:br/>
            </w:r>
            <w:r>
              <w:rPr>
                <w:rFonts w:hint="eastAsia" w:asciiTheme="minorEastAsia" w:hAnsiTheme="minorEastAsia" w:eastAsiaTheme="minorEastAsia" w:cstheme="minorEastAsia"/>
                <w:i w:val="0"/>
                <w:iCs w:val="0"/>
                <w:color w:val="000000"/>
                <w:sz w:val="20"/>
                <w:szCs w:val="20"/>
                <w:u w:val="none"/>
                <w:lang w:val="en-US" w:eastAsia="zh-CN" w:bidi="ar"/>
              </w:rPr>
              <w:t xml:space="preserve">4、其他详见图纸要求</w:t>
            </w:r>
            <w:r/>
          </w:p>
        </w:tc>
        <w:tc>
          <w:tcPr>
            <w:shd w:val="clear" w:color="auto" w:fill="auto"/>
            <w:tcW w:w="982" w:type="dxa"/>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lang w:val="en-US" w:eastAsia="zh-CN" w:bidi="ar"/>
              </w:rPr>
              <w:t xml:space="preserve">m2</w:t>
            </w:r>
            <w:r/>
          </w:p>
        </w:tc>
        <w:tc>
          <w:tcPr>
            <w:shd w:val="clear" w:color="auto" w:fill="auto"/>
            <w:tcW w:w="971" w:type="dxa"/>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lang w:val="en-US" w:eastAsia="zh-CN" w:bidi="ar"/>
              </w:rPr>
              <w:t xml:space="preserve">6.53</w:t>
            </w:r>
            <w:r/>
          </w:p>
        </w:tc>
      </w:tr>
      <w:tr>
        <w:trPr>
          <w:trHeight w:val="335"/>
        </w:trPr>
        <w:tc>
          <w:tcPr>
            <w:shd w:val="clear" w:color="auto" w:fill="auto"/>
            <w:tcW w:w="749" w:type="dxa"/>
            <w:vAlign w:val="center"/>
            <w:textDirection w:val="lrTb"/>
            <w:noWrap w:val="false"/>
          </w:tcPr>
          <w:p>
            <w:pPr>
              <w:jc w:val="center"/>
              <w:keepLines w:val="0"/>
              <w:keepNext w:val="0"/>
              <w:widowControl/>
              <w:rPr>
                <w:rFonts w:hint="default" w:asciiTheme="minorEastAsia" w:hAnsiTheme="minorEastAsia" w:eastAsiaTheme="minorEastAsia" w:cstheme="minorEastAsia"/>
                <w:i w:val="0"/>
                <w:iCs w:val="0"/>
                <w:color w:val="000000"/>
                <w:sz w:val="20"/>
                <w:szCs w:val="20"/>
                <w:u w:val="none"/>
                <w:lang w:val="en-US"/>
              </w:rPr>
              <w:suppressLineNumbers w:val="0"/>
            </w:pPr>
            <w:r>
              <w:rPr>
                <w:rFonts w:hint="eastAsia" w:asciiTheme="minorEastAsia" w:hAnsiTheme="minorEastAsia" w:cstheme="minorEastAsia"/>
                <w:i w:val="0"/>
                <w:iCs w:val="0"/>
                <w:color w:val="000000"/>
                <w:sz w:val="20"/>
                <w:szCs w:val="20"/>
                <w:u w:val="none"/>
                <w:lang w:val="en-US" w:eastAsia="zh-CN" w:bidi="ar"/>
              </w:rPr>
              <w:t xml:space="preserve">103</w:t>
            </w:r>
            <w:r/>
          </w:p>
        </w:tc>
        <w:tc>
          <w:tcPr>
            <w:shd w:val="clear" w:color="auto" w:fill="auto"/>
            <w:tcW w:w="1344"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lang w:val="en-US" w:eastAsia="zh-CN" w:bidi="ar"/>
              </w:rPr>
              <w:t xml:space="preserve">汉文化石柱雕塑</w:t>
            </w:r>
            <w:r/>
          </w:p>
        </w:tc>
        <w:tc>
          <w:tcPr>
            <w:shd w:val="clear" w:color="auto" w:fill="auto"/>
            <w:tcW w:w="4751"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lang w:val="en-US" w:eastAsia="zh-CN" w:bidi="ar"/>
              </w:rPr>
              <w:t xml:space="preserve">1、汉文化石柱制作安装</w:t>
            </w:r>
            <w:r>
              <w:rPr>
                <w:rFonts w:hint="eastAsia" w:asciiTheme="minorEastAsia" w:hAnsiTheme="minorEastAsia" w:eastAsiaTheme="minorEastAsia" w:cstheme="minorEastAsia"/>
                <w:i w:val="0"/>
                <w:iCs w:val="0"/>
                <w:color w:val="000000"/>
                <w:sz w:val="20"/>
                <w:szCs w:val="20"/>
                <w:u w:val="none"/>
                <w:lang w:val="en-US" w:eastAsia="zh-CN" w:bidi="ar"/>
              </w:rPr>
              <w:br/>
            </w:r>
            <w:r>
              <w:rPr>
                <w:rFonts w:hint="eastAsia" w:asciiTheme="minorEastAsia" w:hAnsiTheme="minorEastAsia" w:eastAsiaTheme="minorEastAsia" w:cstheme="minorEastAsia"/>
                <w:i w:val="0"/>
                <w:iCs w:val="0"/>
                <w:color w:val="000000"/>
                <w:sz w:val="20"/>
                <w:szCs w:val="20"/>
                <w:u w:val="none"/>
                <w:lang w:val="en-US" w:eastAsia="zh-CN" w:bidi="ar"/>
              </w:rPr>
              <w:t xml:space="preserve">2、其他详见图纸要求</w:t>
            </w:r>
            <w:r/>
          </w:p>
        </w:tc>
        <w:tc>
          <w:tcPr>
            <w:shd w:val="clear" w:color="auto" w:fill="auto"/>
            <w:tcW w:w="982" w:type="dxa"/>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lang w:val="en-US" w:eastAsia="zh-CN" w:bidi="ar"/>
              </w:rPr>
              <w:t xml:space="preserve">根</w:t>
            </w:r>
            <w:r/>
          </w:p>
        </w:tc>
        <w:tc>
          <w:tcPr>
            <w:shd w:val="clear" w:color="auto" w:fill="auto"/>
            <w:tcW w:w="971" w:type="dxa"/>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lang w:val="en-US" w:eastAsia="zh-CN" w:bidi="ar"/>
              </w:rPr>
              <w:t xml:space="preserve">4</w:t>
            </w:r>
            <w:r/>
          </w:p>
        </w:tc>
      </w:tr>
      <w:tr>
        <w:trPr>
          <w:trHeight w:val="373"/>
        </w:trPr>
        <w:tc>
          <w:tcPr>
            <w:shd w:val="clear" w:color="auto" w:fill="auto"/>
            <w:tcW w:w="749" w:type="dxa"/>
            <w:vAlign w:val="center"/>
            <w:textDirection w:val="lrTb"/>
            <w:noWrap w:val="false"/>
          </w:tcPr>
          <w:p>
            <w:pPr>
              <w:jc w:val="center"/>
              <w:keepLines w:val="0"/>
              <w:keepNext w:val="0"/>
              <w:widowControl/>
              <w:rPr>
                <w:rFonts w:hint="default" w:asciiTheme="minorEastAsia" w:hAnsiTheme="minorEastAsia" w:eastAsiaTheme="minorEastAsia" w:cstheme="minorEastAsia"/>
                <w:i w:val="0"/>
                <w:iCs w:val="0"/>
                <w:color w:val="000000"/>
                <w:sz w:val="20"/>
                <w:szCs w:val="20"/>
                <w:u w:val="none"/>
                <w:lang w:val="en-US"/>
              </w:rPr>
              <w:suppressLineNumbers w:val="0"/>
            </w:pPr>
            <w:r>
              <w:rPr>
                <w:rFonts w:hint="eastAsia" w:asciiTheme="minorEastAsia" w:hAnsiTheme="minorEastAsia" w:cstheme="minorEastAsia"/>
                <w:i w:val="0"/>
                <w:iCs w:val="0"/>
                <w:color w:val="000000"/>
                <w:sz w:val="20"/>
                <w:szCs w:val="20"/>
                <w:u w:val="none"/>
                <w:lang w:val="en-US" w:eastAsia="zh-CN" w:bidi="ar"/>
              </w:rPr>
              <w:t xml:space="preserve">104</w:t>
            </w:r>
            <w:r/>
          </w:p>
        </w:tc>
        <w:tc>
          <w:tcPr>
            <w:shd w:val="clear" w:color="auto" w:fill="auto"/>
            <w:tcW w:w="1344"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lang w:val="en-US" w:eastAsia="zh-CN" w:bidi="ar"/>
              </w:rPr>
              <w:t xml:space="preserve">多级离心泵1</w:t>
            </w:r>
            <w:r/>
          </w:p>
        </w:tc>
        <w:tc>
          <w:tcPr>
            <w:shd w:val="clear" w:color="auto" w:fill="auto"/>
            <w:tcW w:w="4751"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lang w:val="en-US" w:eastAsia="zh-CN" w:bidi="ar"/>
              </w:rPr>
              <w:t xml:space="preserve">1、名称：潜水泵</w:t>
            </w:r>
            <w:r>
              <w:rPr>
                <w:rFonts w:hint="eastAsia" w:asciiTheme="minorEastAsia" w:hAnsiTheme="minorEastAsia" w:eastAsiaTheme="minorEastAsia" w:cstheme="minorEastAsia"/>
                <w:i w:val="0"/>
                <w:iCs w:val="0"/>
                <w:color w:val="000000"/>
                <w:sz w:val="20"/>
                <w:szCs w:val="20"/>
                <w:u w:val="none"/>
                <w:lang w:val="en-US" w:eastAsia="zh-CN" w:bidi="ar"/>
              </w:rPr>
              <w:br/>
            </w:r>
            <w:r>
              <w:rPr>
                <w:rFonts w:hint="eastAsia" w:asciiTheme="minorEastAsia" w:hAnsiTheme="minorEastAsia" w:eastAsiaTheme="minorEastAsia" w:cstheme="minorEastAsia"/>
                <w:i w:val="0"/>
                <w:iCs w:val="0"/>
                <w:color w:val="000000"/>
                <w:sz w:val="20"/>
                <w:szCs w:val="20"/>
                <w:u w:val="none"/>
                <w:lang w:val="en-US" w:eastAsia="zh-CN" w:bidi="ar"/>
              </w:rPr>
              <w:t xml:space="preserve">2、型号：流量5m3/h,扬程7.0m,功率0.25KW</w:t>
            </w:r>
            <w:r>
              <w:rPr>
                <w:rFonts w:hint="eastAsia" w:asciiTheme="minorEastAsia" w:hAnsiTheme="minorEastAsia" w:eastAsiaTheme="minorEastAsia" w:cstheme="minorEastAsia"/>
                <w:i w:val="0"/>
                <w:iCs w:val="0"/>
                <w:color w:val="000000"/>
                <w:sz w:val="20"/>
                <w:szCs w:val="20"/>
                <w:u w:val="none"/>
                <w:lang w:val="en-US" w:eastAsia="zh-CN" w:bidi="ar"/>
              </w:rPr>
              <w:br/>
            </w:r>
            <w:r>
              <w:rPr>
                <w:rFonts w:hint="eastAsia" w:asciiTheme="minorEastAsia" w:hAnsiTheme="minorEastAsia" w:eastAsiaTheme="minorEastAsia" w:cstheme="minorEastAsia"/>
                <w:i w:val="0"/>
                <w:iCs w:val="0"/>
                <w:color w:val="000000"/>
                <w:sz w:val="20"/>
                <w:szCs w:val="20"/>
                <w:u w:val="none"/>
                <w:lang w:val="en-US" w:eastAsia="zh-CN" w:bidi="ar"/>
              </w:rPr>
              <w:t xml:space="preserve">3、固定安装</w:t>
            </w:r>
            <w:r/>
          </w:p>
        </w:tc>
        <w:tc>
          <w:tcPr>
            <w:shd w:val="clear" w:color="auto" w:fill="auto"/>
            <w:tcW w:w="982" w:type="dxa"/>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lang w:val="en-US" w:eastAsia="zh-CN" w:bidi="ar"/>
              </w:rPr>
              <w:t xml:space="preserve">台</w:t>
            </w:r>
            <w:r/>
          </w:p>
        </w:tc>
        <w:tc>
          <w:tcPr>
            <w:shd w:val="clear" w:color="auto" w:fill="auto"/>
            <w:tcW w:w="971" w:type="dxa"/>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lang w:val="en-US" w:eastAsia="zh-CN" w:bidi="ar"/>
              </w:rPr>
              <w:t xml:space="preserve">2</w:t>
            </w:r>
            <w:r/>
          </w:p>
        </w:tc>
      </w:tr>
      <w:tr>
        <w:trPr>
          <w:trHeight w:val="506"/>
        </w:trPr>
        <w:tc>
          <w:tcPr>
            <w:shd w:val="clear" w:color="auto" w:fill="auto"/>
            <w:tcW w:w="749" w:type="dxa"/>
            <w:vAlign w:val="center"/>
            <w:textDirection w:val="lrTb"/>
            <w:noWrap w:val="false"/>
          </w:tcPr>
          <w:p>
            <w:pPr>
              <w:jc w:val="center"/>
              <w:keepLines w:val="0"/>
              <w:keepNext w:val="0"/>
              <w:widowControl/>
              <w:rPr>
                <w:rFonts w:hint="default" w:asciiTheme="minorEastAsia" w:hAnsiTheme="minorEastAsia" w:eastAsiaTheme="minorEastAsia" w:cstheme="minorEastAsia"/>
                <w:i w:val="0"/>
                <w:iCs w:val="0"/>
                <w:color w:val="000000"/>
                <w:sz w:val="20"/>
                <w:szCs w:val="20"/>
                <w:u w:val="none"/>
                <w:lang w:val="en-US"/>
              </w:rPr>
              <w:suppressLineNumbers w:val="0"/>
            </w:pPr>
            <w:r>
              <w:rPr>
                <w:rFonts w:hint="eastAsia" w:asciiTheme="minorEastAsia" w:hAnsiTheme="minorEastAsia" w:cstheme="minorEastAsia"/>
                <w:i w:val="0"/>
                <w:iCs w:val="0"/>
                <w:color w:val="000000"/>
                <w:sz w:val="20"/>
                <w:szCs w:val="20"/>
                <w:u w:val="none"/>
                <w:lang w:val="en-US" w:eastAsia="zh-CN" w:bidi="ar"/>
              </w:rPr>
              <w:t xml:space="preserve">105</w:t>
            </w:r>
            <w:r/>
          </w:p>
        </w:tc>
        <w:tc>
          <w:tcPr>
            <w:shd w:val="clear" w:color="auto" w:fill="auto"/>
            <w:tcW w:w="1344"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lang w:val="en-US" w:eastAsia="zh-CN" w:bidi="ar"/>
              </w:rPr>
              <w:t xml:space="preserve">多级离心泵2</w:t>
            </w:r>
            <w:r/>
          </w:p>
        </w:tc>
        <w:tc>
          <w:tcPr>
            <w:shd w:val="clear" w:color="auto" w:fill="auto"/>
            <w:tcW w:w="4751"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lang w:val="en-US" w:eastAsia="zh-CN" w:bidi="ar"/>
              </w:rPr>
              <w:t xml:space="preserve">1、名称：潜水泵</w:t>
            </w:r>
            <w:r>
              <w:rPr>
                <w:rFonts w:hint="eastAsia" w:asciiTheme="minorEastAsia" w:hAnsiTheme="minorEastAsia" w:eastAsiaTheme="minorEastAsia" w:cstheme="minorEastAsia"/>
                <w:i w:val="0"/>
                <w:iCs w:val="0"/>
                <w:color w:val="000000"/>
                <w:sz w:val="20"/>
                <w:szCs w:val="20"/>
                <w:u w:val="none"/>
                <w:lang w:val="en-US" w:eastAsia="zh-CN" w:bidi="ar"/>
              </w:rPr>
              <w:br/>
            </w:r>
            <w:r>
              <w:rPr>
                <w:rFonts w:hint="eastAsia" w:asciiTheme="minorEastAsia" w:hAnsiTheme="minorEastAsia" w:eastAsiaTheme="minorEastAsia" w:cstheme="minorEastAsia"/>
                <w:i w:val="0"/>
                <w:iCs w:val="0"/>
                <w:color w:val="000000"/>
                <w:sz w:val="20"/>
                <w:szCs w:val="20"/>
                <w:u w:val="none"/>
                <w:lang w:val="en-US" w:eastAsia="zh-CN" w:bidi="ar"/>
              </w:rPr>
              <w:t xml:space="preserve">2、型号：流量100m3/h,扬程12.0m,功率5.5KW</w:t>
            </w:r>
            <w:r>
              <w:rPr>
                <w:rFonts w:hint="eastAsia" w:asciiTheme="minorEastAsia" w:hAnsiTheme="minorEastAsia" w:eastAsiaTheme="minorEastAsia" w:cstheme="minorEastAsia"/>
                <w:i w:val="0"/>
                <w:iCs w:val="0"/>
                <w:color w:val="000000"/>
                <w:sz w:val="20"/>
                <w:szCs w:val="20"/>
                <w:u w:val="none"/>
                <w:lang w:val="en-US" w:eastAsia="zh-CN" w:bidi="ar"/>
              </w:rPr>
              <w:br/>
            </w:r>
            <w:r>
              <w:rPr>
                <w:rFonts w:hint="eastAsia" w:asciiTheme="minorEastAsia" w:hAnsiTheme="minorEastAsia" w:eastAsiaTheme="minorEastAsia" w:cstheme="minorEastAsia"/>
                <w:i w:val="0"/>
                <w:iCs w:val="0"/>
                <w:color w:val="000000"/>
                <w:sz w:val="20"/>
                <w:szCs w:val="20"/>
                <w:u w:val="none"/>
                <w:lang w:val="en-US" w:eastAsia="zh-CN" w:bidi="ar"/>
              </w:rPr>
              <w:t xml:space="preserve">3、固定安装</w:t>
            </w:r>
            <w:r/>
          </w:p>
        </w:tc>
        <w:tc>
          <w:tcPr>
            <w:shd w:val="clear" w:color="auto" w:fill="auto"/>
            <w:tcW w:w="982" w:type="dxa"/>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lang w:val="en-US" w:eastAsia="zh-CN" w:bidi="ar"/>
              </w:rPr>
              <w:t xml:space="preserve">台</w:t>
            </w:r>
            <w:r/>
          </w:p>
        </w:tc>
        <w:tc>
          <w:tcPr>
            <w:shd w:val="clear" w:color="auto" w:fill="auto"/>
            <w:tcW w:w="971" w:type="dxa"/>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lang w:val="en-US" w:eastAsia="zh-CN" w:bidi="ar"/>
              </w:rPr>
              <w:t xml:space="preserve">1</w:t>
            </w:r>
            <w:r/>
          </w:p>
        </w:tc>
      </w:tr>
    </w:tbl>
    <w:p>
      <w:pPr>
        <w:ind w:left="0" w:right="0" w:firstLine="482"/>
        <w:jc w:val="both"/>
        <w:keepLines w:val="0"/>
        <w:keepNext w:val="0"/>
        <w:pageBreakBefore w:val="0"/>
        <w:spacing w:before="0" w:after="0" w:line="360" w:lineRule="auto"/>
        <w:widowControl w:val="off"/>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lang w:val="en-US" w:eastAsia="zh-CN"/>
        </w:rPr>
        <w:t xml:space="preserve">四</w:t>
      </w:r>
      <w:r>
        <w:rPr>
          <w:rFonts w:hint="eastAsia" w:ascii="宋体" w:hAnsi="宋体" w:eastAsia="宋体" w:cs="宋体"/>
          <w:b/>
          <w:bCs/>
          <w:color w:val="auto"/>
          <w:sz w:val="24"/>
          <w:szCs w:val="24"/>
          <w:highlight w:val="none"/>
        </w:rPr>
        <w:t xml:space="preserve">、项目实施要求</w:t>
      </w:r>
      <w:r/>
    </w:p>
    <w:p>
      <w:pPr>
        <w:ind w:right="0" w:firstLine="480"/>
        <w:keepLines w:val="0"/>
        <w:keepNext w:val="0"/>
        <w:pageBreakBefore w:val="0"/>
        <w:spacing w:line="360" w:lineRule="auto"/>
        <w:widowControl w:val="off"/>
        <w:rPr>
          <w:rStyle w:val="758"/>
          <w:rFonts w:hint="eastAsia" w:ascii="宋体" w:hAnsi="宋体" w:eastAsia="宋体" w:cs="宋体"/>
          <w:color w:val="auto"/>
          <w:sz w:val="24"/>
          <w:szCs w:val="24"/>
        </w:rPr>
      </w:pPr>
      <w:r>
        <w:rPr>
          <w:rStyle w:val="758"/>
          <w:rFonts w:hint="eastAsia" w:ascii="宋体" w:hAnsi="宋体" w:eastAsia="宋体" w:cs="宋体"/>
          <w:sz w:val="24"/>
          <w:szCs w:val="24"/>
        </w:rPr>
        <w:t xml:space="preserve">1、投标人所投产品应能够至少达到以上技术参数要求，同时明确所投产品的品牌、型号、规格及一些必须说明的技术参数，以及设备配置清单</w:t>
      </w:r>
      <w:r>
        <w:rPr>
          <w:rStyle w:val="758"/>
          <w:rFonts w:hint="eastAsia" w:ascii="宋体" w:hAnsi="宋体" w:eastAsia="宋体" w:cs="宋体"/>
          <w:b w:val="0"/>
          <w:bCs w:val="0"/>
          <w:color w:val="auto"/>
          <w:sz w:val="24"/>
          <w:szCs w:val="24"/>
        </w:rPr>
        <w:t xml:space="preserve">。</w:t>
      </w:r>
      <w:r/>
    </w:p>
    <w:p>
      <w:pPr>
        <w:ind w:right="0" w:firstLine="480"/>
        <w:keepLines w:val="0"/>
        <w:keepNext w:val="0"/>
        <w:pageBreakBefore w:val="0"/>
        <w:spacing w:line="360" w:lineRule="auto"/>
        <w:widowControl w:val="off"/>
        <w:rPr>
          <w:rStyle w:val="758"/>
          <w:rFonts w:hint="eastAsia" w:ascii="宋体" w:hAnsi="宋体" w:eastAsia="宋体" w:cs="宋体"/>
          <w:color w:val="000000"/>
          <w:sz w:val="24"/>
          <w:szCs w:val="24"/>
        </w:rPr>
      </w:pPr>
      <w:r>
        <w:rPr>
          <w:rStyle w:val="758"/>
          <w:rFonts w:hint="eastAsia" w:ascii="宋体" w:hAnsi="宋体" w:eastAsia="宋体" w:cs="宋体"/>
          <w:sz w:val="24"/>
          <w:szCs w:val="24"/>
        </w:rPr>
        <w:t xml:space="preserve">2、投标人所投货物必须为原厂原装、全套全新的、符合国家有关质量标准的产品。采购人对设备验收合格后，双方共同签署验收合格证明。验收中发现设备达不到验收标准或合同规定的性能指标，中标人必须更换，并且赔偿由此给采购人</w:t>
      </w:r>
      <w:r>
        <w:rPr>
          <w:rStyle w:val="758"/>
          <w:rFonts w:hint="eastAsia" w:ascii="宋体" w:hAnsi="宋体" w:eastAsia="宋体" w:cs="宋体"/>
          <w:color w:val="000000"/>
          <w:sz w:val="24"/>
          <w:szCs w:val="24"/>
        </w:rPr>
        <w:t xml:space="preserve">造成的损失。验收合格后由中标人按采购人的需求安装在采购人的指定位置。</w:t>
      </w:r>
      <w:r/>
    </w:p>
    <w:p>
      <w:pPr>
        <w:ind w:right="0" w:firstLine="480"/>
        <w:keepLines w:val="0"/>
        <w:keepNext w:val="0"/>
        <w:pageBreakBefore w:val="0"/>
        <w:spacing w:line="360" w:lineRule="auto"/>
        <w:widowControl w:val="off"/>
        <w:rPr>
          <w:rStyle w:val="758"/>
          <w:rFonts w:hint="eastAsia" w:ascii="宋体" w:hAnsi="宋体" w:eastAsia="宋体" w:cs="宋体"/>
          <w:color w:val="000000"/>
          <w:sz w:val="24"/>
          <w:szCs w:val="24"/>
        </w:rPr>
      </w:pPr>
      <w:r>
        <w:rPr>
          <w:rStyle w:val="758"/>
          <w:rFonts w:hint="eastAsia" w:ascii="宋体" w:hAnsi="宋体" w:eastAsia="宋体" w:cs="宋体"/>
          <w:color w:val="000000"/>
          <w:sz w:val="24"/>
          <w:szCs w:val="24"/>
        </w:rPr>
        <w:t xml:space="preserve">3、投标人必须承诺招标文件中提出的全部技术规格与要求，如果以其中某些条款不响应时，应在文件中逐条列出，未列出的视同响应。</w:t>
      </w:r>
      <w:r/>
    </w:p>
    <w:p>
      <w:pPr>
        <w:ind w:right="0" w:firstLine="480"/>
        <w:keepLines w:val="0"/>
        <w:keepNext w:val="0"/>
        <w:pageBreakBefore w:val="0"/>
        <w:spacing w:line="360" w:lineRule="auto"/>
        <w:widowControl w:val="off"/>
        <w:rPr>
          <w:rStyle w:val="758"/>
          <w:rFonts w:hint="eastAsia" w:ascii="宋体" w:hAnsi="宋体" w:eastAsia="宋体" w:cs="宋体"/>
          <w:bCs/>
          <w:color w:val="000000"/>
          <w:sz w:val="24"/>
          <w:szCs w:val="24"/>
        </w:rPr>
      </w:pPr>
      <w:r>
        <w:rPr>
          <w:rStyle w:val="758"/>
          <w:rFonts w:hint="eastAsia" w:ascii="宋体" w:hAnsi="宋体" w:eastAsia="宋体" w:cs="宋体"/>
          <w:bCs/>
          <w:color w:val="000000"/>
          <w:sz w:val="24"/>
          <w:szCs w:val="24"/>
        </w:rPr>
        <w:t xml:space="preserve">4、本项目要求投标人在充分理解系统功能的基础上选用符合招标文件要求的设备，投标文件中提供详细的设备清单。该清单中所列项目必须能够构成完整的可正常运行并满足本招标要求的系统。</w:t>
      </w:r>
      <w:r/>
    </w:p>
    <w:p>
      <w:pPr>
        <w:ind w:right="0" w:firstLine="482"/>
        <w:keepLines w:val="0"/>
        <w:keepNext w:val="0"/>
        <w:pageBreakBefore w:val="0"/>
        <w:spacing w:line="360" w:lineRule="auto"/>
        <w:widowControl w:val="off"/>
        <w:rPr>
          <w:rStyle w:val="758"/>
          <w:rFonts w:hint="eastAsia" w:ascii="宋体" w:hAnsi="宋体" w:eastAsia="宋体" w:cs="宋体"/>
          <w:b/>
          <w:bCs/>
          <w:color w:val="000000"/>
          <w:sz w:val="24"/>
          <w:szCs w:val="24"/>
        </w:rPr>
      </w:pPr>
      <w:r>
        <w:rPr>
          <w:rStyle w:val="758"/>
          <w:rFonts w:hint="eastAsia" w:ascii="宋体" w:hAnsi="宋体" w:eastAsia="宋体" w:cs="宋体"/>
          <w:b/>
          <w:bCs/>
          <w:color w:val="000000"/>
          <w:sz w:val="24"/>
          <w:szCs w:val="24"/>
        </w:rPr>
        <w:t xml:space="preserve">5、交付时间：合同生效日后，</w:t>
      </w:r>
      <w:r>
        <w:rPr>
          <w:rStyle w:val="758"/>
          <w:rFonts w:hint="eastAsia" w:ascii="宋体" w:hAnsi="宋体" w:eastAsia="宋体" w:cs="宋体"/>
          <w:b/>
          <w:bCs/>
          <w:color w:val="000000"/>
          <w:sz w:val="24"/>
          <w:szCs w:val="24"/>
          <w:u w:val="none"/>
          <w:lang w:val="en-US"/>
        </w:rPr>
        <w:t xml:space="preserve">30日</w:t>
      </w:r>
      <w:r>
        <w:rPr>
          <w:rStyle w:val="758"/>
          <w:rFonts w:hint="eastAsia" w:ascii="宋体" w:hAnsi="宋体" w:eastAsia="宋体" w:cs="宋体"/>
          <w:b/>
          <w:bCs/>
          <w:color w:val="000000"/>
          <w:sz w:val="24"/>
          <w:szCs w:val="24"/>
        </w:rPr>
        <w:t xml:space="preserve">内完成交付并安装调试完毕并投入使用（</w:t>
      </w:r>
      <w:r>
        <w:rPr>
          <w:rStyle w:val="759"/>
          <w:rFonts w:hint="eastAsia" w:ascii="宋体" w:hAnsi="宋体" w:eastAsia="宋体" w:cs="宋体"/>
          <w:b/>
          <w:bCs/>
          <w:color w:val="auto"/>
          <w:sz w:val="24"/>
          <w:szCs w:val="24"/>
          <w:lang w:val="en-US"/>
        </w:rPr>
        <w:t xml:space="preserve">具体时间以学校通知的时间为准</w:t>
      </w:r>
      <w:r>
        <w:rPr>
          <w:rStyle w:val="759"/>
          <w:rFonts w:hint="eastAsia" w:ascii="宋体" w:hAnsi="宋体" w:eastAsia="宋体" w:cs="宋体"/>
          <w:b/>
          <w:bCs/>
          <w:color w:val="auto"/>
          <w:sz w:val="24"/>
          <w:szCs w:val="24"/>
        </w:rPr>
        <w:t xml:space="preserve">）</w:t>
      </w:r>
      <w:r>
        <w:rPr>
          <w:rStyle w:val="758"/>
          <w:rFonts w:hint="eastAsia" w:ascii="宋体" w:hAnsi="宋体" w:eastAsia="宋体" w:cs="宋体"/>
          <w:b/>
          <w:bCs/>
          <w:color w:val="000000"/>
          <w:sz w:val="24"/>
          <w:szCs w:val="24"/>
        </w:rPr>
        <w:t xml:space="preserve">。</w:t>
      </w:r>
      <w:r/>
    </w:p>
    <w:p>
      <w:pPr>
        <w:ind w:left="0" w:firstLine="480"/>
        <w:jc w:val="left"/>
        <w:keepLines w:val="0"/>
        <w:keepNext w:val="0"/>
        <w:pageBreakBefore w:val="0"/>
        <w:spacing w:line="36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6、交付地点：供应商负责将货物运到采购人指定地点，由供应商负责办理运输和装卸等，费用由供应商负责，由采购人组织验收，检验不合格或不符合质量要求，供应商除无条件退货、返工外，还应承担采购人的一切损失。</w:t>
      </w:r>
      <w:r/>
    </w:p>
    <w:p>
      <w:pPr>
        <w:ind w:right="0" w:firstLine="480"/>
        <w:keepLines w:val="0"/>
        <w:keepNext w:val="0"/>
        <w:pageBreakBefore w:val="0"/>
        <w:spacing w:line="360" w:lineRule="auto"/>
        <w:widowControl w:val="off"/>
        <w:rPr>
          <w:rStyle w:val="758"/>
          <w:rFonts w:hint="eastAsia" w:ascii="宋体" w:hAnsi="宋体" w:eastAsia="宋体" w:cs="宋体"/>
          <w:color w:val="000000"/>
          <w:sz w:val="24"/>
          <w:szCs w:val="24"/>
        </w:rPr>
      </w:pPr>
      <w:r>
        <w:rPr>
          <w:rStyle w:val="758"/>
          <w:rFonts w:hint="eastAsia" w:ascii="宋体" w:hAnsi="宋体" w:eastAsia="宋体" w:cs="宋体"/>
          <w:color w:val="000000"/>
          <w:sz w:val="24"/>
          <w:szCs w:val="24"/>
          <w:lang w:val="en-US"/>
        </w:rPr>
        <w:t xml:space="preserve">7</w:t>
      </w:r>
      <w:r>
        <w:rPr>
          <w:rStyle w:val="758"/>
          <w:rFonts w:hint="eastAsia" w:ascii="宋体" w:hAnsi="宋体" w:eastAsia="宋体" w:cs="宋体"/>
          <w:color w:val="000000"/>
          <w:sz w:val="24"/>
          <w:szCs w:val="24"/>
        </w:rPr>
        <w:t xml:space="preserve">、投标人承担安装或维修的专用设备和人员的安全责任。投标人中标后应及时安装调试，安装调试期间采购人的使用人员协助配合；安装调试完毕，中标人需组织采购人使用人员进行使用及日常维护等的培训。</w:t>
      </w:r>
      <w:r/>
    </w:p>
    <w:p>
      <w:pPr>
        <w:ind w:right="0" w:firstLine="480"/>
        <w:keepLines w:val="0"/>
        <w:keepNext w:val="0"/>
        <w:pageBreakBefore w:val="0"/>
        <w:spacing w:line="360" w:lineRule="auto"/>
        <w:widowControl w:val="off"/>
        <w:rPr>
          <w:rStyle w:val="758"/>
          <w:rFonts w:hint="eastAsia" w:ascii="宋体" w:hAnsi="宋体" w:eastAsia="宋体" w:cs="宋体"/>
          <w:color w:val="000000"/>
          <w:sz w:val="24"/>
          <w:szCs w:val="24"/>
        </w:rPr>
      </w:pPr>
      <w:r>
        <w:rPr>
          <w:rStyle w:val="758"/>
          <w:rFonts w:hint="eastAsia" w:ascii="宋体" w:hAnsi="宋体" w:cs="宋体"/>
          <w:color w:val="000000"/>
          <w:sz w:val="24"/>
          <w:szCs w:val="24"/>
          <w:lang w:val="en-US"/>
        </w:rPr>
        <w:t xml:space="preserve">8</w:t>
      </w:r>
      <w:r>
        <w:rPr>
          <w:rStyle w:val="758"/>
          <w:rFonts w:hint="eastAsia" w:ascii="宋体" w:hAnsi="宋体" w:eastAsia="宋体" w:cs="宋体"/>
          <w:color w:val="000000"/>
          <w:sz w:val="24"/>
          <w:szCs w:val="24"/>
        </w:rPr>
        <w:t xml:space="preserve">、投标人应保证所提供设备涉及到的知识产权和所提供的软件、技术资料是合法取得，并享有完整的知识产权，不会因为采购人的使用而被责令停止使用、追偿或要求赔偿损失，如出现此情况，一切经济和法律责任均由投标人承担。</w:t>
      </w:r>
      <w:r/>
    </w:p>
    <w:p>
      <w:pPr>
        <w:ind w:right="0" w:firstLine="480"/>
        <w:keepLines w:val="0"/>
        <w:keepNext w:val="0"/>
        <w:pageBreakBefore w:val="0"/>
        <w:spacing w:line="360" w:lineRule="auto"/>
        <w:widowControl w:val="off"/>
        <w:rPr>
          <w:rStyle w:val="758"/>
          <w:rFonts w:hint="eastAsia" w:ascii="宋体" w:hAnsi="宋体" w:eastAsia="宋体" w:cs="宋体"/>
          <w:color w:val="000000"/>
          <w:sz w:val="24"/>
          <w:szCs w:val="24"/>
        </w:rPr>
      </w:pPr>
      <w:r>
        <w:rPr>
          <w:rStyle w:val="758"/>
          <w:rFonts w:hint="eastAsia" w:ascii="宋体" w:hAnsi="宋体" w:cs="宋体"/>
          <w:color w:val="000000"/>
          <w:sz w:val="24"/>
          <w:szCs w:val="24"/>
          <w:lang w:val="en-US"/>
        </w:rPr>
        <w:t xml:space="preserve">9</w:t>
      </w:r>
      <w:r>
        <w:rPr>
          <w:rStyle w:val="758"/>
          <w:rFonts w:hint="eastAsia" w:ascii="宋体" w:hAnsi="宋体" w:eastAsia="宋体" w:cs="宋体"/>
          <w:color w:val="000000"/>
          <w:sz w:val="24"/>
          <w:szCs w:val="24"/>
        </w:rPr>
        <w:t xml:space="preserve">、投标人安装调试时采取必要的安全措施，如有意外或事故发生，由中标人（合同卖方）负全部责任。</w:t>
      </w:r>
      <w:r/>
    </w:p>
    <w:p>
      <w:pPr>
        <w:ind w:right="0" w:firstLine="480"/>
        <w:keepLines w:val="0"/>
        <w:keepNext w:val="0"/>
        <w:pageBreakBefore w:val="0"/>
        <w:spacing w:line="360" w:lineRule="auto"/>
        <w:widowControl w:val="off"/>
        <w:rPr>
          <w:rStyle w:val="758"/>
          <w:rFonts w:hint="eastAsia" w:ascii="宋体" w:hAnsi="宋体" w:eastAsia="宋体" w:cs="宋体"/>
          <w:color w:val="000000"/>
          <w:sz w:val="24"/>
          <w:szCs w:val="24"/>
        </w:rPr>
      </w:pPr>
      <w:r>
        <w:rPr>
          <w:rStyle w:val="758"/>
          <w:rFonts w:hint="eastAsia" w:ascii="宋体" w:hAnsi="宋体" w:eastAsia="宋体" w:cs="宋体"/>
          <w:color w:val="000000"/>
          <w:sz w:val="24"/>
          <w:szCs w:val="24"/>
        </w:rPr>
        <w:t xml:space="preserve">1</w:t>
      </w:r>
      <w:r>
        <w:rPr>
          <w:rStyle w:val="758"/>
          <w:rFonts w:hint="eastAsia" w:ascii="宋体" w:hAnsi="宋体" w:cs="宋体"/>
          <w:color w:val="000000"/>
          <w:sz w:val="24"/>
          <w:szCs w:val="24"/>
          <w:lang w:val="en-US"/>
        </w:rPr>
        <w:t xml:space="preserve">0</w:t>
      </w:r>
      <w:r>
        <w:rPr>
          <w:rStyle w:val="758"/>
          <w:rFonts w:hint="eastAsia" w:ascii="宋体" w:hAnsi="宋体" w:eastAsia="宋体" w:cs="宋体"/>
          <w:color w:val="000000"/>
          <w:sz w:val="24"/>
          <w:szCs w:val="24"/>
        </w:rPr>
        <w:t xml:space="preserve">、投标人应指派专人全面负责项目的管理、项目协调、项目控制、质量监督等各项管理工作。</w:t>
      </w:r>
      <w:r/>
    </w:p>
    <w:p>
      <w:pPr>
        <w:ind w:right="0" w:firstLine="482"/>
        <w:keepLines w:val="0"/>
        <w:keepNext w:val="0"/>
        <w:pageBreakBefore w:val="0"/>
        <w:spacing w:line="360" w:lineRule="auto"/>
        <w:widowControl w:val="off"/>
        <w:rPr>
          <w:rStyle w:val="758"/>
          <w:rFonts w:hint="eastAsia" w:ascii="宋体" w:hAnsi="宋体" w:eastAsia="宋体" w:cs="宋体"/>
          <w:b/>
          <w:sz w:val="24"/>
          <w:szCs w:val="24"/>
        </w:rPr>
      </w:pPr>
      <w:r>
        <w:rPr>
          <w:rStyle w:val="758"/>
          <w:rFonts w:hint="eastAsia" w:ascii="宋体" w:hAnsi="宋体" w:eastAsia="宋体" w:cs="宋体"/>
          <w:b/>
          <w:sz w:val="24"/>
          <w:szCs w:val="24"/>
        </w:rPr>
        <w:t xml:space="preserve">五、验收标准</w:t>
      </w:r>
      <w:r/>
    </w:p>
    <w:p>
      <w:pPr>
        <w:ind w:right="0" w:firstLine="480"/>
        <w:jc w:val="left"/>
        <w:keepLines w:val="0"/>
        <w:keepNext w:val="0"/>
        <w:pageBreakBefore w:val="0"/>
        <w:spacing w:line="360" w:lineRule="auto"/>
        <w:widowControl w:val="off"/>
        <w:rPr>
          <w:rStyle w:val="758"/>
          <w:rFonts w:hint="eastAsia" w:ascii="宋体" w:hAnsi="宋体" w:eastAsia="宋体" w:cs="宋体"/>
          <w:color w:val="000000"/>
          <w:sz w:val="24"/>
          <w:szCs w:val="24"/>
        </w:rPr>
      </w:pPr>
      <w:r>
        <w:rPr>
          <w:rStyle w:val="758"/>
          <w:rFonts w:hint="eastAsia" w:ascii="宋体" w:hAnsi="宋体" w:eastAsia="宋体" w:cs="宋体"/>
          <w:color w:val="000000"/>
          <w:sz w:val="24"/>
          <w:szCs w:val="24"/>
        </w:rPr>
        <w:t xml:space="preserve">1、验收依据：相关国家标准、行业标准。</w:t>
      </w:r>
      <w:r/>
    </w:p>
    <w:p>
      <w:pPr>
        <w:ind w:right="0" w:firstLine="480"/>
        <w:keepLines w:val="0"/>
        <w:keepNext w:val="0"/>
        <w:pageBreakBefore w:val="0"/>
        <w:spacing w:line="360" w:lineRule="auto"/>
        <w:widowControl w:val="off"/>
        <w:rPr>
          <w:rStyle w:val="758"/>
          <w:rFonts w:hint="eastAsia" w:ascii="宋体" w:hAnsi="宋体" w:eastAsia="宋体" w:cs="宋体"/>
          <w:bCs/>
          <w:color w:val="000000"/>
          <w:sz w:val="24"/>
          <w:szCs w:val="24"/>
        </w:rPr>
      </w:pPr>
      <w:r>
        <w:rPr>
          <w:rStyle w:val="758"/>
          <w:rFonts w:hint="eastAsia" w:ascii="宋体" w:hAnsi="宋体" w:eastAsia="宋体" w:cs="宋体"/>
          <w:bCs/>
          <w:color w:val="000000"/>
          <w:sz w:val="24"/>
          <w:szCs w:val="24"/>
        </w:rPr>
        <w:t xml:space="preserve">2、验收的时间、方式、程序要求：见招标文件第五章《拟签订的合同文本》第九条。</w:t>
      </w:r>
      <w:r/>
    </w:p>
    <w:p>
      <w:pPr>
        <w:ind w:right="0" w:firstLine="480"/>
        <w:keepLines w:val="0"/>
        <w:keepNext w:val="0"/>
        <w:pageBreakBefore w:val="0"/>
        <w:spacing w:line="360" w:lineRule="auto"/>
        <w:widowControl w:val="off"/>
        <w:rPr>
          <w:rStyle w:val="758"/>
          <w:rFonts w:hint="eastAsia" w:ascii="宋体" w:hAnsi="宋体" w:eastAsia="宋体" w:cs="宋体"/>
          <w:bCs/>
          <w:color w:val="000000"/>
          <w:sz w:val="24"/>
          <w:szCs w:val="24"/>
        </w:rPr>
      </w:pPr>
      <w:r>
        <w:rPr>
          <w:rStyle w:val="758"/>
          <w:rFonts w:hint="eastAsia" w:ascii="宋体" w:hAnsi="宋体" w:eastAsia="宋体" w:cs="宋体"/>
          <w:bCs/>
          <w:color w:val="000000"/>
          <w:sz w:val="24"/>
          <w:szCs w:val="24"/>
        </w:rPr>
        <w:t xml:space="preserve">3、验收标准：以投标文件和投标人（合同乙方（中标人），下同）的澄清、说明或者更正为验收标准；投标人的投标文件和投标人的澄清、说明或者更正不明确的，以《招标文件》相关要求为验收标准；投标人的投标文件和投标人的澄清、说明或者更正和《招标文件》相关要求都不明确的，按国家相关标准；以上都不明确的，以通常标准为准。</w:t>
      </w:r>
      <w:r/>
    </w:p>
    <w:p>
      <w:pPr>
        <w:ind w:right="0" w:firstLine="480"/>
        <w:keepLines w:val="0"/>
        <w:keepNext w:val="0"/>
        <w:pageBreakBefore w:val="0"/>
        <w:spacing w:line="360" w:lineRule="auto"/>
        <w:widowControl w:val="off"/>
        <w:rPr>
          <w:rStyle w:val="758"/>
          <w:rFonts w:hint="eastAsia" w:ascii="宋体" w:hAnsi="宋体" w:eastAsia="宋体" w:cs="宋体"/>
          <w:bCs/>
          <w:color w:val="000000"/>
          <w:sz w:val="24"/>
          <w:szCs w:val="24"/>
        </w:rPr>
      </w:pPr>
      <w:r>
        <w:rPr>
          <w:rStyle w:val="758"/>
          <w:rFonts w:hint="eastAsia" w:ascii="宋体" w:hAnsi="宋体" w:eastAsia="宋体" w:cs="宋体"/>
          <w:bCs/>
          <w:color w:val="000000"/>
          <w:sz w:val="24"/>
          <w:szCs w:val="24"/>
        </w:rPr>
        <w:t xml:space="preserve">4、验收程序：合同标的全部交付并安装完毕后，乙方可向甲方书面提出验收要求，甲方在接到书面要求后3日内进行验收，如果验收因乙方原因发生迟延和在其它情况下发生额外费用，甲方有权就因迟延发生的损害和损失和任何额外费用请求赔偿。</w:t>
      </w:r>
      <w:r/>
    </w:p>
    <w:p>
      <w:pPr>
        <w:ind w:right="0" w:firstLine="482"/>
        <w:keepLines w:val="0"/>
        <w:keepNext w:val="0"/>
        <w:pageBreakBefore w:val="0"/>
        <w:spacing w:line="360" w:lineRule="auto"/>
        <w:widowControl w:val="off"/>
        <w:rPr>
          <w:rStyle w:val="758"/>
          <w:rFonts w:hint="eastAsia" w:ascii="宋体" w:hAnsi="宋体" w:eastAsia="宋体" w:cs="宋体"/>
          <w:b/>
          <w:color w:val="000000"/>
          <w:sz w:val="24"/>
          <w:szCs w:val="24"/>
        </w:rPr>
      </w:pPr>
      <w:r>
        <w:rPr>
          <w:rStyle w:val="758"/>
          <w:rFonts w:hint="eastAsia" w:ascii="宋体" w:hAnsi="宋体" w:eastAsia="宋体" w:cs="宋体"/>
          <w:b/>
          <w:color w:val="000000"/>
          <w:sz w:val="24"/>
          <w:szCs w:val="24"/>
        </w:rPr>
        <w:t xml:space="preserve">六、售后服务要求</w:t>
      </w:r>
      <w:r/>
    </w:p>
    <w:p>
      <w:pPr>
        <w:ind w:right="0" w:firstLine="480"/>
        <w:keepLines w:val="0"/>
        <w:keepNext w:val="0"/>
        <w:pageBreakBefore w:val="0"/>
        <w:spacing w:line="360" w:lineRule="auto"/>
        <w:widowControl w:val="off"/>
        <w:rPr>
          <w:rStyle w:val="758"/>
          <w:rFonts w:hint="eastAsia" w:ascii="宋体" w:hAnsi="宋体" w:eastAsia="宋体" w:cs="宋体"/>
          <w:b w:val="0"/>
          <w:bCs/>
          <w:color w:val="000000"/>
          <w:sz w:val="24"/>
          <w:szCs w:val="24"/>
        </w:rPr>
      </w:pPr>
      <w:r>
        <w:rPr>
          <w:rStyle w:val="758"/>
          <w:rFonts w:hint="eastAsia" w:ascii="宋体" w:hAnsi="宋体" w:eastAsia="宋体" w:cs="宋体"/>
          <w:b w:val="0"/>
          <w:bCs/>
          <w:color w:val="000000"/>
          <w:sz w:val="24"/>
          <w:szCs w:val="24"/>
        </w:rPr>
        <w:t xml:space="preserve">1、质保期：提供不少于</w:t>
      </w:r>
      <w:r>
        <w:rPr>
          <w:rStyle w:val="758"/>
          <w:rFonts w:hint="eastAsia" w:ascii="宋体" w:hAnsi="宋体" w:eastAsia="宋体" w:cs="宋体"/>
          <w:b w:val="0"/>
          <w:bCs/>
          <w:color w:val="000000"/>
          <w:sz w:val="24"/>
          <w:szCs w:val="24"/>
          <w:lang w:val="en-US"/>
        </w:rPr>
        <w:t xml:space="preserve">2</w:t>
      </w:r>
      <w:r>
        <w:rPr>
          <w:rStyle w:val="758"/>
          <w:rFonts w:hint="eastAsia" w:ascii="宋体" w:hAnsi="宋体" w:eastAsia="宋体" w:cs="宋体"/>
          <w:b w:val="0"/>
          <w:bCs/>
          <w:color w:val="000000"/>
          <w:sz w:val="24"/>
          <w:szCs w:val="24"/>
        </w:rPr>
        <w:t xml:space="preserve">年免费质保（自最终验收合格之日起，开始进入质保期）。</w:t>
      </w:r>
      <w:r/>
    </w:p>
    <w:p>
      <w:pPr>
        <w:ind w:right="0" w:firstLine="480"/>
        <w:keepLines w:val="0"/>
        <w:keepNext w:val="0"/>
        <w:pageBreakBefore w:val="0"/>
        <w:spacing w:line="360" w:lineRule="auto"/>
        <w:widowControl w:val="off"/>
        <w:rPr>
          <w:rStyle w:val="758"/>
          <w:rFonts w:hint="eastAsia" w:ascii="宋体" w:hAnsi="宋体" w:eastAsia="宋体" w:cs="宋体"/>
          <w:b w:val="0"/>
          <w:bCs/>
          <w:color w:val="000000"/>
          <w:sz w:val="24"/>
          <w:szCs w:val="24"/>
        </w:rPr>
      </w:pPr>
      <w:r>
        <w:rPr>
          <w:rStyle w:val="758"/>
          <w:rFonts w:hint="eastAsia" w:ascii="宋体" w:hAnsi="宋体" w:eastAsia="宋体" w:cs="宋体"/>
          <w:b w:val="0"/>
          <w:bCs/>
          <w:color w:val="000000"/>
          <w:sz w:val="24"/>
          <w:szCs w:val="24"/>
        </w:rPr>
        <w:t xml:space="preserve">2、在质保期内，对采购人所提出的维修要求做出实质性响应，并提供应急策略；严格按照招标文件要求及时供货，并向采购人提供及时的完善的售前、售中、售后服务。</w:t>
      </w:r>
      <w:r/>
    </w:p>
    <w:p>
      <w:pPr>
        <w:ind w:right="0" w:firstLine="480"/>
        <w:keepLines w:val="0"/>
        <w:keepNext w:val="0"/>
        <w:pageBreakBefore w:val="0"/>
        <w:spacing w:line="360" w:lineRule="auto"/>
        <w:widowControl w:val="off"/>
        <w:rPr>
          <w:rStyle w:val="758"/>
          <w:rFonts w:hint="eastAsia" w:ascii="宋体" w:hAnsi="宋体" w:eastAsia="宋体" w:cs="宋体"/>
          <w:b w:val="0"/>
          <w:bCs/>
          <w:sz w:val="24"/>
          <w:szCs w:val="24"/>
        </w:rPr>
      </w:pPr>
      <w:r>
        <w:rPr>
          <w:rStyle w:val="758"/>
          <w:rFonts w:hint="eastAsia" w:ascii="宋体" w:hAnsi="宋体" w:eastAsia="宋体" w:cs="宋体"/>
          <w:b w:val="0"/>
          <w:bCs/>
          <w:sz w:val="24"/>
          <w:szCs w:val="24"/>
          <w:lang w:val="en-US"/>
        </w:rPr>
        <w:t xml:space="preserve">3</w:t>
      </w:r>
      <w:r>
        <w:rPr>
          <w:rStyle w:val="758"/>
          <w:rFonts w:hint="eastAsia" w:ascii="宋体" w:hAnsi="宋体" w:eastAsia="宋体" w:cs="宋体"/>
          <w:b w:val="0"/>
          <w:bCs/>
          <w:sz w:val="24"/>
          <w:szCs w:val="24"/>
        </w:rPr>
        <w:t xml:space="preserve">、硬件服务要求：中标人负责安装以及调试；维保期内，设备出现故障、异常现象或任何异常问题，中标人负责排查以及更换。中标人负责为采购人提供全面的技术支持，帮助采购人及时解决使用中遇到的技术问题。中标人维护人员在采购人授权后，可通过远程连接进入采购人的系统帮助采购人解决问题。中标人可远程连接采购人的系统来进行运维操作，确保系统采购人系统正常运行。 </w:t>
      </w:r>
      <w:r/>
    </w:p>
    <w:p>
      <w:pPr>
        <w:pStyle w:val="776"/>
        <w:ind w:left="0" w:right="0" w:firstLine="480"/>
        <w:keepLines w:val="0"/>
        <w:keepNext w:val="0"/>
        <w:pageBreakBefore w:val="0"/>
        <w:spacing w:after="0" w:line="360" w:lineRule="auto"/>
        <w:widowControl w:val="off"/>
        <w:rPr>
          <w:rStyle w:val="758"/>
          <w:rFonts w:hint="eastAsia" w:ascii="宋体" w:hAnsi="宋体" w:eastAsia="宋体" w:cs="宋体"/>
          <w:b w:val="0"/>
          <w:bCs/>
          <w:sz w:val="24"/>
          <w:szCs w:val="24"/>
        </w:rPr>
      </w:pPr>
      <w:r>
        <w:rPr>
          <w:rStyle w:val="758"/>
          <w:rFonts w:hint="eastAsia" w:ascii="宋体" w:hAnsi="宋体" w:eastAsia="宋体" w:cs="宋体"/>
          <w:b w:val="0"/>
          <w:bCs/>
          <w:sz w:val="24"/>
          <w:szCs w:val="24"/>
          <w:lang w:val="en-US"/>
        </w:rPr>
        <w:t xml:space="preserve">4</w:t>
      </w:r>
      <w:r>
        <w:rPr>
          <w:rStyle w:val="758"/>
          <w:rFonts w:hint="eastAsia" w:ascii="宋体" w:hAnsi="宋体" w:eastAsia="宋体" w:cs="宋体"/>
          <w:b w:val="0"/>
          <w:bCs/>
          <w:sz w:val="24"/>
          <w:szCs w:val="24"/>
        </w:rPr>
        <w:t xml:space="preserve">、培训要求：免费电话咨询预约上门服务、工程师免费培训直至操作熟练使用为止。</w:t>
      </w:r>
      <w:r/>
    </w:p>
    <w:p>
      <w:pPr>
        <w:numPr>
          <w:ilvl w:val="0"/>
          <w:numId w:val="0"/>
        </w:numPr>
        <w:ind w:right="0" w:firstLine="482"/>
        <w:jc w:val="both"/>
        <w:keepLines w:val="0"/>
        <w:keepNext w:val="0"/>
        <w:pageBreakBefore w:val="0"/>
        <w:spacing w:before="0" w:after="0" w:line="360" w:lineRule="auto"/>
        <w:widowControl w:val="off"/>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lang w:val="en-US" w:eastAsia="zh-CN"/>
        </w:rPr>
        <w:t xml:space="preserve">七</w:t>
      </w:r>
      <w:r>
        <w:rPr>
          <w:rFonts w:hint="eastAsia" w:ascii="宋体" w:hAnsi="宋体" w:eastAsia="宋体" w:cs="宋体"/>
          <w:b/>
          <w:bCs/>
          <w:color w:val="auto"/>
          <w:sz w:val="24"/>
          <w:szCs w:val="24"/>
          <w:highlight w:val="none"/>
        </w:rPr>
        <w:t xml:space="preserve">、其它要求：</w:t>
      </w:r>
      <w:r/>
    </w:p>
    <w:p>
      <w:pPr>
        <w:ind w:left="0" w:right="0" w:firstLine="480"/>
        <w:jc w:val="both"/>
        <w:keepLines w:val="0"/>
        <w:keepNext w:val="0"/>
        <w:pageBreakBefore w:val="0"/>
        <w:spacing w:before="0" w:after="0" w:line="360" w:lineRule="auto"/>
        <w:widowControl w:val="off"/>
        <w:rPr>
          <w:rFonts w:hint="eastAsia" w:ascii="宋体" w:hAnsi="宋体" w:eastAsia="宋体" w:cs="宋体"/>
          <w:b/>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见招标文件第五章《拟签</w:t>
      </w:r>
      <w:r>
        <w:rPr>
          <w:rFonts w:hint="eastAsia" w:ascii="宋体" w:hAnsi="宋体" w:eastAsia="宋体" w:cs="宋体"/>
          <w:b w:val="0"/>
          <w:bCs w:val="0"/>
          <w:color w:val="auto"/>
          <w:sz w:val="24"/>
          <w:szCs w:val="24"/>
          <w:highlight w:val="none"/>
        </w:rPr>
        <w:t xml:space="preserve">订的合同文本》。</w:t>
      </w:r>
      <w:r/>
    </w:p>
    <w:p>
      <w:pPr>
        <w:jc w:val="center"/>
        <w:spacing w:line="360" w:lineRule="auto"/>
        <w:rPr>
          <w:rFonts w:hint="eastAsia" w:ascii="宋体" w:hAnsi="宋体" w:eastAsia="宋体" w:cs="宋体"/>
          <w:b/>
          <w:color w:val="000000"/>
          <w:sz w:val="24"/>
          <w:highlight w:val="none"/>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1701" w:equalWidth="1"/>
          <w:docGrid w:linePitch="360"/>
        </w:sectPr>
      </w:pPr>
      <w:r>
        <w:rPr>
          <w:rFonts w:hint="eastAsia" w:ascii="宋体" w:hAnsi="宋体" w:eastAsia="宋体" w:cs="宋体"/>
          <w:b/>
          <w:color w:val="000000"/>
          <w:sz w:val="24"/>
          <w:highlight w:val="none"/>
        </w:rPr>
      </w:r>
      <w:r/>
    </w:p>
    <w:p>
      <w:pPr>
        <w:jc w:val="center"/>
        <w:spacing w:line="239" w:lineRule="atLeast"/>
        <w:rPr>
          <w:rFonts w:hint="eastAsia" w:ascii="宋体" w:hAnsi="宋体" w:eastAsia="宋体" w:cs="宋体"/>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8"/>
          <w:szCs w:val="28"/>
          <w:highlight w:val="none"/>
        </w:rPr>
        <w:t xml:space="preserve">第七章</w:t>
      </w:r>
      <w:r>
        <w:rPr>
          <w:rFonts w:hint="eastAsia" w:ascii="宋体" w:hAnsi="宋体" w:cs="宋体"/>
          <w:b/>
          <w:color w:val="000000"/>
          <w:sz w:val="28"/>
          <w:szCs w:val="28"/>
          <w:highlight w:val="none"/>
          <w:lang w:val="en-US" w:eastAsia="zh-CN"/>
        </w:rPr>
        <w:t xml:space="preserve"> </w:t>
      </w:r>
      <w:r>
        <w:rPr>
          <w:rFonts w:hint="eastAsia" w:ascii="宋体" w:hAnsi="宋体" w:eastAsia="宋体" w:cs="宋体"/>
          <w:b/>
          <w:color w:val="000000"/>
          <w:sz w:val="28"/>
          <w:szCs w:val="28"/>
          <w:highlight w:val="none"/>
        </w:rPr>
        <w:t xml:space="preserve">投标文件相关格式</w:t>
      </w:r>
      <w:r/>
    </w:p>
    <w:p>
      <w:pPr>
        <w:ind w:firstLine="640"/>
        <w:jc w:val="center"/>
        <w:spacing w:line="239" w:lineRule="atLeast"/>
        <w:rPr>
          <w:rFonts w:hint="eastAsia" w:ascii="宋体" w:hAnsi="宋体" w:eastAsia="宋体" w:cs="宋体"/>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highlight w:val="none"/>
        </w:rPr>
      </w:r>
      <w:r/>
    </w:p>
    <w:p>
      <w:pPr>
        <w:ind w:firstLine="640"/>
        <w:jc w:val="center"/>
        <w:spacing w:line="360" w:lineRule="auto"/>
        <w:rPr>
          <w:rFonts w:hint="eastAsia" w:ascii="宋体" w:hAnsi="宋体" w:eastAsia="宋体" w:cs="宋体"/>
          <w:b/>
          <w:bCs/>
          <w:color w:val="000000"/>
          <w:sz w:val="3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8"/>
          <w:szCs w:val="28"/>
          <w:highlight w:val="none"/>
        </w:rPr>
        <w:t xml:space="preserve">一、投标函格式</w:t>
      </w:r>
      <w:r/>
    </w:p>
    <w:p>
      <w:pPr>
        <w:spacing w:line="239" w:lineRule="atLeast"/>
        <w:rPr>
          <w:rFonts w:hint="eastAsia" w:ascii="宋体" w:hAnsi="宋体" w:eastAsia="宋体" w:cs="宋体"/>
          <w:color w:val="000000"/>
          <w:sz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致：</w:t>
      </w:r>
      <w:r>
        <w:rPr>
          <w:rFonts w:hint="eastAsia" w:ascii="宋体" w:hAnsi="宋体" w:eastAsia="宋体" w:cs="宋体"/>
          <w:color w:val="000000"/>
          <w:sz w:val="24"/>
          <w:highlight w:val="none"/>
          <w:u w:val="single"/>
          <w:lang w:eastAsia="zh-CN"/>
        </w:rPr>
        <w:t xml:space="preserve">江苏省沛县中学</w:t>
      </w:r>
      <w:r/>
    </w:p>
    <w:p>
      <w:pPr>
        <w:ind w:firstLine="600"/>
        <w:spacing w:line="239" w:lineRule="atLeast"/>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r>
      <w:r/>
    </w:p>
    <w:p>
      <w:pPr>
        <w:ind w:firstLine="600"/>
        <w:spacing w:line="360" w:lineRule="auto"/>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根据</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项目[项目编号：</w:t>
      </w:r>
      <w:r>
        <w:rPr>
          <w:rFonts w:hint="eastAsia" w:ascii="宋体" w:hAnsi="宋体" w:cs="宋体"/>
          <w:color w:val="000000"/>
          <w:sz w:val="24"/>
          <w:highlight w:val="none"/>
          <w:lang w:eastAsia="zh-CN"/>
        </w:rPr>
        <w:t xml:space="preserve">JSZC-320322-SHGC-G2026-0003</w:t>
      </w:r>
      <w:r>
        <w:rPr>
          <w:rFonts w:hint="eastAsia" w:ascii="宋体" w:hAnsi="宋体" w:eastAsia="宋体" w:cs="宋体"/>
          <w:color w:val="000000"/>
          <w:sz w:val="24"/>
          <w:highlight w:val="none"/>
        </w:rPr>
        <w:t xml:space="preserve">]招标文件，</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姓名）代表我方</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（投标人的名称）全权处理本次投标的有关事宜。</w:t>
      </w:r>
      <w:r/>
    </w:p>
    <w:p>
      <w:pPr>
        <w:ind w:firstLine="600"/>
        <w:spacing w:line="360" w:lineRule="auto"/>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据此函，投标人承诺并同意如下： </w:t>
      </w:r>
      <w:r/>
    </w:p>
    <w:p>
      <w:pPr>
        <w:ind w:firstLine="600"/>
        <w:spacing w:line="360" w:lineRule="auto"/>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 投标人唯一投标报价见《开标一览表》。</w:t>
      </w:r>
      <w:r/>
    </w:p>
    <w:p>
      <w:pPr>
        <w:ind w:firstLine="600"/>
        <w:spacing w:line="360" w:lineRule="auto"/>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2. 投标人将按招标文件的规定履行合同责任和义务。</w:t>
      </w:r>
      <w:r/>
    </w:p>
    <w:p>
      <w:pPr>
        <w:ind w:firstLine="600"/>
        <w:spacing w:line="360" w:lineRule="auto"/>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3. 投标人已详细审查全部招标文件，包括第[插入编号] [补遗书][如果有的话]。投标人完全理解并同意放弃对这方面有不明及误解的权力。</w:t>
      </w:r>
      <w:r/>
    </w:p>
    <w:p>
      <w:pPr>
        <w:ind w:firstLine="600"/>
        <w:spacing w:line="360" w:lineRule="auto"/>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4. 投标有效期为开标之日后90天。</w:t>
      </w:r>
      <w:r/>
    </w:p>
    <w:p>
      <w:pPr>
        <w:ind w:firstLine="600"/>
        <w:spacing w:line="360" w:lineRule="auto"/>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5.投标人同意提供按照贵方可能要求的与其投标有关的一切数据或资料，完全理解贵方不一定接受最低价的投标或收到的任何投标。</w:t>
      </w:r>
      <w:r/>
    </w:p>
    <w:p>
      <w:pPr>
        <w:ind w:firstLine="600"/>
        <w:spacing w:line="360" w:lineRule="auto"/>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6. 投标人同意在授予合同后，按照有关规定支付公证费（如有）。</w:t>
      </w:r>
      <w:r/>
    </w:p>
    <w:p>
      <w:pPr>
        <w:ind w:right="29" w:firstLine="600"/>
        <w:spacing w:line="360" w:lineRule="auto"/>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7. 采购人或采购代理机构有权将我单位本项目的《开标一览表》和《分项价格表》予以公示，公示的方式由</w:t>
      </w:r>
      <w:r>
        <w:rPr>
          <w:rFonts w:hint="eastAsia" w:ascii="宋体" w:hAnsi="宋体" w:cs="宋体"/>
          <w:color w:val="000000"/>
          <w:sz w:val="24"/>
          <w:highlight w:val="none"/>
          <w:lang w:eastAsia="zh-CN"/>
        </w:rPr>
        <w:t xml:space="preserve">江苏苏航工程项目管理有限公司</w:t>
      </w:r>
      <w:r>
        <w:rPr>
          <w:rFonts w:hint="eastAsia" w:ascii="宋体" w:hAnsi="宋体" w:eastAsia="宋体" w:cs="宋体"/>
          <w:color w:val="000000"/>
          <w:sz w:val="24"/>
          <w:highlight w:val="none"/>
        </w:rPr>
        <w:t xml:space="preserve">确定。</w:t>
      </w:r>
      <w:r/>
    </w:p>
    <w:p>
      <w:pPr>
        <w:ind w:right="29" w:firstLine="600"/>
        <w:spacing w:line="360" w:lineRule="auto"/>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8.采购人有权对投标人投标文件的真实性进行核实，如投标人不能在采购人规定的时间内向采购人提供有效的证明文件，将被采购人视为放弃中标资格。</w:t>
      </w:r>
      <w:r/>
    </w:p>
    <w:p>
      <w:pPr>
        <w:ind w:firstLine="600"/>
        <w:spacing w:line="360" w:lineRule="auto"/>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9.与本投标有关的一切正式往来信函请寄：</w:t>
      </w:r>
      <w:r/>
    </w:p>
    <w:p>
      <w:pPr>
        <w:ind w:firstLine="1200"/>
        <w:spacing w:line="360" w:lineRule="auto"/>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地址： </w:t>
      </w:r>
      <w:r/>
    </w:p>
    <w:p>
      <w:pPr>
        <w:ind w:firstLine="1200"/>
        <w:spacing w:line="360" w:lineRule="auto"/>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电话： </w:t>
      </w:r>
      <w:r/>
    </w:p>
    <w:p>
      <w:pPr>
        <w:ind w:firstLine="1200"/>
        <w:spacing w:line="360" w:lineRule="auto"/>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传真： </w:t>
      </w:r>
      <w:r/>
    </w:p>
    <w:p>
      <w:pPr>
        <w:ind w:firstLine="2700"/>
        <w:spacing w:line="239" w:lineRule="atLeast"/>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投标人：</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（电子签章）</w:t>
      </w:r>
      <w:r/>
    </w:p>
    <w:p>
      <w:pPr>
        <w:ind w:firstLine="2700"/>
        <w:spacing w:line="239" w:lineRule="atLeast"/>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r>
      <w:r/>
    </w:p>
    <w:p>
      <w:pPr>
        <w:ind w:firstLine="2700"/>
        <w:spacing w:line="239" w:lineRule="atLeast"/>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日期：  年 月 日</w:t>
      </w:r>
      <w:r>
        <w:rPr>
          <w:rFonts w:hint="eastAsia" w:ascii="宋体" w:hAnsi="宋体" w:eastAsia="宋体" w:cs="宋体"/>
          <w:color w:val="000000"/>
          <w:highlight w:val="none"/>
        </w:rPr>
        <w:br w:type="page" w:clear="all"/>
      </w:r>
      <w:r/>
    </w:p>
    <w:p>
      <w:pPr>
        <w:ind w:firstLine="640"/>
        <w:jc w:val="center"/>
        <w:spacing w:line="479" w:lineRule="atLeast"/>
        <w:rPr>
          <w:rFonts w:hint="eastAsia" w:ascii="宋体" w:hAnsi="宋体" w:eastAsia="宋体" w:cs="宋体"/>
          <w:b/>
          <w:bCs/>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8"/>
          <w:szCs w:val="28"/>
          <w:highlight w:val="none"/>
        </w:rPr>
        <w:t xml:space="preserve">二、开标一览表格式</w:t>
      </w:r>
      <w:r/>
    </w:p>
    <w:p>
      <w:pPr>
        <w:spacing w:line="479" w:lineRule="atLeast"/>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30"/>
          <w:highlight w:val="none"/>
        </w:rPr>
        <w:t xml:space="preserve"> </w:t>
      </w:r>
      <w:r/>
    </w:p>
    <w:p>
      <w:pPr>
        <w:spacing w:line="519" w:lineRule="atLeast"/>
        <w:rPr>
          <w:rFonts w:hint="eastAsia" w:ascii="宋体" w:hAnsi="宋体" w:eastAsia="宋体" w:cs="宋体"/>
          <w:color w:val="000000"/>
          <w:sz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项目编号：</w:t>
      </w:r>
      <w:r>
        <w:rPr>
          <w:rFonts w:hint="eastAsia" w:ascii="宋体" w:hAnsi="宋体" w:cs="宋体"/>
          <w:color w:val="000000"/>
          <w:sz w:val="24"/>
          <w:highlight w:val="none"/>
          <w:lang w:eastAsia="zh-CN"/>
        </w:rPr>
        <w:t xml:space="preserve">JSZC-320322-SHGC-G2026-0003</w:t>
      </w:r>
      <w:r/>
    </w:p>
    <w:p>
      <w:pPr>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项目名称：</w:t>
      </w:r>
      <w:r>
        <w:rPr>
          <w:rFonts w:hint="eastAsia" w:ascii="宋体" w:hAnsi="宋体" w:cs="宋体"/>
          <w:color w:val="000000"/>
          <w:sz w:val="24"/>
          <w:highlight w:val="none"/>
          <w:lang w:eastAsia="zh-CN"/>
        </w:rPr>
        <w:t xml:space="preserve">江苏省沛县中学校园文化智能化采购</w:t>
      </w:r>
      <w:r>
        <w:rPr>
          <w:rFonts w:hint="eastAsia" w:ascii="宋体" w:hAnsi="宋体" w:eastAsia="宋体" w:cs="宋体"/>
          <w:color w:val="000000"/>
          <w:sz w:val="24"/>
          <w:highlight w:val="none"/>
          <w:lang w:eastAsia="zh-CN"/>
        </w:rPr>
        <w:t xml:space="preserve">项目</w:t>
      </w:r>
      <w:r>
        <w:rPr>
          <w:rFonts w:hint="eastAsia" w:ascii="宋体" w:hAnsi="宋体" w:eastAsia="宋体" w:cs="宋体"/>
          <w:color w:val="000000"/>
          <w:sz w:val="24"/>
          <w:highlight w:val="none"/>
        </w:rPr>
        <w:t xml:space="preserve"> </w:t>
      </w:r>
      <w:r/>
    </w:p>
    <w:p>
      <w:pPr>
        <w:jc w:val="right"/>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rPr>
        <w:t xml:space="preserve">货币单位：人民币</w:t>
      </w:r>
      <w:r>
        <w:rPr>
          <w:rFonts w:hint="eastAsia" w:ascii="宋体" w:hAnsi="宋体" w:cs="宋体"/>
          <w:color w:val="000000"/>
          <w:sz w:val="24"/>
          <w:highlight w:val="none"/>
          <w:lang w:val="en-US" w:eastAsia="zh-CN"/>
        </w:rPr>
        <w:t xml:space="preserve">元</w:t>
      </w:r>
      <w:r/>
    </w:p>
    <w:p>
      <w:pP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r>
      <w:r/>
    </w:p>
    <w:tbl>
      <w:tblPr>
        <w:tblStyle w:val="742"/>
        <w:tblW w:w="862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991"/>
        <w:gridCol w:w="2340"/>
        <w:gridCol w:w="3293"/>
      </w:tblGrid>
      <w:tr>
        <w:trPr>
          <w:trHeight w:val="1163"/>
        </w:trPr>
        <w:tc>
          <w:tcPr>
            <w:tcMar>
              <w:left w:w="108" w:type="dxa"/>
              <w:top w:w="0" w:type="dxa"/>
              <w:right w:w="108" w:type="dxa"/>
              <w:bottom w:w="0" w:type="dxa"/>
            </w:tcMar>
            <w:tcW w:w="2991" w:type="dxa"/>
            <w:vAlign w:val="center"/>
            <w:textDirection w:val="lrTb"/>
            <w:noWrap w:val="false"/>
          </w:tcPr>
          <w:p>
            <w:pPr>
              <w:jc w:val="center"/>
              <w:spacing w:after="0" w:line="24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项目名称</w:t>
            </w:r>
            <w:r/>
          </w:p>
        </w:tc>
        <w:tc>
          <w:tcPr>
            <w:tcMar>
              <w:left w:w="108" w:type="dxa"/>
              <w:top w:w="0" w:type="dxa"/>
              <w:right w:w="108" w:type="dxa"/>
              <w:bottom w:w="0" w:type="dxa"/>
            </w:tcMar>
            <w:tcW w:w="2340" w:type="dxa"/>
            <w:vAlign w:val="center"/>
            <w:textDirection w:val="lrTb"/>
            <w:noWrap w:val="false"/>
          </w:tcPr>
          <w:p>
            <w:pPr>
              <w:jc w:val="center"/>
              <w:spacing w:after="0" w:line="24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项目内容</w:t>
            </w:r>
            <w:r/>
          </w:p>
        </w:tc>
        <w:tc>
          <w:tcPr>
            <w:tcMar>
              <w:left w:w="108" w:type="dxa"/>
              <w:top w:w="0" w:type="dxa"/>
              <w:right w:w="108" w:type="dxa"/>
              <w:bottom w:w="0" w:type="dxa"/>
            </w:tcMar>
            <w:tcW w:w="3293" w:type="dxa"/>
            <w:vAlign w:val="center"/>
            <w:textDirection w:val="lrTb"/>
            <w:noWrap w:val="false"/>
          </w:tcPr>
          <w:p>
            <w:pPr>
              <w:jc w:val="center"/>
              <w:spacing w:after="0" w:line="24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总价（小写）</w:t>
            </w:r>
            <w:r/>
          </w:p>
        </w:tc>
      </w:tr>
      <w:tr>
        <w:trPr>
          <w:trHeight w:val="1226" w:hRule="exact"/>
        </w:trPr>
        <w:tc>
          <w:tcPr>
            <w:tcMar>
              <w:left w:w="108" w:type="dxa"/>
              <w:top w:w="0" w:type="dxa"/>
              <w:right w:w="108" w:type="dxa"/>
              <w:bottom w:w="0" w:type="dxa"/>
            </w:tcMar>
            <w:tcW w:w="2991" w:type="dxa"/>
            <w:vAlign w:val="center"/>
            <w:textDirection w:val="lrTb"/>
            <w:noWrap w:val="false"/>
          </w:tcPr>
          <w:p>
            <w:pPr>
              <w:jc w:val="center"/>
              <w:spacing w:after="0" w:line="24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none"/>
                <w:lang w:eastAsia="zh-CN"/>
              </w:rPr>
              <w:t xml:space="preserve">江苏省沛县中学校园文化智能化采购</w:t>
            </w:r>
            <w:r>
              <w:rPr>
                <w:rFonts w:hint="eastAsia" w:ascii="宋体" w:hAnsi="宋体" w:eastAsia="宋体" w:cs="宋体"/>
                <w:color w:val="000000"/>
                <w:sz w:val="24"/>
                <w:szCs w:val="24"/>
                <w:highlight w:val="none"/>
                <w:lang w:eastAsia="zh-CN"/>
              </w:rPr>
              <w:t xml:space="preserve">项目</w:t>
            </w:r>
            <w:r/>
          </w:p>
        </w:tc>
        <w:tc>
          <w:tcPr>
            <w:tcMar>
              <w:left w:w="108" w:type="dxa"/>
              <w:top w:w="0" w:type="dxa"/>
              <w:right w:w="108" w:type="dxa"/>
              <w:bottom w:w="0" w:type="dxa"/>
            </w:tcMar>
            <w:tcW w:w="2340" w:type="dxa"/>
            <w:vAlign w:val="center"/>
            <w:textDirection w:val="lrTb"/>
            <w:noWrap w:val="false"/>
          </w:tcPr>
          <w:p>
            <w:pPr>
              <w:jc w:val="center"/>
              <w:spacing w:after="0" w:line="24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详见投标文件</w:t>
            </w:r>
            <w:r/>
          </w:p>
        </w:tc>
        <w:tc>
          <w:tcPr>
            <w:tcMar>
              <w:left w:w="108" w:type="dxa"/>
              <w:top w:w="0" w:type="dxa"/>
              <w:right w:w="108" w:type="dxa"/>
              <w:bottom w:w="0" w:type="dxa"/>
            </w:tcMar>
            <w:tcW w:w="3293" w:type="dxa"/>
            <w:vAlign w:val="center"/>
            <w:textDirection w:val="lrTb"/>
            <w:noWrap w:val="false"/>
          </w:tcPr>
          <w:p>
            <w:pPr>
              <w:jc w:val="center"/>
              <w:spacing w:after="0" w:line="24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r>
            <w:r/>
          </w:p>
        </w:tc>
      </w:tr>
      <w:tr>
        <w:trPr>
          <w:trHeight w:val="1331" w:hRule="exact"/>
        </w:trPr>
        <w:tc>
          <w:tcPr>
            <w:tcMar>
              <w:left w:w="108" w:type="dxa"/>
              <w:top w:w="0" w:type="dxa"/>
              <w:right w:w="108" w:type="dxa"/>
              <w:bottom w:w="0" w:type="dxa"/>
            </w:tcMar>
            <w:tcW w:w="2991" w:type="dxa"/>
            <w:vAlign w:val="center"/>
            <w:textDirection w:val="lrTb"/>
            <w:noWrap w:val="false"/>
          </w:tcPr>
          <w:p>
            <w:pPr>
              <w:jc w:val="center"/>
              <w:spacing w:after="0" w:line="24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总价（大写）：</w:t>
            </w:r>
            <w:r/>
          </w:p>
        </w:tc>
        <w:tc>
          <w:tcPr>
            <w:gridSpan w:val="2"/>
            <w:tcMar>
              <w:left w:w="108" w:type="dxa"/>
              <w:top w:w="0" w:type="dxa"/>
              <w:right w:w="108" w:type="dxa"/>
              <w:bottom w:w="0" w:type="dxa"/>
            </w:tcMar>
            <w:tcW w:w="5633" w:type="dxa"/>
            <w:vAlign w:val="center"/>
            <w:textDirection w:val="lrTb"/>
            <w:noWrap w:val="false"/>
          </w:tcPr>
          <w:p>
            <w:pPr>
              <w:jc w:val="center"/>
              <w:spacing w:after="0" w:line="24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r>
            <w:r/>
          </w:p>
        </w:tc>
      </w:tr>
    </w:tbl>
    <w:p>
      <w:pPr>
        <w:ind w:firstLine="3640"/>
        <w:spacing w:line="30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ind w:firstLine="3640"/>
        <w:spacing w:line="30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ind w:firstLine="3640"/>
        <w:spacing w:line="30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投标人：</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（电子签章）</w:t>
      </w:r>
      <w:r/>
    </w:p>
    <w:p>
      <w:pPr>
        <w:ind w:firstLine="364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ind w:firstLine="364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日期：   年  月  日</w:t>
      </w:r>
      <w:r/>
    </w:p>
    <w:p>
      <w:pPr>
        <w:spacing w:line="479" w:lineRule="atLeast"/>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rPr>
      </w:r>
      <w:r/>
    </w:p>
    <w:p>
      <w:pPr>
        <w:spacing w:line="479" w:lineRule="atLeast"/>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30"/>
          <w:highlight w:val="none"/>
        </w:rPr>
        <w:t xml:space="preserve"> </w:t>
      </w:r>
      <w:r/>
    </w:p>
    <w:p>
      <w:pPr>
        <w:spacing w:line="479" w:lineRule="atLeast"/>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30"/>
          <w:highlight w:val="none"/>
        </w:rPr>
        <w:t xml:space="preserve"> </w:t>
      </w:r>
      <w:r/>
    </w:p>
    <w:p>
      <w:pPr>
        <w:spacing w:line="479" w:lineRule="atLeast"/>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30"/>
          <w:highlight w:val="none"/>
        </w:rPr>
        <w:t xml:space="preserve"> </w:t>
      </w:r>
      <w:r/>
    </w:p>
    <w:p>
      <w:pPr>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rPr>
        <w:br w:type="page" w:clear="all"/>
      </w:r>
      <w:r/>
    </w:p>
    <w:p>
      <w:pPr>
        <w:ind w:firstLine="600"/>
        <w:jc w:val="center"/>
        <w:spacing w:line="479" w:lineRule="atLeast"/>
        <w:rPr>
          <w:rFonts w:hint="eastAsia" w:ascii="宋体" w:hAnsi="宋体" w:eastAsia="宋体" w:cs="宋体"/>
          <w:b/>
          <w:bCs/>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8"/>
          <w:szCs w:val="28"/>
          <w:highlight w:val="none"/>
        </w:rPr>
        <w:t xml:space="preserve">三、分项价格表格式</w:t>
      </w:r>
      <w:r/>
    </w:p>
    <w:p>
      <w:pPr>
        <w:ind w:firstLine="600"/>
        <w:spacing w:line="479" w:lineRule="atLeast"/>
        <w:rPr>
          <w:rFonts w:hint="eastAsia" w:ascii="宋体" w:hAnsi="宋体" w:eastAsia="宋体" w:cs="宋体"/>
          <w:color w:val="000000"/>
          <w:sz w:val="3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30"/>
          <w:highlight w:val="none"/>
        </w:rPr>
      </w:r>
      <w:r/>
    </w:p>
    <w:p>
      <w:pPr>
        <w:spacing w:line="360" w:lineRule="auto"/>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rPr>
        <w:t xml:space="preserve">项目编号：</w:t>
      </w:r>
      <w:r>
        <w:rPr>
          <w:rFonts w:hint="eastAsia" w:ascii="宋体" w:hAnsi="宋体" w:cs="宋体"/>
          <w:color w:val="000000"/>
          <w:sz w:val="24"/>
          <w:highlight w:val="none"/>
          <w:lang w:eastAsia="zh-CN"/>
        </w:rPr>
        <w:t xml:space="preserve">JSZC-320322-SHGC-G2026-0003</w:t>
      </w:r>
      <w:r/>
    </w:p>
    <w:p>
      <w:pPr>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项目名称：</w:t>
      </w:r>
      <w:r>
        <w:rPr>
          <w:rFonts w:hint="eastAsia" w:ascii="宋体" w:hAnsi="宋体" w:cs="宋体"/>
          <w:color w:val="000000"/>
          <w:sz w:val="24"/>
          <w:highlight w:val="none"/>
          <w:lang w:eastAsia="zh-CN"/>
        </w:rPr>
        <w:t xml:space="preserve">江苏省沛县中学校园文化智能化采购</w:t>
      </w:r>
      <w:r>
        <w:rPr>
          <w:rFonts w:hint="eastAsia" w:ascii="宋体" w:hAnsi="宋体" w:eastAsia="宋体" w:cs="宋体"/>
          <w:color w:val="000000"/>
          <w:sz w:val="24"/>
          <w:highlight w:val="none"/>
          <w:lang w:eastAsia="zh-CN"/>
        </w:rPr>
        <w:t xml:space="preserve">项目</w:t>
      </w:r>
      <w:r/>
    </w:p>
    <w:p>
      <w:pPr>
        <w:jc w:val="righ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          　 货币单位：人民币元</w:t>
      </w:r>
      <w:r/>
    </w:p>
    <w:tbl>
      <w:tblPr>
        <w:tblStyle w:val="739"/>
        <w:tblW w:w="10014" w:type="dxa"/>
        <w:jc w:val="center"/>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left w:w="15" w:type="dxa"/>
          <w:top w:w="15" w:type="dxa"/>
          <w:right w:w="15" w:type="dxa"/>
          <w:bottom w:w="0" w:type="dxa"/>
        </w:tblCellMar>
        <w:tblLook w:val="04A0" w:firstRow="1" w:lastRow="0" w:firstColumn="1" w:lastColumn="0" w:noHBand="0" w:noVBand="1"/>
      </w:tblPr>
      <w:tblGrid>
        <w:gridCol w:w="479"/>
        <w:gridCol w:w="926"/>
        <w:gridCol w:w="954"/>
        <w:gridCol w:w="988"/>
        <w:gridCol w:w="2828"/>
        <w:gridCol w:w="635"/>
        <w:gridCol w:w="646"/>
        <w:gridCol w:w="526"/>
        <w:gridCol w:w="504"/>
        <w:gridCol w:w="789"/>
        <w:gridCol w:w="739"/>
      </w:tblGrid>
      <w:tr>
        <w:trPr>
          <w:jc w:val="center"/>
          <w:trHeight w:val="583"/>
        </w:trPr>
        <w:tc>
          <w:tcPr>
            <w:shd w:val="clear" w:color="auto" w:fill="ffffff"/>
            <w:tcMar>
              <w:left w:w="15" w:type="dxa"/>
              <w:top w:w="15" w:type="dxa"/>
              <w:right w:w="15" w:type="dxa"/>
              <w:bottom w:w="0" w:type="dxa"/>
            </w:tcMar>
            <w:tcW w:w="479" w:type="dxa"/>
            <w:vAlign w:val="center"/>
            <w:textDirection w:val="lrTb"/>
            <w:noWrap w:val="false"/>
          </w:tcPr>
          <w:p>
            <w:pPr>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序号</w:t>
            </w:r>
            <w:r/>
          </w:p>
        </w:tc>
        <w:tc>
          <w:tcPr>
            <w:shd w:val="clear" w:color="auto" w:fill="ffffff"/>
            <w:tcMar>
              <w:left w:w="15" w:type="dxa"/>
              <w:top w:w="15" w:type="dxa"/>
              <w:right w:w="15" w:type="dxa"/>
              <w:bottom w:w="0" w:type="dxa"/>
            </w:tcMar>
            <w:tcW w:w="926" w:type="dxa"/>
            <w:vAlign w:val="center"/>
            <w:textDirection w:val="lrTb"/>
            <w:noWrap w:val="false"/>
          </w:tcPr>
          <w:p>
            <w:pPr>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名称</w:t>
            </w:r>
            <w:r/>
          </w:p>
        </w:tc>
        <w:tc>
          <w:tcPr>
            <w:shd w:val="clear" w:color="auto" w:fill="ffffff"/>
            <w:tcMar>
              <w:left w:w="15" w:type="dxa"/>
              <w:top w:w="15" w:type="dxa"/>
              <w:right w:w="15" w:type="dxa"/>
              <w:bottom w:w="0" w:type="dxa"/>
            </w:tcMar>
            <w:tcW w:w="954" w:type="dxa"/>
            <w:vAlign w:val="center"/>
            <w:textDirection w:val="lrTb"/>
            <w:noWrap w:val="false"/>
          </w:tcPr>
          <w:p>
            <w:pPr>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品牌、规格、型号</w:t>
            </w:r>
            <w:r/>
          </w:p>
        </w:tc>
        <w:tc>
          <w:tcPr>
            <w:shd w:val="clear" w:color="auto" w:fill="ffffff"/>
            <w:tcMar>
              <w:left w:w="15" w:type="dxa"/>
              <w:top w:w="15" w:type="dxa"/>
              <w:right w:w="15" w:type="dxa"/>
              <w:bottom w:w="0" w:type="dxa"/>
            </w:tcMar>
            <w:tcW w:w="988" w:type="dxa"/>
            <w:vAlign w:val="center"/>
            <w:textDirection w:val="lrTb"/>
            <w:noWrap w:val="false"/>
          </w:tcPr>
          <w:p>
            <w:pPr>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产品制造企业名称（全称）</w:t>
            </w:r>
            <w:r/>
          </w:p>
        </w:tc>
        <w:tc>
          <w:tcPr>
            <w:shd w:val="clear" w:color="auto" w:fill="ffffff"/>
            <w:tcMar>
              <w:left w:w="15" w:type="dxa"/>
              <w:top w:w="15" w:type="dxa"/>
              <w:right w:w="15" w:type="dxa"/>
              <w:bottom w:w="0" w:type="dxa"/>
            </w:tcMar>
            <w:tcW w:w="2828" w:type="dxa"/>
            <w:vAlign w:val="center"/>
            <w:textDirection w:val="lrTb"/>
            <w:noWrap w:val="false"/>
          </w:tcPr>
          <w:p>
            <w:pPr>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产品制造企业的划分（大型、中型、小型、微型、监狱企业、享受政府采购支持政策的残疾人福利性单位）</w:t>
            </w:r>
            <w:r/>
          </w:p>
        </w:tc>
        <w:tc>
          <w:tcPr>
            <w:shd w:val="clear" w:color="auto" w:fill="ffffff"/>
            <w:tcMar>
              <w:left w:w="15" w:type="dxa"/>
              <w:top w:w="15" w:type="dxa"/>
              <w:right w:w="15" w:type="dxa"/>
              <w:bottom w:w="0" w:type="dxa"/>
            </w:tcMar>
            <w:tcW w:w="635" w:type="dxa"/>
            <w:vAlign w:val="center"/>
            <w:textDirection w:val="lrTb"/>
            <w:noWrap w:val="false"/>
          </w:tcPr>
          <w:p>
            <w:pPr>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产地</w:t>
            </w:r>
            <w:r/>
          </w:p>
        </w:tc>
        <w:tc>
          <w:tcPr>
            <w:shd w:val="clear" w:color="auto" w:fill="ffffff"/>
            <w:tcMar>
              <w:left w:w="15" w:type="dxa"/>
              <w:top w:w="15" w:type="dxa"/>
              <w:right w:w="15" w:type="dxa"/>
              <w:bottom w:w="0" w:type="dxa"/>
            </w:tcMar>
            <w:tcW w:w="646" w:type="dxa"/>
            <w:vAlign w:val="center"/>
            <w:textDirection w:val="lrTb"/>
            <w:noWrap w:val="false"/>
          </w:tcPr>
          <w:p>
            <w:pPr>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数量</w:t>
            </w:r>
            <w:r/>
          </w:p>
        </w:tc>
        <w:tc>
          <w:tcPr>
            <w:shd w:val="clear" w:color="auto" w:fill="ffffff"/>
            <w:tcMar>
              <w:left w:w="15" w:type="dxa"/>
              <w:top w:w="15" w:type="dxa"/>
              <w:right w:w="15" w:type="dxa"/>
              <w:bottom w:w="0" w:type="dxa"/>
            </w:tcMar>
            <w:tcW w:w="526" w:type="dxa"/>
            <w:vAlign w:val="center"/>
            <w:textDirection w:val="lrTb"/>
            <w:noWrap w:val="false"/>
          </w:tcPr>
          <w:p>
            <w:pPr>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数量单位</w:t>
            </w:r>
            <w:r/>
          </w:p>
        </w:tc>
        <w:tc>
          <w:tcPr>
            <w:shd w:val="clear" w:color="auto" w:fill="ffffff"/>
            <w:tcMar>
              <w:left w:w="15" w:type="dxa"/>
              <w:top w:w="15" w:type="dxa"/>
              <w:right w:w="15" w:type="dxa"/>
              <w:bottom w:w="0" w:type="dxa"/>
            </w:tcMar>
            <w:tcW w:w="504" w:type="dxa"/>
            <w:vAlign w:val="center"/>
            <w:textDirection w:val="lrTb"/>
            <w:noWrap w:val="false"/>
          </w:tcPr>
          <w:p>
            <w:pPr>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单价</w:t>
            </w:r>
            <w:r/>
          </w:p>
        </w:tc>
        <w:tc>
          <w:tcPr>
            <w:shd w:val="clear" w:color="auto" w:fill="ffffff"/>
            <w:tcW w:w="789" w:type="dxa"/>
            <w:vAlign w:val="center"/>
            <w:textDirection w:val="lrTb"/>
            <w:noWrap w:val="false"/>
          </w:tcPr>
          <w:p>
            <w:pPr>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总价</w:t>
            </w:r>
            <w:r/>
          </w:p>
        </w:tc>
        <w:tc>
          <w:tcPr>
            <w:shd w:val="clear" w:color="auto" w:fill="ffffff"/>
            <w:tcMar>
              <w:left w:w="15" w:type="dxa"/>
              <w:top w:w="15" w:type="dxa"/>
              <w:right w:w="15" w:type="dxa"/>
              <w:bottom w:w="0" w:type="dxa"/>
            </w:tcMar>
            <w:tcW w:w="739" w:type="dxa"/>
            <w:vAlign w:val="center"/>
            <w:textDirection w:val="lrTb"/>
            <w:noWrap w:val="false"/>
          </w:tcPr>
          <w:p>
            <w:pPr>
              <w:jc w:val="center"/>
              <w:rPr>
                <w:rFonts w:hint="eastAsia" w:ascii="宋体" w:hAnsi="宋体" w:eastAsia="宋体" w:cs="宋体"/>
                <w:color w:val="000000"/>
                <w:sz w:val="24"/>
                <w:highlight w:val="none"/>
              </w:rPr>
            </w:pPr>
            <w:r>
              <w:rPr>
                <w:rFonts w:hint="eastAsia" w:ascii="宋体" w:hAnsi="宋体" w:eastAsia="宋体" w:cs="宋体"/>
                <w:b/>
                <w:bCs/>
                <w:color w:val="000000"/>
                <w:sz w:val="24"/>
                <w:highlight w:val="none"/>
              </w:rPr>
              <w:t xml:space="preserve">备注</w:t>
            </w:r>
            <w:r/>
          </w:p>
        </w:tc>
      </w:tr>
      <w:tr>
        <w:trPr>
          <w:jc w:val="center"/>
          <w:trHeight w:val="300"/>
        </w:trPr>
        <w:tc>
          <w:tcPr>
            <w:tcMar>
              <w:left w:w="15" w:type="dxa"/>
              <w:top w:w="15" w:type="dxa"/>
              <w:right w:w="15" w:type="dxa"/>
              <w:bottom w:w="0" w:type="dxa"/>
            </w:tcMar>
            <w:tcW w:w="479" w:type="dxa"/>
            <w:vAlign w:val="bottom"/>
            <w:textDirection w:val="lrTb"/>
            <w:noWrap w:val="false"/>
          </w:tcPr>
          <w:p>
            <w:pPr>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w:t>
            </w:r>
            <w:r/>
          </w:p>
        </w:tc>
        <w:tc>
          <w:tcPr>
            <w:tcMar>
              <w:left w:w="15" w:type="dxa"/>
              <w:top w:w="15" w:type="dxa"/>
              <w:right w:w="15" w:type="dxa"/>
              <w:bottom w:w="0" w:type="dxa"/>
            </w:tcMar>
            <w:tcW w:w="926" w:type="dxa"/>
            <w:vAlign w:val="bottom"/>
            <w:textDirection w:val="lrTb"/>
            <w:noWrap w:val="false"/>
          </w:tcPr>
          <w:p>
            <w:pPr>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Mar>
              <w:left w:w="15" w:type="dxa"/>
              <w:top w:w="15" w:type="dxa"/>
              <w:right w:w="15" w:type="dxa"/>
              <w:bottom w:w="0" w:type="dxa"/>
            </w:tcMar>
            <w:tcW w:w="954" w:type="dxa"/>
            <w:vAlign w:val="bottom"/>
            <w:textDirection w:val="lrTb"/>
            <w:noWrap w:val="false"/>
          </w:tcPr>
          <w:p>
            <w:pPr>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Mar>
              <w:left w:w="15" w:type="dxa"/>
              <w:top w:w="15" w:type="dxa"/>
              <w:right w:w="15" w:type="dxa"/>
              <w:bottom w:w="0" w:type="dxa"/>
            </w:tcMar>
            <w:tcW w:w="988" w:type="dxa"/>
            <w:vAlign w:val="top"/>
            <w:textDirection w:val="lrTb"/>
            <w:noWrap w:val="false"/>
          </w:tcPr>
          <w:p>
            <w:pPr>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Mar>
              <w:left w:w="15" w:type="dxa"/>
              <w:top w:w="15" w:type="dxa"/>
              <w:right w:w="15" w:type="dxa"/>
              <w:bottom w:w="0" w:type="dxa"/>
            </w:tcMar>
            <w:tcW w:w="2828" w:type="dxa"/>
            <w:vAlign w:val="top"/>
            <w:textDirection w:val="lrTb"/>
            <w:noWrap w:val="false"/>
          </w:tcPr>
          <w:p>
            <w:pPr>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Mar>
              <w:left w:w="15" w:type="dxa"/>
              <w:top w:w="15" w:type="dxa"/>
              <w:right w:w="15" w:type="dxa"/>
              <w:bottom w:w="0" w:type="dxa"/>
            </w:tcMar>
            <w:tcW w:w="635" w:type="dxa"/>
            <w:vAlign w:val="bottom"/>
            <w:textDirection w:val="lrTb"/>
            <w:noWrap w:val="false"/>
          </w:tcPr>
          <w:p>
            <w:pPr>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Mar>
              <w:left w:w="15" w:type="dxa"/>
              <w:top w:w="15" w:type="dxa"/>
              <w:right w:w="15" w:type="dxa"/>
              <w:bottom w:w="0" w:type="dxa"/>
            </w:tcMar>
            <w:tcW w:w="646" w:type="dxa"/>
            <w:vAlign w:val="bottom"/>
            <w:textDirection w:val="lrTb"/>
            <w:noWrap w:val="false"/>
          </w:tcPr>
          <w:p>
            <w:pPr>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Mar>
              <w:left w:w="15" w:type="dxa"/>
              <w:top w:w="15" w:type="dxa"/>
              <w:right w:w="15" w:type="dxa"/>
              <w:bottom w:w="0" w:type="dxa"/>
            </w:tcMar>
            <w:tcW w:w="526" w:type="dxa"/>
            <w:vAlign w:val="bottom"/>
            <w:textDirection w:val="lrTb"/>
            <w:noWrap w:val="false"/>
          </w:tcPr>
          <w:p>
            <w:pPr>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Mar>
              <w:left w:w="15" w:type="dxa"/>
              <w:top w:w="15" w:type="dxa"/>
              <w:right w:w="15" w:type="dxa"/>
              <w:bottom w:w="0" w:type="dxa"/>
            </w:tcMar>
            <w:tcW w:w="504" w:type="dxa"/>
            <w:vAlign w:val="bottom"/>
            <w:textDirection w:val="lrTb"/>
            <w:noWrap w:val="false"/>
          </w:tcPr>
          <w:p>
            <w:pPr>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789" w:type="dxa"/>
            <w:vAlign w:val="top"/>
            <w:textDirection w:val="lrTb"/>
            <w:noWrap w:val="false"/>
          </w:tcPr>
          <w:p>
            <w:pPr>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Mar>
              <w:left w:w="15" w:type="dxa"/>
              <w:top w:w="15" w:type="dxa"/>
              <w:right w:w="15" w:type="dxa"/>
              <w:bottom w:w="0" w:type="dxa"/>
            </w:tcMar>
            <w:tcW w:w="739" w:type="dxa"/>
            <w:vAlign w:val="bottom"/>
            <w:textDirection w:val="lrTb"/>
            <w:noWrap w:val="false"/>
          </w:tcPr>
          <w:p>
            <w:pPr>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r>
      <w:tr>
        <w:trPr>
          <w:jc w:val="center"/>
          <w:trHeight w:val="214"/>
        </w:trPr>
        <w:tc>
          <w:tcPr>
            <w:tcMar>
              <w:left w:w="15" w:type="dxa"/>
              <w:top w:w="15" w:type="dxa"/>
              <w:right w:w="15" w:type="dxa"/>
              <w:bottom w:w="0" w:type="dxa"/>
            </w:tcMar>
            <w:tcW w:w="479" w:type="dxa"/>
            <w:vAlign w:val="bottom"/>
            <w:textDirection w:val="lrTb"/>
            <w:noWrap w:val="false"/>
          </w:tcPr>
          <w:p>
            <w:pPr>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w:t>
            </w:r>
            <w:r/>
          </w:p>
        </w:tc>
        <w:tc>
          <w:tcPr>
            <w:tcMar>
              <w:left w:w="15" w:type="dxa"/>
              <w:top w:w="15" w:type="dxa"/>
              <w:right w:w="15" w:type="dxa"/>
              <w:bottom w:w="0" w:type="dxa"/>
            </w:tcMar>
            <w:tcW w:w="926" w:type="dxa"/>
            <w:vAlign w:val="bottom"/>
            <w:textDirection w:val="lrTb"/>
            <w:noWrap w:val="false"/>
          </w:tcPr>
          <w:p>
            <w:pPr>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Mar>
              <w:left w:w="15" w:type="dxa"/>
              <w:top w:w="15" w:type="dxa"/>
              <w:right w:w="15" w:type="dxa"/>
              <w:bottom w:w="0" w:type="dxa"/>
            </w:tcMar>
            <w:tcW w:w="954" w:type="dxa"/>
            <w:vAlign w:val="bottom"/>
            <w:textDirection w:val="lrTb"/>
            <w:noWrap w:val="false"/>
          </w:tcPr>
          <w:p>
            <w:pPr>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Mar>
              <w:left w:w="15" w:type="dxa"/>
              <w:top w:w="15" w:type="dxa"/>
              <w:right w:w="15" w:type="dxa"/>
              <w:bottom w:w="0" w:type="dxa"/>
            </w:tcMar>
            <w:tcW w:w="988" w:type="dxa"/>
            <w:vAlign w:val="top"/>
            <w:textDirection w:val="lrTb"/>
            <w:noWrap w:val="false"/>
          </w:tcPr>
          <w:p>
            <w:pPr>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Mar>
              <w:left w:w="15" w:type="dxa"/>
              <w:top w:w="15" w:type="dxa"/>
              <w:right w:w="15" w:type="dxa"/>
              <w:bottom w:w="0" w:type="dxa"/>
            </w:tcMar>
            <w:tcW w:w="2828" w:type="dxa"/>
            <w:vAlign w:val="top"/>
            <w:textDirection w:val="lrTb"/>
            <w:noWrap w:val="false"/>
          </w:tcPr>
          <w:p>
            <w:pPr>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Mar>
              <w:left w:w="15" w:type="dxa"/>
              <w:top w:w="15" w:type="dxa"/>
              <w:right w:w="15" w:type="dxa"/>
              <w:bottom w:w="0" w:type="dxa"/>
            </w:tcMar>
            <w:tcW w:w="635" w:type="dxa"/>
            <w:vAlign w:val="bottom"/>
            <w:textDirection w:val="lrTb"/>
            <w:noWrap w:val="false"/>
          </w:tcPr>
          <w:p>
            <w:pPr>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Mar>
              <w:left w:w="15" w:type="dxa"/>
              <w:top w:w="15" w:type="dxa"/>
              <w:right w:w="15" w:type="dxa"/>
              <w:bottom w:w="0" w:type="dxa"/>
            </w:tcMar>
            <w:tcW w:w="646" w:type="dxa"/>
            <w:vAlign w:val="bottom"/>
            <w:textDirection w:val="lrTb"/>
            <w:noWrap w:val="false"/>
          </w:tcPr>
          <w:p>
            <w:pPr>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Mar>
              <w:left w:w="15" w:type="dxa"/>
              <w:top w:w="15" w:type="dxa"/>
              <w:right w:w="15" w:type="dxa"/>
              <w:bottom w:w="0" w:type="dxa"/>
            </w:tcMar>
            <w:tcW w:w="526" w:type="dxa"/>
            <w:vAlign w:val="bottom"/>
            <w:textDirection w:val="lrTb"/>
            <w:noWrap w:val="false"/>
          </w:tcPr>
          <w:p>
            <w:pPr>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Mar>
              <w:left w:w="15" w:type="dxa"/>
              <w:top w:w="15" w:type="dxa"/>
              <w:right w:w="15" w:type="dxa"/>
              <w:bottom w:w="0" w:type="dxa"/>
            </w:tcMar>
            <w:tcW w:w="504" w:type="dxa"/>
            <w:vAlign w:val="bottom"/>
            <w:textDirection w:val="lrTb"/>
            <w:noWrap w:val="false"/>
          </w:tcPr>
          <w:p>
            <w:pPr>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789" w:type="dxa"/>
            <w:vAlign w:val="top"/>
            <w:textDirection w:val="lrTb"/>
            <w:noWrap w:val="false"/>
          </w:tcPr>
          <w:p>
            <w:pPr>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Mar>
              <w:left w:w="15" w:type="dxa"/>
              <w:top w:w="15" w:type="dxa"/>
              <w:right w:w="15" w:type="dxa"/>
              <w:bottom w:w="0" w:type="dxa"/>
            </w:tcMar>
            <w:tcW w:w="739" w:type="dxa"/>
            <w:vAlign w:val="bottom"/>
            <w:textDirection w:val="lrTb"/>
            <w:noWrap w:val="false"/>
          </w:tcPr>
          <w:p>
            <w:pPr>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r>
      <w:tr>
        <w:trPr>
          <w:jc w:val="center"/>
          <w:trHeight w:val="214"/>
        </w:trPr>
        <w:tc>
          <w:tcPr>
            <w:tcMar>
              <w:left w:w="15" w:type="dxa"/>
              <w:top w:w="15" w:type="dxa"/>
              <w:right w:w="15" w:type="dxa"/>
              <w:bottom w:w="0" w:type="dxa"/>
            </w:tcMar>
            <w:tcW w:w="479" w:type="dxa"/>
            <w:vAlign w:val="bottom"/>
            <w:textDirection w:val="lrTb"/>
            <w:noWrap w:val="false"/>
          </w:tcPr>
          <w:p>
            <w:pPr>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w:t>
            </w:r>
            <w:r/>
          </w:p>
        </w:tc>
        <w:tc>
          <w:tcPr>
            <w:tcMar>
              <w:left w:w="15" w:type="dxa"/>
              <w:top w:w="15" w:type="dxa"/>
              <w:right w:w="15" w:type="dxa"/>
              <w:bottom w:w="0" w:type="dxa"/>
            </w:tcMar>
            <w:tcW w:w="926" w:type="dxa"/>
            <w:vAlign w:val="bottom"/>
            <w:textDirection w:val="lrTb"/>
            <w:noWrap w:val="false"/>
          </w:tcPr>
          <w:p>
            <w:pPr>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Mar>
              <w:left w:w="15" w:type="dxa"/>
              <w:top w:w="15" w:type="dxa"/>
              <w:right w:w="15" w:type="dxa"/>
              <w:bottom w:w="0" w:type="dxa"/>
            </w:tcMar>
            <w:tcW w:w="954" w:type="dxa"/>
            <w:vAlign w:val="bottom"/>
            <w:textDirection w:val="lrTb"/>
            <w:noWrap w:val="false"/>
          </w:tcPr>
          <w:p>
            <w:pPr>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Mar>
              <w:left w:w="15" w:type="dxa"/>
              <w:top w:w="15" w:type="dxa"/>
              <w:right w:w="15" w:type="dxa"/>
              <w:bottom w:w="0" w:type="dxa"/>
            </w:tcMar>
            <w:tcW w:w="988" w:type="dxa"/>
            <w:vAlign w:val="top"/>
            <w:textDirection w:val="lrTb"/>
            <w:noWrap w:val="false"/>
          </w:tcPr>
          <w:p>
            <w:pPr>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Mar>
              <w:left w:w="15" w:type="dxa"/>
              <w:top w:w="15" w:type="dxa"/>
              <w:right w:w="15" w:type="dxa"/>
              <w:bottom w:w="0" w:type="dxa"/>
            </w:tcMar>
            <w:tcW w:w="2828" w:type="dxa"/>
            <w:vAlign w:val="top"/>
            <w:textDirection w:val="lrTb"/>
            <w:noWrap w:val="false"/>
          </w:tcPr>
          <w:p>
            <w:pPr>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Mar>
              <w:left w:w="15" w:type="dxa"/>
              <w:top w:w="15" w:type="dxa"/>
              <w:right w:w="15" w:type="dxa"/>
              <w:bottom w:w="0" w:type="dxa"/>
            </w:tcMar>
            <w:tcW w:w="635" w:type="dxa"/>
            <w:vAlign w:val="bottom"/>
            <w:textDirection w:val="lrTb"/>
            <w:noWrap w:val="false"/>
          </w:tcPr>
          <w:p>
            <w:pPr>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Mar>
              <w:left w:w="15" w:type="dxa"/>
              <w:top w:w="15" w:type="dxa"/>
              <w:right w:w="15" w:type="dxa"/>
              <w:bottom w:w="0" w:type="dxa"/>
            </w:tcMar>
            <w:tcW w:w="646" w:type="dxa"/>
            <w:vAlign w:val="bottom"/>
            <w:textDirection w:val="lrTb"/>
            <w:noWrap w:val="false"/>
          </w:tcPr>
          <w:p>
            <w:pPr>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Mar>
              <w:left w:w="15" w:type="dxa"/>
              <w:top w:w="15" w:type="dxa"/>
              <w:right w:w="15" w:type="dxa"/>
              <w:bottom w:w="0" w:type="dxa"/>
            </w:tcMar>
            <w:tcW w:w="526" w:type="dxa"/>
            <w:vAlign w:val="bottom"/>
            <w:textDirection w:val="lrTb"/>
            <w:noWrap w:val="false"/>
          </w:tcPr>
          <w:p>
            <w:pPr>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Mar>
              <w:left w:w="15" w:type="dxa"/>
              <w:top w:w="15" w:type="dxa"/>
              <w:right w:w="15" w:type="dxa"/>
              <w:bottom w:w="0" w:type="dxa"/>
            </w:tcMar>
            <w:tcW w:w="504" w:type="dxa"/>
            <w:vAlign w:val="bottom"/>
            <w:textDirection w:val="lrTb"/>
            <w:noWrap w:val="false"/>
          </w:tcPr>
          <w:p>
            <w:pPr>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789" w:type="dxa"/>
            <w:vAlign w:val="top"/>
            <w:textDirection w:val="lrTb"/>
            <w:noWrap w:val="false"/>
          </w:tcPr>
          <w:p>
            <w:pPr>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Mar>
              <w:left w:w="15" w:type="dxa"/>
              <w:top w:w="15" w:type="dxa"/>
              <w:right w:w="15" w:type="dxa"/>
              <w:bottom w:w="0" w:type="dxa"/>
            </w:tcMar>
            <w:tcW w:w="739" w:type="dxa"/>
            <w:vAlign w:val="bottom"/>
            <w:textDirection w:val="lrTb"/>
            <w:noWrap w:val="false"/>
          </w:tcPr>
          <w:p>
            <w:pPr>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r>
      <w:tr>
        <w:trPr>
          <w:jc w:val="center"/>
          <w:trHeight w:val="322"/>
        </w:trPr>
        <w:tc>
          <w:tcPr>
            <w:tcMar>
              <w:left w:w="15" w:type="dxa"/>
              <w:top w:w="15" w:type="dxa"/>
              <w:right w:w="15" w:type="dxa"/>
              <w:bottom w:w="0" w:type="dxa"/>
            </w:tcMar>
            <w:tcW w:w="479" w:type="dxa"/>
            <w:vAlign w:val="bottom"/>
            <w:textDirection w:val="lrTb"/>
            <w:noWrap w:val="false"/>
          </w:tcPr>
          <w:p>
            <w:pPr>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4</w:t>
            </w:r>
            <w:r/>
          </w:p>
        </w:tc>
        <w:tc>
          <w:tcPr>
            <w:tcMar>
              <w:left w:w="15" w:type="dxa"/>
              <w:top w:w="15" w:type="dxa"/>
              <w:right w:w="15" w:type="dxa"/>
              <w:bottom w:w="0" w:type="dxa"/>
            </w:tcMar>
            <w:tcW w:w="926" w:type="dxa"/>
            <w:vAlign w:val="bottom"/>
            <w:textDirection w:val="lrTb"/>
            <w:noWrap w:val="false"/>
          </w:tcPr>
          <w:p>
            <w:pPr>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Mar>
              <w:left w:w="15" w:type="dxa"/>
              <w:top w:w="15" w:type="dxa"/>
              <w:right w:w="15" w:type="dxa"/>
              <w:bottom w:w="0" w:type="dxa"/>
            </w:tcMar>
            <w:tcW w:w="954" w:type="dxa"/>
            <w:vAlign w:val="bottom"/>
            <w:textDirection w:val="lrTb"/>
            <w:noWrap w:val="false"/>
          </w:tcPr>
          <w:p>
            <w:pPr>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Mar>
              <w:left w:w="15" w:type="dxa"/>
              <w:top w:w="15" w:type="dxa"/>
              <w:right w:w="15" w:type="dxa"/>
              <w:bottom w:w="0" w:type="dxa"/>
            </w:tcMar>
            <w:tcW w:w="988" w:type="dxa"/>
            <w:vAlign w:val="top"/>
            <w:textDirection w:val="lrTb"/>
            <w:noWrap w:val="false"/>
          </w:tcPr>
          <w:p>
            <w:pPr>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Mar>
              <w:left w:w="15" w:type="dxa"/>
              <w:top w:w="15" w:type="dxa"/>
              <w:right w:w="15" w:type="dxa"/>
              <w:bottom w:w="0" w:type="dxa"/>
            </w:tcMar>
            <w:tcW w:w="2828" w:type="dxa"/>
            <w:vAlign w:val="top"/>
            <w:textDirection w:val="lrTb"/>
            <w:noWrap w:val="false"/>
          </w:tcPr>
          <w:p>
            <w:pPr>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Mar>
              <w:left w:w="15" w:type="dxa"/>
              <w:top w:w="15" w:type="dxa"/>
              <w:right w:w="15" w:type="dxa"/>
              <w:bottom w:w="0" w:type="dxa"/>
            </w:tcMar>
            <w:tcW w:w="635" w:type="dxa"/>
            <w:vAlign w:val="bottom"/>
            <w:textDirection w:val="lrTb"/>
            <w:noWrap w:val="false"/>
          </w:tcPr>
          <w:p>
            <w:pPr>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Mar>
              <w:left w:w="15" w:type="dxa"/>
              <w:top w:w="15" w:type="dxa"/>
              <w:right w:w="15" w:type="dxa"/>
              <w:bottom w:w="0" w:type="dxa"/>
            </w:tcMar>
            <w:tcW w:w="646" w:type="dxa"/>
            <w:vAlign w:val="bottom"/>
            <w:textDirection w:val="lrTb"/>
            <w:noWrap w:val="false"/>
          </w:tcPr>
          <w:p>
            <w:pPr>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Mar>
              <w:left w:w="15" w:type="dxa"/>
              <w:top w:w="15" w:type="dxa"/>
              <w:right w:w="15" w:type="dxa"/>
              <w:bottom w:w="0" w:type="dxa"/>
            </w:tcMar>
            <w:tcW w:w="526" w:type="dxa"/>
            <w:vAlign w:val="bottom"/>
            <w:textDirection w:val="lrTb"/>
            <w:noWrap w:val="false"/>
          </w:tcPr>
          <w:p>
            <w:pPr>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Mar>
              <w:left w:w="15" w:type="dxa"/>
              <w:top w:w="15" w:type="dxa"/>
              <w:right w:w="15" w:type="dxa"/>
              <w:bottom w:w="0" w:type="dxa"/>
            </w:tcMar>
            <w:tcW w:w="504" w:type="dxa"/>
            <w:vAlign w:val="bottom"/>
            <w:textDirection w:val="lrTb"/>
            <w:noWrap w:val="false"/>
          </w:tcPr>
          <w:p>
            <w:pPr>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789" w:type="dxa"/>
            <w:vAlign w:val="top"/>
            <w:textDirection w:val="lrTb"/>
            <w:noWrap w:val="false"/>
          </w:tcPr>
          <w:p>
            <w:pPr>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Mar>
              <w:left w:w="15" w:type="dxa"/>
              <w:top w:w="15" w:type="dxa"/>
              <w:right w:w="15" w:type="dxa"/>
              <w:bottom w:w="0" w:type="dxa"/>
            </w:tcMar>
            <w:tcW w:w="739" w:type="dxa"/>
            <w:vAlign w:val="bottom"/>
            <w:textDirection w:val="lrTb"/>
            <w:noWrap w:val="false"/>
          </w:tcPr>
          <w:p>
            <w:pPr>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r>
      <w:tr>
        <w:trPr>
          <w:jc w:val="center"/>
          <w:trHeight w:val="285"/>
        </w:trPr>
        <w:tc>
          <w:tcPr>
            <w:tcMar>
              <w:left w:w="15" w:type="dxa"/>
              <w:top w:w="15" w:type="dxa"/>
              <w:right w:w="15" w:type="dxa"/>
              <w:bottom w:w="0" w:type="dxa"/>
            </w:tcMar>
            <w:tcW w:w="479" w:type="dxa"/>
            <w:vAlign w:val="bottom"/>
            <w:textDirection w:val="lrTb"/>
            <w:noWrap w:val="false"/>
          </w:tcPr>
          <w:p>
            <w:pPr>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5</w:t>
            </w:r>
            <w:r/>
          </w:p>
        </w:tc>
        <w:tc>
          <w:tcPr>
            <w:tcMar>
              <w:left w:w="15" w:type="dxa"/>
              <w:top w:w="15" w:type="dxa"/>
              <w:right w:w="15" w:type="dxa"/>
              <w:bottom w:w="0" w:type="dxa"/>
            </w:tcMar>
            <w:tcW w:w="926" w:type="dxa"/>
            <w:vAlign w:val="bottom"/>
            <w:textDirection w:val="lrTb"/>
            <w:noWrap w:val="false"/>
          </w:tcPr>
          <w:p>
            <w:pPr>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Mar>
              <w:left w:w="15" w:type="dxa"/>
              <w:top w:w="15" w:type="dxa"/>
              <w:right w:w="15" w:type="dxa"/>
              <w:bottom w:w="0" w:type="dxa"/>
            </w:tcMar>
            <w:tcW w:w="954" w:type="dxa"/>
            <w:vAlign w:val="bottom"/>
            <w:textDirection w:val="lrTb"/>
            <w:noWrap w:val="false"/>
          </w:tcPr>
          <w:p>
            <w:pPr>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Mar>
              <w:left w:w="15" w:type="dxa"/>
              <w:top w:w="15" w:type="dxa"/>
              <w:right w:w="15" w:type="dxa"/>
              <w:bottom w:w="0" w:type="dxa"/>
            </w:tcMar>
            <w:tcW w:w="988" w:type="dxa"/>
            <w:vAlign w:val="top"/>
            <w:textDirection w:val="lrTb"/>
            <w:noWrap w:val="false"/>
          </w:tcPr>
          <w:p>
            <w:pPr>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Mar>
              <w:left w:w="15" w:type="dxa"/>
              <w:top w:w="15" w:type="dxa"/>
              <w:right w:w="15" w:type="dxa"/>
              <w:bottom w:w="0" w:type="dxa"/>
            </w:tcMar>
            <w:tcW w:w="2828" w:type="dxa"/>
            <w:vAlign w:val="top"/>
            <w:textDirection w:val="lrTb"/>
            <w:noWrap w:val="false"/>
          </w:tcPr>
          <w:p>
            <w:pPr>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Mar>
              <w:left w:w="15" w:type="dxa"/>
              <w:top w:w="15" w:type="dxa"/>
              <w:right w:w="15" w:type="dxa"/>
              <w:bottom w:w="0" w:type="dxa"/>
            </w:tcMar>
            <w:tcW w:w="635" w:type="dxa"/>
            <w:vAlign w:val="bottom"/>
            <w:textDirection w:val="lrTb"/>
            <w:noWrap w:val="false"/>
          </w:tcPr>
          <w:p>
            <w:pPr>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Mar>
              <w:left w:w="15" w:type="dxa"/>
              <w:top w:w="15" w:type="dxa"/>
              <w:right w:w="15" w:type="dxa"/>
              <w:bottom w:w="0" w:type="dxa"/>
            </w:tcMar>
            <w:tcW w:w="646" w:type="dxa"/>
            <w:vAlign w:val="bottom"/>
            <w:textDirection w:val="lrTb"/>
            <w:noWrap w:val="false"/>
          </w:tcPr>
          <w:p>
            <w:pPr>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Mar>
              <w:left w:w="15" w:type="dxa"/>
              <w:top w:w="15" w:type="dxa"/>
              <w:right w:w="15" w:type="dxa"/>
              <w:bottom w:w="0" w:type="dxa"/>
            </w:tcMar>
            <w:tcW w:w="526" w:type="dxa"/>
            <w:vAlign w:val="bottom"/>
            <w:textDirection w:val="lrTb"/>
            <w:noWrap w:val="false"/>
          </w:tcPr>
          <w:p>
            <w:pPr>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Mar>
              <w:left w:w="15" w:type="dxa"/>
              <w:top w:w="15" w:type="dxa"/>
              <w:right w:w="15" w:type="dxa"/>
              <w:bottom w:w="0" w:type="dxa"/>
            </w:tcMar>
            <w:tcW w:w="504" w:type="dxa"/>
            <w:vAlign w:val="bottom"/>
            <w:textDirection w:val="lrTb"/>
            <w:noWrap w:val="false"/>
          </w:tcPr>
          <w:p>
            <w:pPr>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789" w:type="dxa"/>
            <w:vAlign w:val="top"/>
            <w:textDirection w:val="lrTb"/>
            <w:noWrap w:val="false"/>
          </w:tcPr>
          <w:p>
            <w:pPr>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Mar>
              <w:left w:w="15" w:type="dxa"/>
              <w:top w:w="15" w:type="dxa"/>
              <w:right w:w="15" w:type="dxa"/>
              <w:bottom w:w="0" w:type="dxa"/>
            </w:tcMar>
            <w:tcW w:w="739" w:type="dxa"/>
            <w:vAlign w:val="bottom"/>
            <w:textDirection w:val="lrTb"/>
            <w:noWrap w:val="false"/>
          </w:tcPr>
          <w:p>
            <w:pPr>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r>
      <w:tr>
        <w:trPr>
          <w:jc w:val="center"/>
          <w:trHeight w:val="285"/>
        </w:trPr>
        <w:tc>
          <w:tcPr>
            <w:tcMar>
              <w:left w:w="15" w:type="dxa"/>
              <w:top w:w="15" w:type="dxa"/>
              <w:right w:w="15" w:type="dxa"/>
              <w:bottom w:w="0" w:type="dxa"/>
            </w:tcMar>
            <w:tcW w:w="479" w:type="dxa"/>
            <w:vAlign w:val="bottom"/>
            <w:textDirection w:val="lrTb"/>
            <w:noWrap w:val="false"/>
          </w:tcPr>
          <w:p>
            <w:pPr>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6</w:t>
            </w:r>
            <w:r/>
          </w:p>
        </w:tc>
        <w:tc>
          <w:tcPr>
            <w:tcMar>
              <w:left w:w="15" w:type="dxa"/>
              <w:top w:w="15" w:type="dxa"/>
              <w:right w:w="15" w:type="dxa"/>
              <w:bottom w:w="0" w:type="dxa"/>
            </w:tcMar>
            <w:tcW w:w="926" w:type="dxa"/>
            <w:vAlign w:val="bottom"/>
            <w:textDirection w:val="lrTb"/>
            <w:noWrap w:val="false"/>
          </w:tcPr>
          <w:p>
            <w:pPr>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Mar>
              <w:left w:w="15" w:type="dxa"/>
              <w:top w:w="15" w:type="dxa"/>
              <w:right w:w="15" w:type="dxa"/>
              <w:bottom w:w="0" w:type="dxa"/>
            </w:tcMar>
            <w:tcW w:w="954" w:type="dxa"/>
            <w:vAlign w:val="bottom"/>
            <w:textDirection w:val="lrTb"/>
            <w:noWrap w:val="false"/>
          </w:tcPr>
          <w:p>
            <w:pPr>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Mar>
              <w:left w:w="15" w:type="dxa"/>
              <w:top w:w="15" w:type="dxa"/>
              <w:right w:w="15" w:type="dxa"/>
              <w:bottom w:w="0" w:type="dxa"/>
            </w:tcMar>
            <w:tcW w:w="988" w:type="dxa"/>
            <w:vAlign w:val="top"/>
            <w:textDirection w:val="lrTb"/>
            <w:noWrap w:val="false"/>
          </w:tcPr>
          <w:p>
            <w:pPr>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Mar>
              <w:left w:w="15" w:type="dxa"/>
              <w:top w:w="15" w:type="dxa"/>
              <w:right w:w="15" w:type="dxa"/>
              <w:bottom w:w="0" w:type="dxa"/>
            </w:tcMar>
            <w:tcW w:w="2828" w:type="dxa"/>
            <w:vAlign w:val="top"/>
            <w:textDirection w:val="lrTb"/>
            <w:noWrap w:val="false"/>
          </w:tcPr>
          <w:p>
            <w:pPr>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Mar>
              <w:left w:w="15" w:type="dxa"/>
              <w:top w:w="15" w:type="dxa"/>
              <w:right w:w="15" w:type="dxa"/>
              <w:bottom w:w="0" w:type="dxa"/>
            </w:tcMar>
            <w:tcW w:w="635" w:type="dxa"/>
            <w:vAlign w:val="bottom"/>
            <w:textDirection w:val="lrTb"/>
            <w:noWrap w:val="false"/>
          </w:tcPr>
          <w:p>
            <w:pPr>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Mar>
              <w:left w:w="15" w:type="dxa"/>
              <w:top w:w="15" w:type="dxa"/>
              <w:right w:w="15" w:type="dxa"/>
              <w:bottom w:w="0" w:type="dxa"/>
            </w:tcMar>
            <w:tcW w:w="646" w:type="dxa"/>
            <w:vAlign w:val="bottom"/>
            <w:textDirection w:val="lrTb"/>
            <w:noWrap w:val="false"/>
          </w:tcPr>
          <w:p>
            <w:pPr>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Mar>
              <w:left w:w="15" w:type="dxa"/>
              <w:top w:w="15" w:type="dxa"/>
              <w:right w:w="15" w:type="dxa"/>
              <w:bottom w:w="0" w:type="dxa"/>
            </w:tcMar>
            <w:tcW w:w="526" w:type="dxa"/>
            <w:vAlign w:val="bottom"/>
            <w:textDirection w:val="lrTb"/>
            <w:noWrap w:val="false"/>
          </w:tcPr>
          <w:p>
            <w:pPr>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Mar>
              <w:left w:w="15" w:type="dxa"/>
              <w:top w:w="15" w:type="dxa"/>
              <w:right w:w="15" w:type="dxa"/>
              <w:bottom w:w="0" w:type="dxa"/>
            </w:tcMar>
            <w:tcW w:w="504" w:type="dxa"/>
            <w:vAlign w:val="bottom"/>
            <w:textDirection w:val="lrTb"/>
            <w:noWrap w:val="false"/>
          </w:tcPr>
          <w:p>
            <w:pPr>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789" w:type="dxa"/>
            <w:vAlign w:val="top"/>
            <w:textDirection w:val="lrTb"/>
            <w:noWrap w:val="false"/>
          </w:tcPr>
          <w:p>
            <w:pPr>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Mar>
              <w:left w:w="15" w:type="dxa"/>
              <w:top w:w="15" w:type="dxa"/>
              <w:right w:w="15" w:type="dxa"/>
              <w:bottom w:w="0" w:type="dxa"/>
            </w:tcMar>
            <w:tcW w:w="739" w:type="dxa"/>
            <w:vAlign w:val="bottom"/>
            <w:textDirection w:val="lrTb"/>
            <w:noWrap w:val="false"/>
          </w:tcPr>
          <w:p>
            <w:pPr>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r>
      <w:tr>
        <w:trPr>
          <w:jc w:val="center"/>
          <w:trHeight w:val="499"/>
        </w:trPr>
        <w:tc>
          <w:tcPr>
            <w:gridSpan w:val="4"/>
            <w:tcMar>
              <w:left w:w="15" w:type="dxa"/>
              <w:top w:w="15" w:type="dxa"/>
              <w:right w:w="15" w:type="dxa"/>
              <w:bottom w:w="0" w:type="dxa"/>
            </w:tcMar>
            <w:tcW w:w="3347" w:type="dxa"/>
            <w:vAlign w:val="bottom"/>
            <w:textDirection w:val="lrTb"/>
            <w:noWrap w:val="false"/>
          </w:tcPr>
          <w:p>
            <w:pPr>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总价合计（即《开标一览表》中的“总价”）</w:t>
            </w:r>
            <w:r/>
          </w:p>
        </w:tc>
        <w:tc>
          <w:tcPr>
            <w:gridSpan w:val="7"/>
            <w:tcW w:w="6667" w:type="dxa"/>
            <w:vAlign w:val="top"/>
            <w:textDirection w:val="lrTb"/>
            <w:noWrap w:val="false"/>
          </w:tcPr>
          <w:p>
            <w:pPr>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r>
    </w:tbl>
    <w:p>
      <w:pP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ind w:firstLine="3640"/>
        <w:spacing w:line="30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投标人：</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（电子签章）</w:t>
      </w:r>
      <w:r/>
    </w:p>
    <w:p>
      <w:pPr>
        <w:ind w:firstLine="364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ind w:firstLine="364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日期：   年  月  日</w:t>
      </w:r>
      <w:r/>
    </w:p>
    <w:p>
      <w:pPr>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t xml:space="preserve">说明：</w:t>
      </w:r>
      <w:r/>
    </w:p>
    <w:p>
      <w:pPr>
        <w:jc w:val="left"/>
        <w:widowControl/>
        <w:rPr>
          <w:rFonts w:hint="eastAsia" w:ascii="宋体" w:hAnsi="宋体" w:eastAsia="宋体" w:cs="宋体"/>
          <w:color w:val="000000"/>
          <w:sz w:val="24"/>
          <w:highlight w:val="none"/>
        </w:rPr>
      </w:pPr>
      <w:r>
        <w:rPr>
          <w:rFonts w:hint="eastAsia" w:ascii="宋体" w:hAnsi="宋体" w:eastAsia="宋体" w:cs="宋体"/>
          <w:b/>
          <w:bCs/>
          <w:color w:val="000000"/>
          <w:sz w:val="24"/>
          <w:highlight w:val="none"/>
        </w:rPr>
        <w:t xml:space="preserve">1、本表中“产品制造企业的划分”以《政府采购促进中小企业发展管理办法》（财库〔2020〕46号）</w:t>
      </w:r>
      <w:r>
        <w:rPr>
          <w:rFonts w:hint="eastAsia" w:ascii="宋体" w:hAnsi="宋体" w:eastAsia="宋体" w:cs="宋体"/>
          <w:color w:val="000000"/>
          <w:sz w:val="24"/>
          <w:highlight w:val="none"/>
        </w:rPr>
        <w:t xml:space="preserve">和《工业和信息化部、国家统计局、国家发展和改革委员会、财政部关于印发中小企业划型标准规定的通知》（工信部联企业〔2011〕300号）的规定为准。</w:t>
      </w:r>
      <w:r/>
    </w:p>
    <w:p>
      <w:pPr>
        <w:jc w:val="lef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具体以《财政部 司法部关于政府采购支持监狱企业发展有关问题的通知》（财库〔2014〕68号）的规定为准。</w:t>
      </w:r>
      <w:r/>
    </w:p>
    <w:p>
      <w:pPr>
        <w:jc w:val="lef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3、享受政府采购支持政策的残疾人福利性单位的条件以《三部门联合发布关于促进残疾人就业政府采购政策的通知》（财库〔2017〕141号）规定为准。</w:t>
      </w:r>
      <w:r/>
    </w:p>
    <w:p>
      <w:pPr>
        <w:ind w:firstLine="560"/>
        <w:jc w:val="lef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jc w:val="lef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注：1、如果不提供详细分项报价将视为没有实质性响应招标文件。</w:t>
      </w:r>
      <w:r/>
    </w:p>
    <w:p>
      <w:pPr>
        <w:ind w:firstLine="560"/>
        <w:jc w:val="lef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2、投标人对以上数据的真实性负责。</w:t>
      </w:r>
      <w:r/>
    </w:p>
    <w:p>
      <w:pPr>
        <w:ind w:firstLine="562"/>
        <w:jc w:val="left"/>
        <w:widowControl/>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t xml:space="preserve">采购人或采购代理机构有权将以上内容进行公示。</w:t>
      </w:r>
      <w:r/>
    </w:p>
    <w:p>
      <w:pPr>
        <w:ind w:firstLine="560"/>
        <w:jc w:val="center"/>
        <w:spacing w:line="479" w:lineRule="atLeast"/>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rPr>
        <w:br w:type="page" w:clear="all"/>
      </w:r>
      <w:r/>
    </w:p>
    <w:p>
      <w:pPr>
        <w:jc w:val="center"/>
        <w:spacing w:line="479" w:lineRule="atLeast"/>
        <w:rPr>
          <w:rFonts w:hint="eastAsia" w:ascii="宋体" w:hAnsi="宋体" w:eastAsia="宋体" w:cs="宋体"/>
          <w:b/>
          <w:bCs/>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8"/>
          <w:szCs w:val="28"/>
          <w:highlight w:val="none"/>
        </w:rPr>
        <w:t xml:space="preserve">四、偏离表格式</w:t>
      </w:r>
      <w:r/>
    </w:p>
    <w:p>
      <w:pPr>
        <w:spacing w:line="479" w:lineRule="atLeast"/>
        <w:rPr>
          <w:rFonts w:hint="eastAsia" w:ascii="宋体" w:hAnsi="宋体" w:eastAsia="宋体" w:cs="宋体"/>
          <w:color w:val="000000"/>
          <w:sz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项目编号：</w:t>
      </w:r>
      <w:r>
        <w:rPr>
          <w:rFonts w:hint="eastAsia" w:ascii="宋体" w:hAnsi="宋体" w:cs="宋体"/>
          <w:color w:val="000000"/>
          <w:sz w:val="24"/>
          <w:highlight w:val="none"/>
          <w:lang w:eastAsia="zh-CN"/>
        </w:rPr>
        <w:t xml:space="preserve">JSZC-320322-SHGC-G2026-0003</w:t>
      </w:r>
      <w:r/>
    </w:p>
    <w:p>
      <w:pPr>
        <w:spacing w:line="479" w:lineRule="atLeast"/>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项目名称：</w:t>
      </w:r>
      <w:r>
        <w:rPr>
          <w:rFonts w:hint="eastAsia" w:ascii="宋体" w:hAnsi="宋体" w:cs="宋体"/>
          <w:color w:val="000000"/>
          <w:sz w:val="24"/>
          <w:highlight w:val="none"/>
          <w:lang w:eastAsia="zh-CN"/>
        </w:rPr>
        <w:t xml:space="preserve">江苏省沛县中学校园文化智能化采购</w:t>
      </w:r>
      <w:r>
        <w:rPr>
          <w:rFonts w:hint="eastAsia" w:ascii="宋体" w:hAnsi="宋体" w:eastAsia="宋体" w:cs="宋体"/>
          <w:color w:val="000000"/>
          <w:sz w:val="24"/>
          <w:highlight w:val="none"/>
          <w:lang w:eastAsia="zh-CN"/>
        </w:rPr>
        <w:t xml:space="preserve">项目</w:t>
      </w:r>
      <w:r/>
    </w:p>
    <w:p>
      <w:pPr>
        <w:spacing w:line="479" w:lineRule="atLeast"/>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r>
      <w:r/>
    </w:p>
    <w:tbl>
      <w:tblPr>
        <w:tblStyle w:val="739"/>
        <w:tblW w:w="9536" w:type="dxa"/>
        <w:tblInd w:w="-59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74"/>
        <w:gridCol w:w="1746"/>
        <w:gridCol w:w="1749"/>
        <w:gridCol w:w="2112"/>
        <w:gridCol w:w="1593"/>
        <w:gridCol w:w="1362"/>
      </w:tblGrid>
      <w:tr>
        <w:trPr>
          <w:trHeight w:val="815"/>
        </w:trPr>
        <w:tc>
          <w:tcPr>
            <w:tcMar>
              <w:left w:w="108" w:type="dxa"/>
              <w:top w:w="0" w:type="dxa"/>
              <w:right w:w="108" w:type="dxa"/>
              <w:bottom w:w="0" w:type="dxa"/>
            </w:tcMar>
            <w:tcW w:w="974" w:type="dxa"/>
            <w:vAlign w:val="center"/>
            <w:textDirection w:val="lrTb"/>
            <w:noWrap w:val="false"/>
          </w:tcPr>
          <w:p>
            <w:pPr>
              <w:jc w:val="center"/>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序号</w:t>
            </w:r>
            <w:r/>
          </w:p>
        </w:tc>
        <w:tc>
          <w:tcPr>
            <w:tcMar>
              <w:left w:w="108" w:type="dxa"/>
              <w:top w:w="0" w:type="dxa"/>
              <w:right w:w="108" w:type="dxa"/>
              <w:bottom w:w="0" w:type="dxa"/>
            </w:tcMar>
            <w:tcW w:w="1746" w:type="dxa"/>
            <w:vAlign w:val="center"/>
            <w:textDirection w:val="lrTb"/>
            <w:noWrap w:val="false"/>
          </w:tcPr>
          <w:p>
            <w:pPr>
              <w:jc w:val="center"/>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偏离内容</w:t>
            </w:r>
            <w:r/>
          </w:p>
        </w:tc>
        <w:tc>
          <w:tcPr>
            <w:tcMar>
              <w:left w:w="108" w:type="dxa"/>
              <w:top w:w="0" w:type="dxa"/>
              <w:right w:w="108" w:type="dxa"/>
              <w:bottom w:w="0" w:type="dxa"/>
            </w:tcMar>
            <w:tcW w:w="1749" w:type="dxa"/>
            <w:vAlign w:val="center"/>
            <w:textDirection w:val="lrTb"/>
            <w:noWrap w:val="false"/>
          </w:tcPr>
          <w:p>
            <w:pPr>
              <w:jc w:val="center"/>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招标文件的要求</w:t>
            </w:r>
            <w:r/>
          </w:p>
        </w:tc>
        <w:tc>
          <w:tcPr>
            <w:tcMar>
              <w:left w:w="108" w:type="dxa"/>
              <w:top w:w="0" w:type="dxa"/>
              <w:right w:w="108" w:type="dxa"/>
              <w:bottom w:w="0" w:type="dxa"/>
            </w:tcMar>
            <w:tcW w:w="2112" w:type="dxa"/>
            <w:vAlign w:val="center"/>
            <w:textDirection w:val="lrTb"/>
            <w:noWrap w:val="false"/>
          </w:tcPr>
          <w:p>
            <w:pPr>
              <w:jc w:val="center"/>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投标文件中的内容</w:t>
            </w:r>
            <w:r/>
          </w:p>
        </w:tc>
        <w:tc>
          <w:tcPr>
            <w:tcMar>
              <w:left w:w="108" w:type="dxa"/>
              <w:top w:w="0" w:type="dxa"/>
              <w:right w:w="108" w:type="dxa"/>
              <w:bottom w:w="0" w:type="dxa"/>
            </w:tcMar>
            <w:tcW w:w="1593" w:type="dxa"/>
            <w:vAlign w:val="center"/>
            <w:textDirection w:val="lrTb"/>
            <w:noWrap w:val="false"/>
          </w:tcPr>
          <w:p>
            <w:pPr>
              <w:jc w:val="center"/>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（正/负/无）偏离</w:t>
            </w:r>
            <w:r/>
          </w:p>
        </w:tc>
        <w:tc>
          <w:tcPr>
            <w:tcMar>
              <w:left w:w="108" w:type="dxa"/>
              <w:top w:w="0" w:type="dxa"/>
              <w:right w:w="108" w:type="dxa"/>
              <w:bottom w:w="0" w:type="dxa"/>
            </w:tcMar>
            <w:tcW w:w="1362" w:type="dxa"/>
            <w:vAlign w:val="center"/>
            <w:textDirection w:val="lrTb"/>
            <w:noWrap w:val="false"/>
          </w:tcPr>
          <w:p>
            <w:pPr>
              <w:jc w:val="center"/>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说明</w:t>
            </w:r>
            <w:r/>
          </w:p>
        </w:tc>
      </w:tr>
      <w:tr>
        <w:trPr>
          <w:trHeight w:val="815"/>
        </w:trPr>
        <w:tc>
          <w:tcPr>
            <w:tcMar>
              <w:left w:w="108" w:type="dxa"/>
              <w:top w:w="0" w:type="dxa"/>
              <w:right w:w="108" w:type="dxa"/>
              <w:bottom w:w="0" w:type="dxa"/>
            </w:tcMar>
            <w:tcW w:w="974" w:type="dxa"/>
            <w:vAlign w:val="top"/>
            <w:textDirection w:val="lrTb"/>
            <w:noWrap w:val="false"/>
          </w:tcPr>
          <w:p>
            <w:pPr>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tc>
        <w:tc>
          <w:tcPr>
            <w:tcMar>
              <w:left w:w="108" w:type="dxa"/>
              <w:top w:w="0" w:type="dxa"/>
              <w:right w:w="108" w:type="dxa"/>
              <w:bottom w:w="0" w:type="dxa"/>
            </w:tcMar>
            <w:tcW w:w="1746" w:type="dxa"/>
            <w:vAlign w:val="top"/>
            <w:textDirection w:val="lrTb"/>
            <w:noWrap w:val="false"/>
          </w:tcPr>
          <w:p>
            <w:pPr>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tc>
        <w:tc>
          <w:tcPr>
            <w:tcMar>
              <w:left w:w="108" w:type="dxa"/>
              <w:top w:w="0" w:type="dxa"/>
              <w:right w:w="108" w:type="dxa"/>
              <w:bottom w:w="0" w:type="dxa"/>
            </w:tcMar>
            <w:tcW w:w="1749" w:type="dxa"/>
            <w:vAlign w:val="top"/>
            <w:textDirection w:val="lrTb"/>
            <w:noWrap w:val="false"/>
          </w:tcPr>
          <w:p>
            <w:pPr>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tc>
        <w:tc>
          <w:tcPr>
            <w:tcMar>
              <w:left w:w="108" w:type="dxa"/>
              <w:top w:w="0" w:type="dxa"/>
              <w:right w:w="108" w:type="dxa"/>
              <w:bottom w:w="0" w:type="dxa"/>
            </w:tcMar>
            <w:tcW w:w="2112" w:type="dxa"/>
            <w:vAlign w:val="top"/>
            <w:textDirection w:val="lrTb"/>
            <w:noWrap w:val="false"/>
          </w:tcPr>
          <w:p>
            <w:pPr>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tc>
        <w:tc>
          <w:tcPr>
            <w:tcMar>
              <w:left w:w="108" w:type="dxa"/>
              <w:top w:w="0" w:type="dxa"/>
              <w:right w:w="108" w:type="dxa"/>
              <w:bottom w:w="0" w:type="dxa"/>
            </w:tcMar>
            <w:tcW w:w="1593" w:type="dxa"/>
            <w:vAlign w:val="top"/>
            <w:textDirection w:val="lrTb"/>
            <w:noWrap w:val="false"/>
          </w:tcPr>
          <w:p>
            <w:pPr>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tc>
        <w:tc>
          <w:tcPr>
            <w:tcMar>
              <w:left w:w="108" w:type="dxa"/>
              <w:top w:w="0" w:type="dxa"/>
              <w:right w:w="108" w:type="dxa"/>
              <w:bottom w:w="0" w:type="dxa"/>
            </w:tcMar>
            <w:tcW w:w="1362" w:type="dxa"/>
            <w:vAlign w:val="top"/>
            <w:textDirection w:val="lrTb"/>
            <w:noWrap w:val="false"/>
          </w:tcPr>
          <w:p>
            <w:pPr>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tc>
      </w:tr>
      <w:tr>
        <w:trPr>
          <w:trHeight w:val="815"/>
        </w:trPr>
        <w:tc>
          <w:tcPr>
            <w:tcMar>
              <w:left w:w="108" w:type="dxa"/>
              <w:top w:w="0" w:type="dxa"/>
              <w:right w:w="108" w:type="dxa"/>
              <w:bottom w:w="0" w:type="dxa"/>
            </w:tcMar>
            <w:tcW w:w="974" w:type="dxa"/>
            <w:vAlign w:val="top"/>
            <w:textDirection w:val="lrTb"/>
            <w:noWrap w:val="false"/>
          </w:tcPr>
          <w:p>
            <w:pPr>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tc>
        <w:tc>
          <w:tcPr>
            <w:tcMar>
              <w:left w:w="108" w:type="dxa"/>
              <w:top w:w="0" w:type="dxa"/>
              <w:right w:w="108" w:type="dxa"/>
              <w:bottom w:w="0" w:type="dxa"/>
            </w:tcMar>
            <w:tcW w:w="1746" w:type="dxa"/>
            <w:vAlign w:val="top"/>
            <w:textDirection w:val="lrTb"/>
            <w:noWrap w:val="false"/>
          </w:tcPr>
          <w:p>
            <w:pPr>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tc>
        <w:tc>
          <w:tcPr>
            <w:tcMar>
              <w:left w:w="108" w:type="dxa"/>
              <w:top w:w="0" w:type="dxa"/>
              <w:right w:w="108" w:type="dxa"/>
              <w:bottom w:w="0" w:type="dxa"/>
            </w:tcMar>
            <w:tcW w:w="1749" w:type="dxa"/>
            <w:vAlign w:val="top"/>
            <w:textDirection w:val="lrTb"/>
            <w:noWrap w:val="false"/>
          </w:tcPr>
          <w:p>
            <w:pPr>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tc>
        <w:tc>
          <w:tcPr>
            <w:tcMar>
              <w:left w:w="108" w:type="dxa"/>
              <w:top w:w="0" w:type="dxa"/>
              <w:right w:w="108" w:type="dxa"/>
              <w:bottom w:w="0" w:type="dxa"/>
            </w:tcMar>
            <w:tcW w:w="2112" w:type="dxa"/>
            <w:vAlign w:val="top"/>
            <w:textDirection w:val="lrTb"/>
            <w:noWrap w:val="false"/>
          </w:tcPr>
          <w:p>
            <w:pPr>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tc>
        <w:tc>
          <w:tcPr>
            <w:tcMar>
              <w:left w:w="108" w:type="dxa"/>
              <w:top w:w="0" w:type="dxa"/>
              <w:right w:w="108" w:type="dxa"/>
              <w:bottom w:w="0" w:type="dxa"/>
            </w:tcMar>
            <w:tcW w:w="1593" w:type="dxa"/>
            <w:vAlign w:val="top"/>
            <w:textDirection w:val="lrTb"/>
            <w:noWrap w:val="false"/>
          </w:tcPr>
          <w:p>
            <w:pPr>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tc>
        <w:tc>
          <w:tcPr>
            <w:tcMar>
              <w:left w:w="108" w:type="dxa"/>
              <w:top w:w="0" w:type="dxa"/>
              <w:right w:w="108" w:type="dxa"/>
              <w:bottom w:w="0" w:type="dxa"/>
            </w:tcMar>
            <w:tcW w:w="1362" w:type="dxa"/>
            <w:vAlign w:val="top"/>
            <w:textDirection w:val="lrTb"/>
            <w:noWrap w:val="false"/>
          </w:tcPr>
          <w:p>
            <w:pPr>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tc>
      </w:tr>
      <w:tr>
        <w:trPr>
          <w:trHeight w:val="815"/>
        </w:trPr>
        <w:tc>
          <w:tcPr>
            <w:tcMar>
              <w:left w:w="108" w:type="dxa"/>
              <w:top w:w="0" w:type="dxa"/>
              <w:right w:w="108" w:type="dxa"/>
              <w:bottom w:w="0" w:type="dxa"/>
            </w:tcMar>
            <w:tcW w:w="974" w:type="dxa"/>
            <w:vAlign w:val="top"/>
            <w:textDirection w:val="lrTb"/>
            <w:noWrap w:val="false"/>
          </w:tcPr>
          <w:p>
            <w:pPr>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tc>
        <w:tc>
          <w:tcPr>
            <w:tcMar>
              <w:left w:w="108" w:type="dxa"/>
              <w:top w:w="0" w:type="dxa"/>
              <w:right w:w="108" w:type="dxa"/>
              <w:bottom w:w="0" w:type="dxa"/>
            </w:tcMar>
            <w:tcW w:w="1746" w:type="dxa"/>
            <w:vAlign w:val="top"/>
            <w:textDirection w:val="lrTb"/>
            <w:noWrap w:val="false"/>
          </w:tcPr>
          <w:p>
            <w:pPr>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tc>
        <w:tc>
          <w:tcPr>
            <w:tcMar>
              <w:left w:w="108" w:type="dxa"/>
              <w:top w:w="0" w:type="dxa"/>
              <w:right w:w="108" w:type="dxa"/>
              <w:bottom w:w="0" w:type="dxa"/>
            </w:tcMar>
            <w:tcW w:w="1749" w:type="dxa"/>
            <w:vAlign w:val="top"/>
            <w:textDirection w:val="lrTb"/>
            <w:noWrap w:val="false"/>
          </w:tcPr>
          <w:p>
            <w:pPr>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tc>
        <w:tc>
          <w:tcPr>
            <w:tcMar>
              <w:left w:w="108" w:type="dxa"/>
              <w:top w:w="0" w:type="dxa"/>
              <w:right w:w="108" w:type="dxa"/>
              <w:bottom w:w="0" w:type="dxa"/>
            </w:tcMar>
            <w:tcW w:w="2112" w:type="dxa"/>
            <w:vAlign w:val="top"/>
            <w:textDirection w:val="lrTb"/>
            <w:noWrap w:val="false"/>
          </w:tcPr>
          <w:p>
            <w:pPr>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tc>
        <w:tc>
          <w:tcPr>
            <w:tcMar>
              <w:left w:w="108" w:type="dxa"/>
              <w:top w:w="0" w:type="dxa"/>
              <w:right w:w="108" w:type="dxa"/>
              <w:bottom w:w="0" w:type="dxa"/>
            </w:tcMar>
            <w:tcW w:w="1593" w:type="dxa"/>
            <w:vAlign w:val="top"/>
            <w:textDirection w:val="lrTb"/>
            <w:noWrap w:val="false"/>
          </w:tcPr>
          <w:p>
            <w:pPr>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tc>
        <w:tc>
          <w:tcPr>
            <w:tcMar>
              <w:left w:w="108" w:type="dxa"/>
              <w:top w:w="0" w:type="dxa"/>
              <w:right w:w="108" w:type="dxa"/>
              <w:bottom w:w="0" w:type="dxa"/>
            </w:tcMar>
            <w:tcW w:w="1362" w:type="dxa"/>
            <w:vAlign w:val="top"/>
            <w:textDirection w:val="lrTb"/>
            <w:noWrap w:val="false"/>
          </w:tcPr>
          <w:p>
            <w:pPr>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tc>
      </w:tr>
      <w:tr>
        <w:trPr>
          <w:trHeight w:val="815"/>
        </w:trPr>
        <w:tc>
          <w:tcPr>
            <w:tcMar>
              <w:left w:w="108" w:type="dxa"/>
              <w:top w:w="0" w:type="dxa"/>
              <w:right w:w="108" w:type="dxa"/>
              <w:bottom w:w="0" w:type="dxa"/>
            </w:tcMar>
            <w:tcW w:w="974" w:type="dxa"/>
            <w:vAlign w:val="top"/>
            <w:textDirection w:val="lrTb"/>
            <w:noWrap w:val="false"/>
          </w:tcPr>
          <w:p>
            <w:pPr>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tc>
        <w:tc>
          <w:tcPr>
            <w:tcMar>
              <w:left w:w="108" w:type="dxa"/>
              <w:top w:w="0" w:type="dxa"/>
              <w:right w:w="108" w:type="dxa"/>
              <w:bottom w:w="0" w:type="dxa"/>
            </w:tcMar>
            <w:tcW w:w="1746" w:type="dxa"/>
            <w:vAlign w:val="top"/>
            <w:textDirection w:val="lrTb"/>
            <w:noWrap w:val="false"/>
          </w:tcPr>
          <w:p>
            <w:pPr>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tc>
        <w:tc>
          <w:tcPr>
            <w:tcMar>
              <w:left w:w="108" w:type="dxa"/>
              <w:top w:w="0" w:type="dxa"/>
              <w:right w:w="108" w:type="dxa"/>
              <w:bottom w:w="0" w:type="dxa"/>
            </w:tcMar>
            <w:tcW w:w="1749" w:type="dxa"/>
            <w:vAlign w:val="top"/>
            <w:textDirection w:val="lrTb"/>
            <w:noWrap w:val="false"/>
          </w:tcPr>
          <w:p>
            <w:pPr>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tc>
        <w:tc>
          <w:tcPr>
            <w:tcMar>
              <w:left w:w="108" w:type="dxa"/>
              <w:top w:w="0" w:type="dxa"/>
              <w:right w:w="108" w:type="dxa"/>
              <w:bottom w:w="0" w:type="dxa"/>
            </w:tcMar>
            <w:tcW w:w="2112" w:type="dxa"/>
            <w:vAlign w:val="top"/>
            <w:textDirection w:val="lrTb"/>
            <w:noWrap w:val="false"/>
          </w:tcPr>
          <w:p>
            <w:pPr>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tc>
        <w:tc>
          <w:tcPr>
            <w:tcMar>
              <w:left w:w="108" w:type="dxa"/>
              <w:top w:w="0" w:type="dxa"/>
              <w:right w:w="108" w:type="dxa"/>
              <w:bottom w:w="0" w:type="dxa"/>
            </w:tcMar>
            <w:tcW w:w="1593" w:type="dxa"/>
            <w:vAlign w:val="top"/>
            <w:textDirection w:val="lrTb"/>
            <w:noWrap w:val="false"/>
          </w:tcPr>
          <w:p>
            <w:pPr>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tc>
        <w:tc>
          <w:tcPr>
            <w:tcMar>
              <w:left w:w="108" w:type="dxa"/>
              <w:top w:w="0" w:type="dxa"/>
              <w:right w:w="108" w:type="dxa"/>
              <w:bottom w:w="0" w:type="dxa"/>
            </w:tcMar>
            <w:tcW w:w="1362" w:type="dxa"/>
            <w:vAlign w:val="top"/>
            <w:textDirection w:val="lrTb"/>
            <w:noWrap w:val="false"/>
          </w:tcPr>
          <w:p>
            <w:pPr>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tc>
      </w:tr>
      <w:tr>
        <w:trPr>
          <w:trHeight w:val="815"/>
        </w:trPr>
        <w:tc>
          <w:tcPr>
            <w:tcMar>
              <w:left w:w="108" w:type="dxa"/>
              <w:top w:w="0" w:type="dxa"/>
              <w:right w:w="108" w:type="dxa"/>
              <w:bottom w:w="0" w:type="dxa"/>
            </w:tcMar>
            <w:tcW w:w="974" w:type="dxa"/>
            <w:vAlign w:val="top"/>
            <w:textDirection w:val="lrTb"/>
            <w:noWrap w:val="false"/>
          </w:tcPr>
          <w:p>
            <w:pPr>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tc>
        <w:tc>
          <w:tcPr>
            <w:tcMar>
              <w:left w:w="108" w:type="dxa"/>
              <w:top w:w="0" w:type="dxa"/>
              <w:right w:w="108" w:type="dxa"/>
              <w:bottom w:w="0" w:type="dxa"/>
            </w:tcMar>
            <w:tcW w:w="1746" w:type="dxa"/>
            <w:vAlign w:val="top"/>
            <w:textDirection w:val="lrTb"/>
            <w:noWrap w:val="false"/>
          </w:tcPr>
          <w:p>
            <w:pPr>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tc>
        <w:tc>
          <w:tcPr>
            <w:tcMar>
              <w:left w:w="108" w:type="dxa"/>
              <w:top w:w="0" w:type="dxa"/>
              <w:right w:w="108" w:type="dxa"/>
              <w:bottom w:w="0" w:type="dxa"/>
            </w:tcMar>
            <w:tcW w:w="1749" w:type="dxa"/>
            <w:vAlign w:val="top"/>
            <w:textDirection w:val="lrTb"/>
            <w:noWrap w:val="false"/>
          </w:tcPr>
          <w:p>
            <w:pPr>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tc>
        <w:tc>
          <w:tcPr>
            <w:tcMar>
              <w:left w:w="108" w:type="dxa"/>
              <w:top w:w="0" w:type="dxa"/>
              <w:right w:w="108" w:type="dxa"/>
              <w:bottom w:w="0" w:type="dxa"/>
            </w:tcMar>
            <w:tcW w:w="2112" w:type="dxa"/>
            <w:vAlign w:val="top"/>
            <w:textDirection w:val="lrTb"/>
            <w:noWrap w:val="false"/>
          </w:tcPr>
          <w:p>
            <w:pPr>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tc>
        <w:tc>
          <w:tcPr>
            <w:tcMar>
              <w:left w:w="108" w:type="dxa"/>
              <w:top w:w="0" w:type="dxa"/>
              <w:right w:w="108" w:type="dxa"/>
              <w:bottom w:w="0" w:type="dxa"/>
            </w:tcMar>
            <w:tcW w:w="1593" w:type="dxa"/>
            <w:vAlign w:val="top"/>
            <w:textDirection w:val="lrTb"/>
            <w:noWrap w:val="false"/>
          </w:tcPr>
          <w:p>
            <w:pPr>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tc>
        <w:tc>
          <w:tcPr>
            <w:tcMar>
              <w:left w:w="108" w:type="dxa"/>
              <w:top w:w="0" w:type="dxa"/>
              <w:right w:w="108" w:type="dxa"/>
              <w:bottom w:w="0" w:type="dxa"/>
            </w:tcMar>
            <w:tcW w:w="1362" w:type="dxa"/>
            <w:vAlign w:val="top"/>
            <w:textDirection w:val="lrTb"/>
            <w:noWrap w:val="false"/>
          </w:tcPr>
          <w:p>
            <w:pPr>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tc>
      </w:tr>
      <w:tr>
        <w:trPr>
          <w:trHeight w:val="815"/>
        </w:trPr>
        <w:tc>
          <w:tcPr>
            <w:tcMar>
              <w:left w:w="108" w:type="dxa"/>
              <w:top w:w="0" w:type="dxa"/>
              <w:right w:w="108" w:type="dxa"/>
              <w:bottom w:w="0" w:type="dxa"/>
            </w:tcMar>
            <w:tcW w:w="974" w:type="dxa"/>
            <w:vAlign w:val="top"/>
            <w:textDirection w:val="lrTb"/>
            <w:noWrap w:val="false"/>
          </w:tcPr>
          <w:p>
            <w:pPr>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tc>
        <w:tc>
          <w:tcPr>
            <w:tcMar>
              <w:left w:w="108" w:type="dxa"/>
              <w:top w:w="0" w:type="dxa"/>
              <w:right w:w="108" w:type="dxa"/>
              <w:bottom w:w="0" w:type="dxa"/>
            </w:tcMar>
            <w:tcW w:w="1746" w:type="dxa"/>
            <w:vAlign w:val="top"/>
            <w:textDirection w:val="lrTb"/>
            <w:noWrap w:val="false"/>
          </w:tcPr>
          <w:p>
            <w:pPr>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tc>
        <w:tc>
          <w:tcPr>
            <w:tcMar>
              <w:left w:w="108" w:type="dxa"/>
              <w:top w:w="0" w:type="dxa"/>
              <w:right w:w="108" w:type="dxa"/>
              <w:bottom w:w="0" w:type="dxa"/>
            </w:tcMar>
            <w:tcW w:w="1749" w:type="dxa"/>
            <w:vAlign w:val="top"/>
            <w:textDirection w:val="lrTb"/>
            <w:noWrap w:val="false"/>
          </w:tcPr>
          <w:p>
            <w:pPr>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tc>
        <w:tc>
          <w:tcPr>
            <w:tcMar>
              <w:left w:w="108" w:type="dxa"/>
              <w:top w:w="0" w:type="dxa"/>
              <w:right w:w="108" w:type="dxa"/>
              <w:bottom w:w="0" w:type="dxa"/>
            </w:tcMar>
            <w:tcW w:w="2112" w:type="dxa"/>
            <w:vAlign w:val="top"/>
            <w:textDirection w:val="lrTb"/>
            <w:noWrap w:val="false"/>
          </w:tcPr>
          <w:p>
            <w:pPr>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tc>
        <w:tc>
          <w:tcPr>
            <w:tcMar>
              <w:left w:w="108" w:type="dxa"/>
              <w:top w:w="0" w:type="dxa"/>
              <w:right w:w="108" w:type="dxa"/>
              <w:bottom w:w="0" w:type="dxa"/>
            </w:tcMar>
            <w:tcW w:w="1593" w:type="dxa"/>
            <w:vAlign w:val="top"/>
            <w:textDirection w:val="lrTb"/>
            <w:noWrap w:val="false"/>
          </w:tcPr>
          <w:p>
            <w:pPr>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tc>
        <w:tc>
          <w:tcPr>
            <w:tcMar>
              <w:left w:w="108" w:type="dxa"/>
              <w:top w:w="0" w:type="dxa"/>
              <w:right w:w="108" w:type="dxa"/>
              <w:bottom w:w="0" w:type="dxa"/>
            </w:tcMar>
            <w:tcW w:w="1362" w:type="dxa"/>
            <w:vAlign w:val="top"/>
            <w:textDirection w:val="lrTb"/>
            <w:noWrap w:val="false"/>
          </w:tcPr>
          <w:p>
            <w:pPr>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tc>
      </w:tr>
      <w:tr>
        <w:trPr>
          <w:trHeight w:val="815"/>
        </w:trPr>
        <w:tc>
          <w:tcPr>
            <w:tcMar>
              <w:left w:w="108" w:type="dxa"/>
              <w:top w:w="0" w:type="dxa"/>
              <w:right w:w="108" w:type="dxa"/>
              <w:bottom w:w="0" w:type="dxa"/>
            </w:tcMar>
            <w:tcW w:w="974" w:type="dxa"/>
            <w:vAlign w:val="top"/>
            <w:textDirection w:val="lrTb"/>
            <w:noWrap w:val="false"/>
          </w:tcPr>
          <w:p>
            <w:pPr>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r>
            <w:r/>
          </w:p>
        </w:tc>
        <w:tc>
          <w:tcPr>
            <w:tcMar>
              <w:left w:w="108" w:type="dxa"/>
              <w:top w:w="0" w:type="dxa"/>
              <w:right w:w="108" w:type="dxa"/>
              <w:bottom w:w="0" w:type="dxa"/>
            </w:tcMar>
            <w:tcW w:w="1746" w:type="dxa"/>
            <w:vAlign w:val="top"/>
            <w:textDirection w:val="lrTb"/>
            <w:noWrap w:val="false"/>
          </w:tcPr>
          <w:p>
            <w:pPr>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r>
            <w:r/>
          </w:p>
        </w:tc>
        <w:tc>
          <w:tcPr>
            <w:tcMar>
              <w:left w:w="108" w:type="dxa"/>
              <w:top w:w="0" w:type="dxa"/>
              <w:right w:w="108" w:type="dxa"/>
              <w:bottom w:w="0" w:type="dxa"/>
            </w:tcMar>
            <w:tcW w:w="1749" w:type="dxa"/>
            <w:vAlign w:val="top"/>
            <w:textDirection w:val="lrTb"/>
            <w:noWrap w:val="false"/>
          </w:tcPr>
          <w:p>
            <w:pPr>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r>
            <w:r/>
          </w:p>
        </w:tc>
        <w:tc>
          <w:tcPr>
            <w:tcMar>
              <w:left w:w="108" w:type="dxa"/>
              <w:top w:w="0" w:type="dxa"/>
              <w:right w:w="108" w:type="dxa"/>
              <w:bottom w:w="0" w:type="dxa"/>
            </w:tcMar>
            <w:tcW w:w="2112" w:type="dxa"/>
            <w:vAlign w:val="top"/>
            <w:textDirection w:val="lrTb"/>
            <w:noWrap w:val="false"/>
          </w:tcPr>
          <w:p>
            <w:pPr>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r>
            <w:r/>
          </w:p>
        </w:tc>
        <w:tc>
          <w:tcPr>
            <w:tcMar>
              <w:left w:w="108" w:type="dxa"/>
              <w:top w:w="0" w:type="dxa"/>
              <w:right w:w="108" w:type="dxa"/>
              <w:bottom w:w="0" w:type="dxa"/>
            </w:tcMar>
            <w:tcW w:w="1593" w:type="dxa"/>
            <w:vAlign w:val="top"/>
            <w:textDirection w:val="lrTb"/>
            <w:noWrap w:val="false"/>
          </w:tcPr>
          <w:p>
            <w:pPr>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r>
            <w:r/>
          </w:p>
        </w:tc>
        <w:tc>
          <w:tcPr>
            <w:tcMar>
              <w:left w:w="108" w:type="dxa"/>
              <w:top w:w="0" w:type="dxa"/>
              <w:right w:w="108" w:type="dxa"/>
              <w:bottom w:w="0" w:type="dxa"/>
            </w:tcMar>
            <w:tcW w:w="1362" w:type="dxa"/>
            <w:vAlign w:val="top"/>
            <w:textDirection w:val="lrTb"/>
            <w:noWrap w:val="false"/>
          </w:tcPr>
          <w:p>
            <w:pPr>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r>
            <w:r/>
          </w:p>
        </w:tc>
      </w:tr>
      <w:tr>
        <w:trPr>
          <w:trHeight w:val="815"/>
        </w:trPr>
        <w:tc>
          <w:tcPr>
            <w:tcMar>
              <w:left w:w="108" w:type="dxa"/>
              <w:top w:w="0" w:type="dxa"/>
              <w:right w:w="108" w:type="dxa"/>
              <w:bottom w:w="0" w:type="dxa"/>
            </w:tcMar>
            <w:tcW w:w="974" w:type="dxa"/>
            <w:vAlign w:val="top"/>
            <w:textDirection w:val="lrTb"/>
            <w:noWrap w:val="false"/>
          </w:tcPr>
          <w:p>
            <w:pPr>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r>
            <w:r/>
          </w:p>
        </w:tc>
        <w:tc>
          <w:tcPr>
            <w:tcMar>
              <w:left w:w="108" w:type="dxa"/>
              <w:top w:w="0" w:type="dxa"/>
              <w:right w:w="108" w:type="dxa"/>
              <w:bottom w:w="0" w:type="dxa"/>
            </w:tcMar>
            <w:tcW w:w="1746" w:type="dxa"/>
            <w:vAlign w:val="top"/>
            <w:textDirection w:val="lrTb"/>
            <w:noWrap w:val="false"/>
          </w:tcPr>
          <w:p>
            <w:pPr>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r>
            <w:r/>
          </w:p>
        </w:tc>
        <w:tc>
          <w:tcPr>
            <w:tcMar>
              <w:left w:w="108" w:type="dxa"/>
              <w:top w:w="0" w:type="dxa"/>
              <w:right w:w="108" w:type="dxa"/>
              <w:bottom w:w="0" w:type="dxa"/>
            </w:tcMar>
            <w:tcW w:w="1749" w:type="dxa"/>
            <w:vAlign w:val="top"/>
            <w:textDirection w:val="lrTb"/>
            <w:noWrap w:val="false"/>
          </w:tcPr>
          <w:p>
            <w:pPr>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r>
            <w:r/>
          </w:p>
        </w:tc>
        <w:tc>
          <w:tcPr>
            <w:tcMar>
              <w:left w:w="108" w:type="dxa"/>
              <w:top w:w="0" w:type="dxa"/>
              <w:right w:w="108" w:type="dxa"/>
              <w:bottom w:w="0" w:type="dxa"/>
            </w:tcMar>
            <w:tcW w:w="2112" w:type="dxa"/>
            <w:vAlign w:val="top"/>
            <w:textDirection w:val="lrTb"/>
            <w:noWrap w:val="false"/>
          </w:tcPr>
          <w:p>
            <w:pPr>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r>
            <w:r/>
          </w:p>
        </w:tc>
        <w:tc>
          <w:tcPr>
            <w:tcMar>
              <w:left w:w="108" w:type="dxa"/>
              <w:top w:w="0" w:type="dxa"/>
              <w:right w:w="108" w:type="dxa"/>
              <w:bottom w:w="0" w:type="dxa"/>
            </w:tcMar>
            <w:tcW w:w="1593" w:type="dxa"/>
            <w:vAlign w:val="top"/>
            <w:textDirection w:val="lrTb"/>
            <w:noWrap w:val="false"/>
          </w:tcPr>
          <w:p>
            <w:pPr>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r>
            <w:r/>
          </w:p>
        </w:tc>
        <w:tc>
          <w:tcPr>
            <w:tcMar>
              <w:left w:w="108" w:type="dxa"/>
              <w:top w:w="0" w:type="dxa"/>
              <w:right w:w="108" w:type="dxa"/>
              <w:bottom w:w="0" w:type="dxa"/>
            </w:tcMar>
            <w:tcW w:w="1362" w:type="dxa"/>
            <w:vAlign w:val="top"/>
            <w:textDirection w:val="lrTb"/>
            <w:noWrap w:val="false"/>
          </w:tcPr>
          <w:p>
            <w:pPr>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r>
            <w:r/>
          </w:p>
        </w:tc>
      </w:tr>
      <w:tr>
        <w:trPr>
          <w:trHeight w:val="826"/>
        </w:trPr>
        <w:tc>
          <w:tcPr>
            <w:tcMar>
              <w:left w:w="108" w:type="dxa"/>
              <w:top w:w="0" w:type="dxa"/>
              <w:right w:w="108" w:type="dxa"/>
              <w:bottom w:w="0" w:type="dxa"/>
            </w:tcMar>
            <w:tcW w:w="974" w:type="dxa"/>
            <w:vAlign w:val="top"/>
            <w:textDirection w:val="lrTb"/>
            <w:noWrap w:val="false"/>
          </w:tcPr>
          <w:p>
            <w:pPr>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r>
            <w:r/>
          </w:p>
        </w:tc>
        <w:tc>
          <w:tcPr>
            <w:tcMar>
              <w:left w:w="108" w:type="dxa"/>
              <w:top w:w="0" w:type="dxa"/>
              <w:right w:w="108" w:type="dxa"/>
              <w:bottom w:w="0" w:type="dxa"/>
            </w:tcMar>
            <w:tcW w:w="1746" w:type="dxa"/>
            <w:vAlign w:val="top"/>
            <w:textDirection w:val="lrTb"/>
            <w:noWrap w:val="false"/>
          </w:tcPr>
          <w:p>
            <w:pPr>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r>
            <w:r/>
          </w:p>
        </w:tc>
        <w:tc>
          <w:tcPr>
            <w:tcMar>
              <w:left w:w="108" w:type="dxa"/>
              <w:top w:w="0" w:type="dxa"/>
              <w:right w:w="108" w:type="dxa"/>
              <w:bottom w:w="0" w:type="dxa"/>
            </w:tcMar>
            <w:tcW w:w="1749" w:type="dxa"/>
            <w:vAlign w:val="top"/>
            <w:textDirection w:val="lrTb"/>
            <w:noWrap w:val="false"/>
          </w:tcPr>
          <w:p>
            <w:pPr>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r>
            <w:r/>
          </w:p>
        </w:tc>
        <w:tc>
          <w:tcPr>
            <w:tcMar>
              <w:left w:w="108" w:type="dxa"/>
              <w:top w:w="0" w:type="dxa"/>
              <w:right w:w="108" w:type="dxa"/>
              <w:bottom w:w="0" w:type="dxa"/>
            </w:tcMar>
            <w:tcW w:w="2112" w:type="dxa"/>
            <w:vAlign w:val="top"/>
            <w:textDirection w:val="lrTb"/>
            <w:noWrap w:val="false"/>
          </w:tcPr>
          <w:p>
            <w:pPr>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r>
            <w:r/>
          </w:p>
        </w:tc>
        <w:tc>
          <w:tcPr>
            <w:tcMar>
              <w:left w:w="108" w:type="dxa"/>
              <w:top w:w="0" w:type="dxa"/>
              <w:right w:w="108" w:type="dxa"/>
              <w:bottom w:w="0" w:type="dxa"/>
            </w:tcMar>
            <w:tcW w:w="1593" w:type="dxa"/>
            <w:vAlign w:val="top"/>
            <w:textDirection w:val="lrTb"/>
            <w:noWrap w:val="false"/>
          </w:tcPr>
          <w:p>
            <w:pPr>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r>
            <w:r/>
          </w:p>
        </w:tc>
        <w:tc>
          <w:tcPr>
            <w:tcMar>
              <w:left w:w="108" w:type="dxa"/>
              <w:top w:w="0" w:type="dxa"/>
              <w:right w:w="108" w:type="dxa"/>
              <w:bottom w:w="0" w:type="dxa"/>
            </w:tcMar>
            <w:tcW w:w="1362" w:type="dxa"/>
            <w:vAlign w:val="top"/>
            <w:textDirection w:val="lrTb"/>
            <w:noWrap w:val="false"/>
          </w:tcPr>
          <w:p>
            <w:pPr>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r>
            <w:r/>
          </w:p>
        </w:tc>
      </w:tr>
    </w:tbl>
    <w:p>
      <w:pPr>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highlight w:val="none"/>
        </w:rPr>
        <w:t xml:space="preserve">注</w:t>
      </w:r>
      <w:r>
        <w:rPr>
          <w:rFonts w:hint="eastAsia" w:ascii="宋体" w:hAnsi="宋体" w:eastAsia="宋体" w:cs="宋体"/>
          <w:color w:val="000000"/>
          <w:sz w:val="24"/>
          <w:highlight w:val="none"/>
        </w:rPr>
        <w:t xml:space="preserve">：投标人的投标文件中的内容与招标文件（含招标文件的澄清或者修改的内容）的要求不同时，逐条列在偏离表中，否则将认为投标人接受招标文件的要求。</w:t>
      </w:r>
      <w:r/>
    </w:p>
    <w:p>
      <w:pPr>
        <w:ind w:firstLine="2850"/>
        <w:spacing w:line="71" w:lineRule="atLeast"/>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r>
      <w:r/>
    </w:p>
    <w:p>
      <w:pPr>
        <w:spacing w:line="71" w:lineRule="atLeast"/>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投标人：</w:t>
      </w:r>
      <w:r>
        <w:rPr>
          <w:rFonts w:hint="eastAsia" w:ascii="宋体" w:hAnsi="宋体" w:eastAsia="宋体" w:cs="宋体"/>
          <w:color w:val="000000"/>
          <w:sz w:val="24"/>
          <w:highlight w:val="none"/>
          <w:u w:val="single"/>
          <w:lang w:val="en-US" w:eastAsia="zh-CN"/>
        </w:rPr>
        <w:t xml:space="preserve">                       </w:t>
      </w:r>
      <w:r>
        <w:rPr>
          <w:rFonts w:hint="eastAsia" w:ascii="宋体" w:hAnsi="宋体" w:eastAsia="宋体" w:cs="宋体"/>
          <w:color w:val="000000"/>
          <w:sz w:val="24"/>
          <w:highlight w:val="none"/>
        </w:rPr>
        <w:t xml:space="preserve">（电子签章）</w:t>
      </w:r>
      <w:r/>
    </w:p>
    <w:p>
      <w:pPr>
        <w:ind w:firstLine="3900"/>
        <w:spacing w:line="85" w:lineRule="atLeast"/>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p>
      <w:pPr>
        <w:spacing w:line="85" w:lineRule="atLeast"/>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日期： 年 月 日</w:t>
      </w:r>
      <w:r/>
    </w:p>
    <w:p>
      <w:pPr>
        <w:jc w:val="center"/>
        <w:spacing w:line="479" w:lineRule="atLeast"/>
        <w:rPr>
          <w:rFonts w:hint="eastAsia" w:ascii="宋体" w:hAnsi="宋体" w:eastAsia="宋体" w:cs="宋体"/>
          <w:b/>
          <w:bCs/>
          <w:color w:val="000000"/>
          <w:sz w:val="3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32"/>
          <w:szCs w:val="32"/>
          <w:highlight w:val="none"/>
        </w:rPr>
      </w:r>
      <w:r/>
    </w:p>
    <w:p>
      <w:pPr>
        <w:jc w:val="center"/>
        <w:spacing w:line="479" w:lineRule="atLeast"/>
        <w:rPr>
          <w:rFonts w:hint="eastAsia" w:ascii="宋体" w:hAnsi="宋体" w:eastAsia="宋体" w:cs="宋体"/>
          <w:b/>
          <w:bCs/>
          <w:color w:val="000000"/>
          <w:sz w:val="32"/>
          <w:szCs w:val="32"/>
          <w:highlight w:val="none"/>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1701" w:equalWidth="1"/>
          <w:docGrid w:linePitch="360"/>
        </w:sectPr>
      </w:pPr>
      <w:r>
        <w:rPr>
          <w:rFonts w:hint="eastAsia" w:ascii="宋体" w:hAnsi="宋体" w:eastAsia="宋体" w:cs="宋体"/>
          <w:b/>
          <w:bCs/>
          <w:color w:val="000000"/>
          <w:sz w:val="32"/>
          <w:szCs w:val="32"/>
          <w:highlight w:val="none"/>
        </w:rPr>
      </w:r>
      <w:r/>
    </w:p>
    <w:p>
      <w:pPr>
        <w:jc w:val="center"/>
        <w:spacing w:line="479" w:lineRule="atLeast"/>
        <w:rPr>
          <w:rFonts w:hint="eastAsia" w:ascii="宋体" w:hAnsi="宋体" w:eastAsia="宋体" w:cs="宋体"/>
          <w:b/>
          <w:bCs/>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8"/>
          <w:szCs w:val="28"/>
          <w:highlight w:val="none"/>
        </w:rPr>
        <w:t xml:space="preserve">五、授权委托书及法定代表人身份证明书格式</w:t>
      </w:r>
      <w:r/>
    </w:p>
    <w:p>
      <w:pPr>
        <w:rPr>
          <w:rFonts w:hint="eastAsia" w:ascii="宋体" w:hAnsi="宋体" w:eastAsia="宋体" w:cs="宋体"/>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highlight w:val="none"/>
        </w:rPr>
        <w:t xml:space="preserve"> </w:t>
      </w:r>
      <w:r/>
    </w:p>
    <w:p>
      <w:pPr>
        <w:jc w:val="center"/>
        <w:spacing w:line="479" w:lineRule="atLeast"/>
        <w:rPr>
          <w:rFonts w:hint="eastAsia" w:ascii="宋体" w:hAnsi="宋体" w:eastAsia="宋体" w:cs="宋体"/>
          <w:b/>
          <w:bCs/>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8"/>
          <w:szCs w:val="28"/>
          <w:highlight w:val="none"/>
        </w:rPr>
        <w:t xml:space="preserve">（一）授权委托书</w:t>
      </w:r>
      <w:r/>
    </w:p>
    <w:p>
      <w:pPr>
        <w:spacing w:line="479" w:lineRule="atLeast"/>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委托人：</w:t>
      </w:r>
      <w:r/>
    </w:p>
    <w:p>
      <w:pPr>
        <w:spacing w:line="479" w:lineRule="atLeast"/>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地址：</w:t>
      </w:r>
      <w:r/>
    </w:p>
    <w:p>
      <w:pPr>
        <w:spacing w:line="479" w:lineRule="atLeast"/>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法定代表人（负责人）：               职务：</w:t>
      </w:r>
      <w:r/>
    </w:p>
    <w:p>
      <w:pPr>
        <w:spacing w:line="479" w:lineRule="atLeast"/>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统一社会信用代码：</w:t>
      </w:r>
      <w:r/>
    </w:p>
    <w:p>
      <w:pPr>
        <w:spacing w:line="479" w:lineRule="atLeast"/>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受托人：        性别：</w:t>
      </w:r>
      <w:r/>
    </w:p>
    <w:p>
      <w:pPr>
        <w:spacing w:line="479" w:lineRule="atLeast"/>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年龄：  岁      民族：  族</w:t>
      </w:r>
      <w:r/>
    </w:p>
    <w:p>
      <w:pPr>
        <w:spacing w:line="479" w:lineRule="atLeast"/>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职务：</w:t>
      </w:r>
      <w:r/>
    </w:p>
    <w:p>
      <w:pPr>
        <w:spacing w:line="479" w:lineRule="atLeast"/>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身份证号：</w:t>
      </w:r>
      <w:r/>
    </w:p>
    <w:p>
      <w:pPr>
        <w:ind w:firstLine="600"/>
        <w:spacing w:line="479" w:lineRule="atLeast"/>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兹委托（</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）全权代表我企业（公司）参与（</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）项目（项目编号：</w:t>
      </w:r>
      <w:r>
        <w:rPr>
          <w:rFonts w:hint="eastAsia" w:ascii="宋体" w:hAnsi="宋体" w:cs="宋体"/>
          <w:color w:val="000000"/>
          <w:sz w:val="24"/>
          <w:highlight w:val="none"/>
          <w:lang w:eastAsia="zh-CN"/>
        </w:rPr>
        <w:t xml:space="preserve">JSZC-320322-SHGC-G2026-0003</w:t>
      </w:r>
      <w:r>
        <w:rPr>
          <w:rFonts w:hint="eastAsia" w:ascii="宋体" w:hAnsi="宋体" w:eastAsia="宋体" w:cs="宋体"/>
          <w:color w:val="000000"/>
          <w:sz w:val="24"/>
          <w:highlight w:val="none"/>
        </w:rPr>
        <w:t xml:space="preserve">）的招、投标活动及签订合同。（</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）以我企业（公司）名义所为的法律行为及签署的文件，我企业（公司）均予以认可。有关法律责任均由我企业（公司）承担。（</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）无转委托权。</w:t>
      </w:r>
      <w:r/>
    </w:p>
    <w:p>
      <w:pPr>
        <w:ind w:firstLine="600"/>
        <w:spacing w:line="479" w:lineRule="atLeast"/>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委托期限自</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年</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月</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日起至</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年</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月</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日止。</w:t>
      </w:r>
      <w:r/>
    </w:p>
    <w:p>
      <w:pPr>
        <w:ind w:firstLine="630"/>
        <w:spacing w:line="479" w:lineRule="atLeast"/>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特此授权委托。</w:t>
      </w:r>
      <w:r/>
    </w:p>
    <w:p>
      <w:pPr>
        <w:ind w:firstLine="600"/>
        <w:spacing w:line="479" w:lineRule="atLeast"/>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r>
      <w:r/>
    </w:p>
    <w:p>
      <w:pPr>
        <w:ind w:firstLine="600"/>
        <w:spacing w:line="479" w:lineRule="atLeast"/>
        <w:rPr>
          <w:rFonts w:hint="eastAsia" w:ascii="宋体" w:hAnsi="宋体" w:eastAsia="宋体" w:cs="宋体"/>
          <w:b/>
          <w:bCs/>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highlight w:val="none"/>
        </w:rPr>
        <w:t xml:space="preserve">委托人（电子签章）：</w:t>
      </w:r>
      <w:r/>
    </w:p>
    <w:p>
      <w:pPr>
        <w:ind w:firstLine="600"/>
        <w:spacing w:line="479" w:lineRule="atLeast"/>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r>
      <w:r/>
    </w:p>
    <w:p>
      <w:pPr>
        <w:ind w:firstLine="600"/>
        <w:spacing w:line="479" w:lineRule="atLeast"/>
        <w:rPr>
          <w:rFonts w:hint="eastAsia" w:ascii="宋体" w:hAnsi="宋体" w:eastAsia="宋体" w:cs="宋体"/>
          <w:b/>
          <w:bCs/>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highlight w:val="none"/>
        </w:rPr>
        <w:t xml:space="preserve">法定代表人（负责人）（签字或盖章）： </w:t>
      </w:r>
      <w:r/>
    </w:p>
    <w:p>
      <w:pPr>
        <w:ind w:firstLine="600"/>
        <w:spacing w:line="479" w:lineRule="atLeast"/>
        <w:rPr>
          <w:rFonts w:hint="eastAsia" w:ascii="宋体" w:hAnsi="宋体" w:eastAsia="宋体" w:cs="宋体"/>
          <w:b/>
          <w:bCs/>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highlight w:val="none"/>
        </w:rPr>
      </w:r>
      <w:r/>
    </w:p>
    <w:p>
      <w:pPr>
        <w:ind w:firstLine="600"/>
        <w:spacing w:line="479" w:lineRule="atLeast"/>
        <w:rPr>
          <w:rFonts w:hint="eastAsia" w:ascii="宋体" w:hAnsi="宋体" w:eastAsia="宋体" w:cs="宋体"/>
          <w:b/>
          <w:bCs/>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highlight w:val="none"/>
        </w:rPr>
        <w:t xml:space="preserve">受托人（签字或盖章）：</w:t>
      </w:r>
      <w:r/>
    </w:p>
    <w:p>
      <w:pPr>
        <w:ind w:firstLine="600"/>
        <w:spacing w:line="479" w:lineRule="atLeast"/>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r>
      <w:r/>
    </w:p>
    <w:p>
      <w:pPr>
        <w:pStyle w:val="770"/>
        <w:ind w:left="0" w:firstLine="602"/>
        <w:rPr>
          <w:rFonts w:hint="eastAsia" w:ascii="宋体" w:hAnsi="宋体" w:eastAsia="宋体" w:cs="宋体"/>
          <w:color w:val="000000"/>
          <w:sz w:val="24"/>
          <w:highlight w:val="none"/>
        </w:rPr>
      </w:pPr>
      <w:r>
        <w:rPr>
          <w:rFonts w:hint="eastAsia" w:ascii="宋体" w:hAnsi="宋体" w:eastAsia="宋体" w:cs="宋体"/>
          <w:b/>
          <w:bCs/>
          <w:color w:val="000000"/>
          <w:sz w:val="24"/>
          <w:highlight w:val="none"/>
        </w:rPr>
        <w:t xml:space="preserve">受托人联系方式：            邮箱：</w:t>
      </w:r>
      <w:r/>
    </w:p>
    <w:p>
      <w:pPr>
        <w:ind w:right="600" w:firstLine="6150"/>
        <w:spacing w:line="479" w:lineRule="atLeast"/>
        <w:rPr>
          <w:rFonts w:hint="eastAsia" w:ascii="宋体" w:hAnsi="宋体" w:eastAsia="宋体" w:cs="宋体"/>
          <w:b/>
          <w:bCs/>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highlight w:val="none"/>
        </w:rPr>
        <w:t xml:space="preserve">年  月 日</w:t>
      </w:r>
      <w:r>
        <w:rPr>
          <w:rFonts w:hint="eastAsia" w:ascii="宋体" w:hAnsi="宋体" w:eastAsia="宋体" w:cs="宋体"/>
          <w:color w:val="000000"/>
          <w:sz w:val="24"/>
          <w:highlight w:val="none"/>
        </w:rPr>
        <w:t xml:space="preserve"> </w:t>
      </w:r>
      <w:r/>
    </w:p>
    <w:p>
      <w:pPr>
        <w:spacing w:line="479" w:lineRule="atLeast"/>
        <w:rPr>
          <w:rFonts w:hint="eastAsia" w:ascii="宋体" w:hAnsi="宋体" w:eastAsia="宋体" w:cs="宋体"/>
          <w:b/>
          <w:bCs/>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highlight w:val="none"/>
        </w:rPr>
        <w:t xml:space="preserve">（受托人身份证扫描件附后）</w:t>
      </w:r>
      <w:r/>
    </w:p>
    <w:p>
      <w:pPr>
        <w:ind w:firstLine="4470"/>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highlight w:val="none"/>
        </w:rPr>
        <w:t xml:space="preserve"> </w:t>
      </w:r>
      <w:r/>
    </w:p>
    <w:p>
      <w:pPr>
        <w:ind w:firstLine="600"/>
        <w:jc w:val="center"/>
        <w:spacing w:before="100" w:after="100" w:line="479" w:lineRule="atLeast"/>
        <w:rPr>
          <w:rFonts w:hint="eastAsia" w:ascii="宋体" w:hAnsi="宋体" w:eastAsia="宋体" w:cs="宋体"/>
          <w:b/>
          <w:bCs/>
          <w:color w:val="000000"/>
          <w:sz w:val="32"/>
          <w:szCs w:val="32"/>
          <w:highlight w:val="none"/>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1701" w:equalWidth="1"/>
          <w:docGrid w:linePitch="360"/>
        </w:sectPr>
      </w:pPr>
      <w:r>
        <w:rPr>
          <w:rFonts w:hint="eastAsia" w:ascii="宋体" w:hAnsi="宋体" w:eastAsia="宋体" w:cs="宋体"/>
          <w:b/>
          <w:bCs/>
          <w:color w:val="000000"/>
          <w:sz w:val="32"/>
          <w:szCs w:val="32"/>
          <w:highlight w:val="none"/>
        </w:rPr>
      </w:r>
      <w:r/>
    </w:p>
    <w:p>
      <w:pPr>
        <w:jc w:val="center"/>
        <w:spacing w:before="100" w:after="100" w:line="479" w:lineRule="atLeast"/>
        <w:rPr>
          <w:rFonts w:hint="eastAsia" w:ascii="宋体" w:hAnsi="宋体" w:eastAsia="宋体" w:cs="宋体"/>
          <w:b/>
          <w:bCs/>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8"/>
          <w:szCs w:val="28"/>
          <w:highlight w:val="none"/>
        </w:rPr>
        <w:t xml:space="preserve">（二）法定代表人身份证明书</w:t>
      </w:r>
      <w:r/>
    </w:p>
    <w:p>
      <w:pPr>
        <w:pStyle w:val="771"/>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756"/>
        <w:ind w:firstLine="480"/>
        <w:spacing w:line="500" w:lineRule="exact"/>
        <w:tabs>
          <w:tab w:val="left" w:pos="720" w:leader="none"/>
          <w:tab w:val="left" w:pos="90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756"/>
        <w:spacing w:line="360" w:lineRule="auto"/>
        <w:tabs>
          <w:tab w:val="left" w:pos="720" w:leader="none"/>
          <w:tab w:val="left" w:pos="90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单位名称：</w:t>
      </w:r>
      <w:r/>
    </w:p>
    <w:p>
      <w:pPr>
        <w:pStyle w:val="756"/>
        <w:spacing w:line="360" w:lineRule="auto"/>
        <w:tabs>
          <w:tab w:val="left" w:pos="720" w:leader="none"/>
          <w:tab w:val="left" w:pos="90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地址：</w:t>
      </w:r>
      <w:r/>
    </w:p>
    <w:p>
      <w:pPr>
        <w:pStyle w:val="756"/>
        <w:spacing w:line="360" w:lineRule="auto"/>
        <w:tabs>
          <w:tab w:val="left" w:pos="720" w:leader="none"/>
          <w:tab w:val="left" w:pos="90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姓名：            性别：    </w:t>
      </w:r>
      <w:r/>
    </w:p>
    <w:p>
      <w:pPr>
        <w:pStyle w:val="756"/>
        <w:spacing w:line="360" w:lineRule="auto"/>
        <w:tabs>
          <w:tab w:val="left" w:pos="720" w:leader="none"/>
          <w:tab w:val="left" w:pos="90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身份证号：        职务：</w:t>
      </w:r>
      <w:r/>
    </w:p>
    <w:p>
      <w:pPr>
        <w:pStyle w:val="756"/>
        <w:ind w:firstLine="960"/>
        <w:spacing w:line="360" w:lineRule="auto"/>
        <w:rPr>
          <w:rFonts w:hint="eastAsia" w:ascii="宋体" w:hAnsi="宋体" w:eastAsia="宋体" w:cs="宋体"/>
          <w:color w:val="000000"/>
          <w:sz w:val="24"/>
          <w:highlight w:val="none"/>
          <w:u w:val="single"/>
        </w:rPr>
      </w:pPr>
      <w:r>
        <w:rPr>
          <w:rFonts w:hint="eastAsia" w:ascii="宋体" w:hAnsi="宋体" w:eastAsia="宋体" w:cs="宋体"/>
          <w:color w:val="000000"/>
          <w:sz w:val="24"/>
          <w:highlight w:val="none"/>
          <w:u w:val="single"/>
        </w:rPr>
      </w:r>
      <w:r/>
    </w:p>
    <w:p>
      <w:pPr>
        <w:pStyle w:val="756"/>
        <w:ind w:firstLine="60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系我企业（公司）的法定代表人。</w:t>
      </w:r>
      <w:r/>
    </w:p>
    <w:p>
      <w:pPr>
        <w:pStyle w:val="756"/>
        <w:spacing w:line="360" w:lineRule="auto"/>
        <w:tabs>
          <w:tab w:val="left" w:pos="720" w:leader="none"/>
          <w:tab w:val="left" w:pos="90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756"/>
        <w:ind w:firstLine="480"/>
        <w:spacing w:line="360" w:lineRule="auto"/>
        <w:tabs>
          <w:tab w:val="left" w:pos="720" w:leader="none"/>
          <w:tab w:val="left" w:pos="90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特此证明。</w:t>
      </w:r>
      <w:r/>
    </w:p>
    <w:p>
      <w:pPr>
        <w:pStyle w:val="756"/>
        <w:ind w:firstLine="480"/>
        <w:spacing w:line="360" w:lineRule="auto"/>
        <w:tabs>
          <w:tab w:val="left" w:pos="720" w:leader="none"/>
          <w:tab w:val="left" w:pos="90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spacing w:line="71" w:lineRule="atLeast"/>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r>
      <w:r/>
    </w:p>
    <w:p>
      <w:pPr>
        <w:spacing w:line="71" w:lineRule="atLeast"/>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投标人：</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（电子签章）</w:t>
      </w:r>
      <w:r/>
    </w:p>
    <w:p>
      <w:pPr>
        <w:spacing w:line="85" w:lineRule="atLeast"/>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p>
      <w:pPr>
        <w:spacing w:line="85" w:lineRule="atLeast"/>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法定代表人（签字或盖章）：</w:t>
      </w:r>
      <w:r/>
    </w:p>
    <w:p>
      <w:pPr>
        <w:spacing w:line="85" w:lineRule="atLeast"/>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r>
      <w:r/>
    </w:p>
    <w:p>
      <w:pPr>
        <w:spacing w:line="85" w:lineRule="atLeast"/>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日期： 年 月 日</w:t>
      </w:r>
      <w:r/>
    </w:p>
    <w:p>
      <w:pPr>
        <w:pStyle w:val="756"/>
        <w:jc w:val="right"/>
        <w:spacing w:line="360" w:lineRule="auto"/>
        <w:tabs>
          <w:tab w:val="left" w:pos="720" w:leader="none"/>
          <w:tab w:val="left" w:pos="90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756"/>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756"/>
        <w:spacing w:line="360" w:lineRule="auto"/>
        <w:tabs>
          <w:tab w:val="left" w:pos="720" w:leader="none"/>
          <w:tab w:val="left" w:pos="900" w:leader="none"/>
        </w:tabs>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t xml:space="preserve">（法定代表人身份证原件扫描件附后）</w:t>
      </w:r>
      <w:r/>
    </w:p>
    <w:p>
      <w:pPr>
        <w:rPr>
          <w:rFonts w:hint="eastAsia" w:ascii="宋体" w:hAnsi="宋体" w:eastAsia="宋体" w:cs="宋体"/>
          <w:b/>
          <w:bCs/>
          <w:color w:val="000000"/>
          <w:sz w:val="24"/>
          <w:highlight w:val="none"/>
        </w:rPr>
        <w:sectPr>
          <w:footnotePr/>
          <w:endnotePr/>
          <w:type w:val="nextPage"/>
          <w:pgSz w:w="11906" w:h="16838" w:orient="portrait"/>
          <w:pgMar w:top="1440" w:right="1803" w:bottom="1440" w:left="1803" w:header="851" w:footer="992" w:gutter="0"/>
          <w:cols w:num="1" w:sep="0" w:space="1701" w:equalWidth="1"/>
          <w:docGrid w:linePitch="360"/>
        </w:sectPr>
      </w:pPr>
      <w:r>
        <w:rPr>
          <w:rFonts w:hint="eastAsia" w:ascii="宋体" w:hAnsi="宋体" w:eastAsia="宋体" w:cs="宋体"/>
          <w:b/>
          <w:bCs/>
          <w:color w:val="000000"/>
          <w:sz w:val="24"/>
          <w:highlight w:val="none"/>
        </w:rPr>
      </w:r>
      <w:r/>
    </w:p>
    <w:p>
      <w:pPr>
        <w:ind w:firstLine="600"/>
        <w:jc w:val="center"/>
        <w:spacing w:before="100" w:after="100" w:line="479" w:lineRule="atLeast"/>
        <w:rPr>
          <w:rFonts w:hint="eastAsia" w:ascii="宋体" w:hAnsi="宋体" w:eastAsia="宋体" w:cs="宋体"/>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8"/>
          <w:szCs w:val="28"/>
          <w:highlight w:val="none"/>
        </w:rPr>
        <w:t xml:space="preserve">六、中小企业声明函格式</w:t>
      </w:r>
      <w:r/>
    </w:p>
    <w:p>
      <w:pPr>
        <w:spacing w:before="100" w:after="100" w:line="360" w:lineRule="auto"/>
        <w:rPr>
          <w:rFonts w:hint="eastAsia" w:ascii="宋体" w:hAnsi="宋体" w:eastAsia="宋体" w:cs="宋体"/>
          <w:color w:val="000000"/>
          <w:sz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项目编号：</w:t>
      </w:r>
      <w:r>
        <w:rPr>
          <w:rFonts w:hint="eastAsia" w:ascii="宋体" w:hAnsi="宋体" w:cs="宋体"/>
          <w:color w:val="000000"/>
          <w:sz w:val="24"/>
          <w:highlight w:val="none"/>
          <w:lang w:eastAsia="zh-CN"/>
        </w:rPr>
        <w:t xml:space="preserve">JSZC-320322-SHGC-G2026-0003</w:t>
      </w:r>
      <w:r/>
    </w:p>
    <w:p>
      <w:pPr>
        <w:spacing w:before="100" w:after="100" w:line="360" w:lineRule="auto"/>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项目名称：</w:t>
      </w:r>
      <w:r>
        <w:rPr>
          <w:rFonts w:hint="eastAsia" w:ascii="宋体" w:hAnsi="宋体" w:cs="宋体"/>
          <w:color w:val="000000"/>
          <w:sz w:val="24"/>
          <w:highlight w:val="none"/>
          <w:lang w:eastAsia="zh-CN"/>
        </w:rPr>
        <w:t xml:space="preserve">江苏省沛县中学校园文化智能化采购</w:t>
      </w:r>
      <w:r>
        <w:rPr>
          <w:rFonts w:hint="eastAsia" w:ascii="宋体" w:hAnsi="宋体" w:eastAsia="宋体" w:cs="宋体"/>
          <w:color w:val="000000"/>
          <w:sz w:val="24"/>
          <w:highlight w:val="none"/>
          <w:lang w:eastAsia="zh-CN"/>
        </w:rPr>
        <w:t xml:space="preserve">项目</w:t>
      </w:r>
      <w:r/>
    </w:p>
    <w:p>
      <w:pPr>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本公司郑重声明，根据《政府采购促进中小企业发展管理办法》（财库〔2020〕46号）的规定，本公司参加（</w:t>
      </w:r>
      <w:r>
        <w:rPr>
          <w:rFonts w:hint="eastAsia" w:ascii="宋体" w:hAnsi="宋体" w:eastAsia="宋体" w:cs="宋体"/>
          <w:color w:val="000000"/>
          <w:sz w:val="24"/>
          <w:highlight w:val="none"/>
          <w:lang w:eastAsia="zh-CN"/>
        </w:rPr>
        <w:t xml:space="preserve">江苏省沛县中学</w:t>
      </w:r>
      <w:r>
        <w:rPr>
          <w:rFonts w:hint="eastAsia" w:ascii="宋体" w:hAnsi="宋体" w:eastAsia="宋体" w:cs="宋体"/>
          <w:color w:val="000000"/>
          <w:sz w:val="24"/>
          <w:highlight w:val="none"/>
        </w:rPr>
        <w:t xml:space="preserve">）的（</w:t>
      </w:r>
      <w:r>
        <w:rPr>
          <w:rFonts w:hint="eastAsia" w:ascii="宋体" w:hAnsi="宋体" w:cs="宋体"/>
          <w:color w:val="000000"/>
          <w:sz w:val="24"/>
          <w:highlight w:val="none"/>
          <w:lang w:eastAsia="zh-CN"/>
        </w:rPr>
        <w:t xml:space="preserve">江苏省沛县中学校园文化智能化采购</w:t>
      </w:r>
      <w:r>
        <w:rPr>
          <w:rFonts w:hint="eastAsia" w:ascii="宋体" w:hAnsi="宋体" w:eastAsia="宋体" w:cs="宋体"/>
          <w:color w:val="000000"/>
          <w:sz w:val="24"/>
          <w:highlight w:val="none"/>
          <w:lang w:eastAsia="zh-CN"/>
        </w:rPr>
        <w:t xml:space="preserve">项目</w:t>
      </w:r>
      <w:r>
        <w:rPr>
          <w:rFonts w:hint="eastAsia" w:ascii="宋体" w:hAnsi="宋体" w:eastAsia="宋体" w:cs="宋体"/>
          <w:color w:val="000000"/>
          <w:sz w:val="24"/>
          <w:highlight w:val="none"/>
        </w:rPr>
        <w:t xml:space="preserve">）采购活动，提供的货物全部由符合政策要求的中小企业制造，相关企业（含联合体中的中小企业、签订分包意向协议的中小企业）的具体情况如下：</w:t>
      </w:r>
      <w:r/>
    </w:p>
    <w:p>
      <w:pPr>
        <w:pStyle w:val="743"/>
        <w:ind w:left="0" w:firstLine="560"/>
        <w:spacing w:line="360" w:lineRule="auto"/>
        <w:rPr>
          <w:rFonts w:hint="eastAsia" w:ascii="宋体" w:hAnsi="宋体" w:eastAsia="宋体" w:cs="宋体"/>
          <w:color w:val="000000"/>
          <w:sz w:val="24"/>
        </w:rPr>
      </w:pPr>
      <w:r>
        <w:rPr>
          <w:rFonts w:hint="eastAsia" w:ascii="宋体" w:hAnsi="宋体" w:eastAsia="宋体" w:cs="宋体"/>
          <w:color w:val="000000"/>
          <w:sz w:val="24"/>
          <w:lang w:val="en-US" w:eastAsia="zh-CN"/>
        </w:rPr>
        <w:t xml:space="preserve">1</w:t>
      </w:r>
      <w:r>
        <w:rPr>
          <w:rFonts w:hint="eastAsia" w:ascii="宋体" w:hAnsi="宋体" w:eastAsia="宋体" w:cs="宋体"/>
          <w:color w:val="000000"/>
          <w:sz w:val="24"/>
        </w:rPr>
        <w:t xml:space="preserve">.（</w:t>
      </w:r>
      <w:r>
        <w:rPr>
          <w:rFonts w:hint="eastAsia" w:ascii="宋体" w:hAnsi="宋体" w:eastAsia="宋体" w:cs="宋体"/>
          <w:color w:val="000000"/>
          <w:sz w:val="24"/>
          <w:u w:val="single"/>
        </w:rPr>
        <w:t xml:space="preserve">标的名称</w:t>
      </w:r>
      <w:r>
        <w:rPr>
          <w:rFonts w:hint="eastAsia" w:ascii="宋体" w:hAnsi="宋体" w:eastAsia="宋体" w:cs="宋体"/>
          <w:color w:val="000000"/>
          <w:sz w:val="24"/>
        </w:rPr>
        <w:t xml:space="preserve">），属于（</w:t>
      </w:r>
      <w:r>
        <w:rPr>
          <w:rFonts w:hint="eastAsia" w:ascii="宋体" w:hAnsi="宋体" w:eastAsia="宋体" w:cs="宋体"/>
          <w:color w:val="000000"/>
          <w:sz w:val="24"/>
          <w:u w:val="single"/>
        </w:rPr>
        <w:t xml:space="preserve">工业</w:t>
      </w:r>
      <w:r>
        <w:rPr>
          <w:rFonts w:hint="eastAsia" w:ascii="宋体" w:hAnsi="宋体" w:eastAsia="宋体" w:cs="宋体"/>
          <w:color w:val="000000"/>
          <w:sz w:val="24"/>
        </w:rPr>
        <w:t xml:space="preserve">）行业；制造商为（</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）（企业名称），从业人员（</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）人，营业收入为（</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万元），资产总额为（</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万元），属于（</w:t>
      </w:r>
      <w:r>
        <w:rPr>
          <w:rFonts w:hint="eastAsia" w:ascii="宋体" w:hAnsi="宋体" w:eastAsia="宋体" w:cs="宋体"/>
          <w:color w:val="000000"/>
          <w:sz w:val="24"/>
          <w:lang w:eastAsia="zh-CN"/>
        </w:rPr>
        <w:t xml:space="preserve">□</w:t>
      </w:r>
      <w:r>
        <w:rPr>
          <w:rFonts w:hint="eastAsia" w:ascii="宋体" w:hAnsi="宋体" w:eastAsia="宋体" w:cs="宋体"/>
          <w:color w:val="000000"/>
          <w:sz w:val="24"/>
        </w:rPr>
        <w:t xml:space="preserve">中型企业、□小型企业、□微型企业，请勾选！！！）；</w:t>
      </w:r>
      <w:r/>
    </w:p>
    <w:p>
      <w:pPr>
        <w:pStyle w:val="743"/>
        <w:ind w:left="0" w:firstLine="56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2.（</w:t>
      </w:r>
      <w:r>
        <w:rPr>
          <w:rFonts w:hint="eastAsia" w:ascii="宋体" w:hAnsi="宋体" w:eastAsia="宋体" w:cs="宋体"/>
          <w:color w:val="000000"/>
          <w:sz w:val="24"/>
          <w:u w:val="single"/>
        </w:rPr>
        <w:t xml:space="preserve">标的名称</w:t>
      </w:r>
      <w:r>
        <w:rPr>
          <w:rFonts w:hint="eastAsia" w:ascii="宋体" w:hAnsi="宋体" w:eastAsia="宋体" w:cs="宋体"/>
          <w:color w:val="000000"/>
          <w:sz w:val="24"/>
        </w:rPr>
        <w:t xml:space="preserve">），属于（</w:t>
      </w:r>
      <w:r>
        <w:rPr>
          <w:rFonts w:hint="eastAsia" w:ascii="宋体" w:hAnsi="宋体" w:eastAsia="宋体" w:cs="宋体"/>
          <w:color w:val="000000"/>
          <w:sz w:val="24"/>
          <w:u w:val="single"/>
        </w:rPr>
        <w:t xml:space="preserve">工业</w:t>
      </w:r>
      <w:r>
        <w:rPr>
          <w:rFonts w:hint="eastAsia" w:ascii="宋体" w:hAnsi="宋体" w:eastAsia="宋体" w:cs="宋体"/>
          <w:color w:val="000000"/>
          <w:sz w:val="24"/>
        </w:rPr>
        <w:t xml:space="preserve">）行业；制造商为（</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）（企业名称），从业人员（</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）人，营业收入为（</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万元），资产总额为（</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万元），属于（</w:t>
      </w:r>
      <w:r>
        <w:rPr>
          <w:rFonts w:hint="eastAsia" w:ascii="宋体" w:hAnsi="宋体" w:eastAsia="宋体" w:cs="宋体"/>
          <w:color w:val="000000"/>
          <w:sz w:val="24"/>
          <w:lang w:eastAsia="zh-CN"/>
        </w:rPr>
        <w:t xml:space="preserve">□</w:t>
      </w:r>
      <w:r>
        <w:rPr>
          <w:rFonts w:hint="eastAsia" w:ascii="宋体" w:hAnsi="宋体" w:eastAsia="宋体" w:cs="宋体"/>
          <w:color w:val="000000"/>
          <w:sz w:val="24"/>
        </w:rPr>
        <w:t xml:space="preserve">中型企业、□小型企业、□微型企业，请勾选！！！）；</w:t>
      </w:r>
      <w:r/>
    </w:p>
    <w:p>
      <w:pPr>
        <w:pStyle w:val="743"/>
        <w:ind w:left="0" w:firstLine="56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w:t>
      </w:r>
      <w:r/>
    </w:p>
    <w:p>
      <w:pPr>
        <w:pStyle w:val="743"/>
        <w:ind w:left="0" w:firstLine="56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以上企业，不属于大企业的分支机构，不存在控股股东为大企业的情形，也不存在与大企业的负责人为同一人的情形。</w:t>
      </w:r>
      <w:r/>
    </w:p>
    <w:p>
      <w:pPr>
        <w:ind w:firstLine="480"/>
        <w:spacing w:line="360" w:lineRule="auto"/>
        <w:rPr>
          <w:rFonts w:hint="eastAsia" w:ascii="宋体" w:hAnsi="宋体" w:eastAsia="宋体" w:cs="宋体"/>
          <w:b/>
          <w:bCs/>
          <w:color w:val="000000"/>
          <w:sz w:val="24"/>
        </w:rPr>
      </w:pPr>
      <w:r>
        <w:rPr>
          <w:rFonts w:hint="eastAsia" w:ascii="宋体" w:hAnsi="宋体" w:eastAsia="宋体" w:cs="宋体"/>
          <w:color w:val="000000"/>
          <w:sz w:val="24"/>
        </w:rPr>
        <w:t xml:space="preserve">本企业对上述声明内容的真实性负责。如有虚假，将依法承担相应责任。</w:t>
      </w:r>
      <w:r/>
    </w:p>
    <w:p>
      <w:pPr>
        <w:pStyle w:val="743"/>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743"/>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企业名称（电子签章）：</w:t>
      </w:r>
      <w:r/>
    </w:p>
    <w:p>
      <w:pPr>
        <w:pStyle w:val="743"/>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日期：  年  月  日</w:t>
      </w:r>
      <w:r/>
    </w:p>
    <w:p>
      <w:pPr>
        <w:spacing w:line="48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备注：</w:t>
      </w:r>
      <w:r>
        <w:rPr>
          <w:rFonts w:hint="eastAsia" w:ascii="宋体" w:hAnsi="宋体" w:eastAsia="宋体" w:cs="宋体"/>
          <w:b/>
          <w:bCs w:val="0"/>
          <w:color w:val="000000"/>
          <w:sz w:val="24"/>
          <w:highlight w:val="none"/>
        </w:rPr>
        <w:t xml:space="preserve">本项目采购的货物属于“工业”。</w:t>
      </w:r>
      <w:r/>
    </w:p>
    <w:p>
      <w:pPr>
        <w:pStyle w:val="743"/>
        <w:ind w:left="0"/>
        <w:jc w:val="left"/>
        <w:spacing w:after="0" w:line="360" w:lineRule="auto"/>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说明：</w:t>
      </w:r>
      <w:r/>
    </w:p>
    <w:p>
      <w:pPr>
        <w:pStyle w:val="743"/>
        <w:ind w:left="0"/>
        <w:spacing w:after="0"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1、中小微企业的划分具体以《政府采购促进中小企业发展管理办法》（财库﹝2020﹞46号）和《工业和信息化部、国家统计局、国家发展和改革委员会、财政部关于印发中小企业划型标准规定的通知》（工信部联企业〔2011〕300号）的规定为准。</w:t>
      </w:r>
      <w:r/>
    </w:p>
    <w:p>
      <w:pPr>
        <w:pStyle w:val="743"/>
        <w:ind w:left="0"/>
        <w:spacing w:after="0"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2、从业人员、营业收入、资产总额填报供应商上一年度数据，无上一年度数据的新成立企业可不填报。</w:t>
      </w:r>
      <w:r/>
    </w:p>
    <w:p>
      <w:pPr>
        <w:pStyle w:val="743"/>
        <w:ind w:left="0"/>
        <w:spacing w:after="0"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3、中标、成交供应商为小型、微型企业的，采购人或者其委托的采购代理机构有权随中标、成交结果同时公告其《中小企业声明函》，接受社会监督。</w:t>
      </w:r>
      <w:r/>
    </w:p>
    <w:p>
      <w:pPr>
        <w:pStyle w:val="743"/>
        <w:ind w:left="0"/>
        <w:spacing w:after="0"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4、执行江苏省财政厅关于进一步加大政府采购支持中小企业力度的通知（苏财购〔2022〕45号）的规定。</w:t>
      </w:r>
      <w:r/>
    </w:p>
    <w:p>
      <w:pPr>
        <w:pStyle w:val="743"/>
        <w:ind w:left="0"/>
        <w:spacing w:after="0"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5、供应商提供的《中小企业声明函》与事实不符的，依照《中华人民共和国政府采购法》第七十七条第一款的规定追究法律责任。</w:t>
      </w:r>
      <w:r/>
    </w:p>
    <w:p>
      <w:pPr>
        <w:spacing w:line="480" w:lineRule="exact"/>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6、《中小企业声明函》查询渠道用微信搜索“中小企业规模类型自测小程序”。</w:t>
      </w:r>
      <w:r/>
    </w:p>
    <w:p>
      <w:pPr>
        <w:ind w:firstLine="600"/>
        <w:jc w:val="center"/>
        <w:spacing w:line="479" w:lineRule="atLeast"/>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mc:AlternateContent>
          <mc:Choice Requires="wpg">
            <w:drawing>
              <wp:inline xmlns:wp="http://schemas.openxmlformats.org/drawingml/2006/wordprocessingDrawing" distT="0" distB="0" distL="0" distR="0">
                <wp:extent cx="2814955" cy="6255385"/>
                <wp:effectExtent l="0" t="0" r="4445" b="12065"/>
                <wp:docPr id="4" name="图片 4"/>
                <wp:cNvGraphicFramePr/>
                <a:graphic xmlns:a="http://schemas.openxmlformats.org/drawingml/2006/main">
                  <a:graphicData uri="http://schemas.openxmlformats.org/drawingml/2006/picture">
                    <pic:pic xmlns:pic="http://schemas.openxmlformats.org/drawingml/2006/picture">
                      <pic:nvPicPr>
                        <pic:cNvPr id="4" name="图片 4"/>
                        <pic:cNvPicPr/>
                        <pic:nvPr/>
                      </pic:nvPicPr>
                      <pic:blipFill>
                        <a:blip r:embed="rId16"/>
                        <a:srcRect l="0" t="4030" r="0" b="0"/>
                        <a:stretch/>
                      </pic:blipFill>
                      <pic:spPr bwMode="auto">
                        <a:xfrm>
                          <a:off x="0" y="0"/>
                          <a:ext cx="2815133" cy="625585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221.6pt;height:492.5pt;mso-wrap-distance-left:0.0pt;mso-wrap-distance-top:0.0pt;mso-wrap-distance-right:0.0pt;mso-wrap-distance-bottom:0.0pt;" stroked="f">
                <v:path textboxrect="0,0,0,0"/>
                <v:imagedata r:id="rId16" o:title=""/>
              </v:shape>
            </w:pict>
          </mc:Fallback>
        </mc:AlternateContent>
      </w:r>
      <w:r>
        <w:rPr>
          <w:rFonts w:hint="eastAsia" w:ascii="宋体" w:hAnsi="宋体" w:eastAsia="宋体" w:cs="宋体"/>
          <w:color w:val="000000"/>
          <w:highlight w:val="none"/>
        </w:rPr>
        <w:br w:type="page" w:clear="all"/>
      </w:r>
      <w:r/>
    </w:p>
    <w:p>
      <w:pPr>
        <w:ind w:firstLine="600"/>
        <w:jc w:val="center"/>
        <w:spacing w:line="479" w:lineRule="atLeast"/>
        <w:rPr>
          <w:rFonts w:hint="eastAsia" w:ascii="宋体" w:hAnsi="宋体" w:eastAsia="宋体" w:cs="宋体"/>
          <w:b/>
          <w:bCs/>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8"/>
          <w:szCs w:val="28"/>
          <w:highlight w:val="none"/>
        </w:rPr>
        <w:t xml:space="preserve">七、残疾人福利性单位声明函</w:t>
      </w:r>
      <w:r/>
    </w:p>
    <w:p>
      <w:pPr>
        <w:jc w:val="center"/>
        <w:spacing w:line="479" w:lineRule="atLeast"/>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pacing w:val="6"/>
          <w:sz w:val="24"/>
          <w:highlight w:val="none"/>
        </w:rPr>
        <w:t xml:space="preserve">（如投标人不属于残疾人福利性单位不需要提供此声明函）</w:t>
      </w:r>
      <w:r/>
    </w:p>
    <w:p>
      <w:pPr>
        <w:spacing w:line="360" w:lineRule="auto"/>
        <w:rPr>
          <w:rFonts w:hint="eastAsia" w:ascii="宋体" w:hAnsi="宋体" w:eastAsia="宋体" w:cs="宋体"/>
          <w:color w:val="000000"/>
          <w:spacing w:val="6"/>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pacing w:val="6"/>
          <w:sz w:val="24"/>
          <w:highlight w:val="none"/>
        </w:rPr>
      </w:r>
      <w:r/>
    </w:p>
    <w:p>
      <w:pPr>
        <w:spacing w:line="360" w:lineRule="auto"/>
        <w:rPr>
          <w:rFonts w:hint="eastAsia" w:ascii="宋体" w:hAnsi="宋体" w:eastAsia="宋体" w:cs="宋体"/>
          <w:color w:val="000000"/>
          <w:sz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pacing w:val="6"/>
          <w:sz w:val="24"/>
          <w:highlight w:val="none"/>
        </w:rPr>
        <w:t xml:space="preserve">项目编号：</w:t>
      </w:r>
      <w:r>
        <w:rPr>
          <w:rFonts w:hint="eastAsia" w:ascii="宋体" w:hAnsi="宋体" w:cs="宋体"/>
          <w:color w:val="000000"/>
          <w:spacing w:val="6"/>
          <w:sz w:val="24"/>
          <w:highlight w:val="none"/>
          <w:lang w:eastAsia="zh-CN"/>
        </w:rPr>
        <w:t xml:space="preserve">JSZC-320322-SHGC-G2026-0003</w:t>
      </w:r>
      <w:r/>
    </w:p>
    <w:p>
      <w:pPr>
        <w:spacing w:line="360" w:lineRule="auto"/>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pacing w:val="6"/>
          <w:sz w:val="24"/>
          <w:highlight w:val="none"/>
        </w:rPr>
        <w:t xml:space="preserve">项目名称：</w:t>
      </w:r>
      <w:r>
        <w:rPr>
          <w:rFonts w:hint="eastAsia" w:ascii="宋体" w:hAnsi="宋体" w:cs="宋体"/>
          <w:color w:val="000000"/>
          <w:spacing w:val="6"/>
          <w:sz w:val="24"/>
          <w:highlight w:val="none"/>
          <w:lang w:eastAsia="zh-CN"/>
        </w:rPr>
        <w:t xml:space="preserve">江苏省沛县中学校园文化智能化采购</w:t>
      </w:r>
      <w:r>
        <w:rPr>
          <w:rFonts w:hint="eastAsia" w:ascii="宋体" w:hAnsi="宋体" w:eastAsia="宋体" w:cs="宋体"/>
          <w:color w:val="000000"/>
          <w:spacing w:val="6"/>
          <w:sz w:val="24"/>
          <w:highlight w:val="none"/>
          <w:lang w:eastAsia="zh-CN"/>
        </w:rPr>
        <w:t xml:space="preserve">项目</w:t>
      </w:r>
      <w:r/>
    </w:p>
    <w:p>
      <w:pPr>
        <w:ind w:firstLine="624"/>
        <w:spacing w:line="360" w:lineRule="auto"/>
        <w:rPr>
          <w:rFonts w:hint="eastAsia" w:ascii="宋体" w:hAnsi="宋体" w:eastAsia="宋体" w:cs="宋体"/>
          <w:color w:val="000000"/>
          <w:spacing w:val="6"/>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pacing w:val="6"/>
          <w:sz w:val="24"/>
          <w:highlight w:val="none"/>
        </w:rPr>
      </w:r>
      <w:r/>
    </w:p>
    <w:p>
      <w:pPr>
        <w:ind w:firstLine="624"/>
        <w:spacing w:line="360" w:lineRule="auto"/>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pacing w:val="6"/>
          <w:sz w:val="24"/>
          <w:highlight w:val="none"/>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eastAsia="宋体" w:cs="宋体"/>
          <w:color w:val="000000"/>
          <w:sz w:val="24"/>
          <w:highlight w:val="none"/>
        </w:rPr>
        <w:t xml:space="preserve">______</w:t>
      </w:r>
      <w:r>
        <w:rPr>
          <w:rFonts w:hint="eastAsia" w:ascii="宋体" w:hAnsi="宋体" w:eastAsia="宋体" w:cs="宋体"/>
          <w:color w:val="000000"/>
          <w:spacing w:val="6"/>
          <w:sz w:val="24"/>
          <w:highlight w:val="none"/>
        </w:rPr>
        <w:t xml:space="preserve">单位的</w:t>
      </w:r>
      <w:r>
        <w:rPr>
          <w:rFonts w:hint="eastAsia" w:ascii="宋体" w:hAnsi="宋体" w:eastAsia="宋体" w:cs="宋体"/>
          <w:color w:val="000000"/>
          <w:sz w:val="24"/>
          <w:highlight w:val="none"/>
        </w:rPr>
        <w:t xml:space="preserve">______</w:t>
      </w:r>
      <w:r>
        <w:rPr>
          <w:rFonts w:hint="eastAsia" w:ascii="宋体" w:hAnsi="宋体" w:eastAsia="宋体" w:cs="宋体"/>
          <w:color w:val="000000"/>
          <w:spacing w:val="6"/>
          <w:sz w:val="24"/>
          <w:highlight w:val="none"/>
        </w:rPr>
        <w:t xml:space="preserve">项目采购活动提供本单位制造的货物（由本单位承担工程/提供服务），或者提供其他残疾人福利性单位制造的货物（不包括使用非残疾人福利性单位注册商标的货物）。</w:t>
      </w:r>
      <w:r/>
    </w:p>
    <w:p>
      <w:pPr>
        <w:ind w:firstLine="624"/>
        <w:spacing w:line="360" w:lineRule="auto"/>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pacing w:val="6"/>
          <w:sz w:val="24"/>
          <w:highlight w:val="none"/>
        </w:rPr>
        <w:t xml:space="preserve">本单位对上述声明的真实性负责。如有虚假，将依法承担相应责任。</w:t>
      </w:r>
      <w:r/>
    </w:p>
    <w:p>
      <w:pPr>
        <w:ind w:firstLine="624"/>
        <w:spacing w:line="360" w:lineRule="auto"/>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pacing w:val="6"/>
          <w:sz w:val="24"/>
          <w:highlight w:val="none"/>
        </w:rPr>
        <w:t xml:space="preserve"> </w:t>
      </w:r>
      <w:r/>
    </w:p>
    <w:p>
      <w:pPr>
        <w:ind w:firstLine="624"/>
        <w:spacing w:line="360" w:lineRule="auto"/>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pacing w:val="6"/>
          <w:sz w:val="24"/>
          <w:highlight w:val="none"/>
        </w:rPr>
        <w:t xml:space="preserve"> </w:t>
      </w:r>
      <w:r/>
    </w:p>
    <w:p>
      <w:pPr>
        <w:ind w:firstLine="2550"/>
        <w:spacing w:line="360" w:lineRule="auto"/>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投标人：</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（电子签章）</w:t>
      </w:r>
      <w:r/>
    </w:p>
    <w:p>
      <w:pPr>
        <w:ind w:firstLine="4500"/>
        <w:spacing w:line="360" w:lineRule="auto"/>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p>
      <w:pPr>
        <w:ind w:firstLine="2400"/>
        <w:spacing w:line="360" w:lineRule="auto"/>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日期： 年 月 日</w:t>
      </w:r>
      <w:r/>
    </w:p>
    <w:p>
      <w:pPr>
        <w:ind w:firstLine="4500"/>
        <w:spacing w:line="479" w:lineRule="atLeast"/>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30"/>
          <w:highlight w:val="none"/>
        </w:rPr>
        <w:t xml:space="preserve"> </w:t>
      </w:r>
      <w:r/>
    </w:p>
    <w:p>
      <w:pPr>
        <w:ind w:firstLine="600"/>
        <w:jc w:val="center"/>
        <w:spacing w:line="479" w:lineRule="atLeast"/>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rPr>
        <w:br w:type="page" w:clear="all"/>
      </w:r>
      <w:r/>
    </w:p>
    <w:p>
      <w:pPr>
        <w:jc w:val="center"/>
        <w:spacing w:line="479" w:lineRule="atLeast"/>
        <w:rPr>
          <w:rFonts w:hint="eastAsia" w:ascii="宋体" w:hAnsi="宋体" w:eastAsia="宋体" w:cs="宋体"/>
          <w:b/>
          <w:bCs/>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8"/>
          <w:szCs w:val="28"/>
          <w:highlight w:val="none"/>
        </w:rPr>
        <w:t xml:space="preserve">八、投标人参加政府采购活动前3年内在经营活动中没有重大违法记录的书面声明</w:t>
      </w:r>
      <w:r/>
    </w:p>
    <w:p>
      <w:pPr>
        <w:ind w:firstLine="600"/>
        <w:spacing w:line="479" w:lineRule="atLeast"/>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30"/>
          <w:highlight w:val="none"/>
        </w:rPr>
        <w:t xml:space="preserve"> </w:t>
      </w:r>
      <w:r/>
    </w:p>
    <w:p>
      <w:pPr>
        <w:ind w:firstLine="600"/>
        <w:spacing w:line="360" w:lineRule="auto"/>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我单位在参加</w:t>
      </w:r>
      <w:r>
        <w:rPr>
          <w:rFonts w:hint="eastAsia" w:ascii="宋体" w:hAnsi="宋体" w:cs="宋体"/>
          <w:color w:val="000000"/>
          <w:sz w:val="24"/>
          <w:highlight w:val="none"/>
          <w:u w:val="single"/>
          <w:lang w:eastAsia="zh-CN"/>
        </w:rPr>
        <w:t xml:space="preserve">江苏省沛县中学校园文化智能化采购</w:t>
      </w:r>
      <w:r>
        <w:rPr>
          <w:rFonts w:hint="eastAsia" w:ascii="宋体" w:hAnsi="宋体" w:eastAsia="宋体" w:cs="宋体"/>
          <w:color w:val="000000"/>
          <w:sz w:val="24"/>
          <w:highlight w:val="none"/>
          <w:u w:val="single"/>
          <w:lang w:eastAsia="zh-CN"/>
        </w:rPr>
        <w:t xml:space="preserve">项目</w:t>
      </w:r>
      <w:r>
        <w:rPr>
          <w:rFonts w:hint="eastAsia" w:ascii="宋体" w:hAnsi="宋体" w:eastAsia="宋体" w:cs="宋体"/>
          <w:color w:val="000000"/>
          <w:sz w:val="24"/>
          <w:highlight w:val="none"/>
        </w:rPr>
        <w:t xml:space="preserve">（项目编号：</w:t>
      </w:r>
      <w:r>
        <w:rPr>
          <w:rFonts w:hint="eastAsia" w:ascii="宋体" w:hAnsi="宋体" w:cs="宋体"/>
          <w:color w:val="000000"/>
          <w:sz w:val="24"/>
          <w:highlight w:val="none"/>
          <w:lang w:eastAsia="zh-CN"/>
        </w:rPr>
        <w:t xml:space="preserve">JSZC-320322-SHGC-G2026-0003</w:t>
      </w:r>
      <w:r>
        <w:rPr>
          <w:rFonts w:hint="eastAsia" w:ascii="宋体" w:hAnsi="宋体" w:eastAsia="宋体" w:cs="宋体"/>
          <w:color w:val="000000"/>
          <w:sz w:val="24"/>
          <w:highlight w:val="none"/>
        </w:rPr>
        <w:t xml:space="preserve">）政府采购活动前3年内，在经营活动中没有重大违法记录。重大违法记录是指因违法经营受到刑事处罚或者责令停产停业、吊销许可证或者执照、较大数额罚款等行政处罚。</w:t>
      </w:r>
      <w:r/>
    </w:p>
    <w:p>
      <w:pPr>
        <w:ind w:firstLine="600"/>
        <w:spacing w:line="360" w:lineRule="auto"/>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我单位对上述声明的真实性负责。如有虚假，将依法承担相应责任。</w:t>
      </w:r>
      <w:r/>
    </w:p>
    <w:p>
      <w:pPr>
        <w:spacing w:line="360" w:lineRule="auto"/>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p>
      <w:pPr>
        <w:spacing w:line="360" w:lineRule="auto"/>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p>
      <w:pPr>
        <w:ind w:firstLine="2850"/>
        <w:spacing w:line="360" w:lineRule="auto"/>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投标人：</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（电子签章）</w:t>
      </w:r>
      <w:r/>
    </w:p>
    <w:p>
      <w:pPr>
        <w:ind w:firstLine="4500"/>
        <w:spacing w:line="360" w:lineRule="auto"/>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p>
      <w:pPr>
        <w:ind w:firstLine="3000"/>
        <w:spacing w:line="360" w:lineRule="auto"/>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日期： 年 月 日</w:t>
      </w:r>
      <w:r/>
    </w:p>
    <w:p>
      <w:pPr>
        <w:ind w:firstLine="3000"/>
        <w:spacing w:line="360" w:lineRule="auto"/>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rPr>
      </w:r>
      <w:r/>
    </w:p>
    <w:p>
      <w:pPr>
        <w:jc w:val="center"/>
        <w:spacing w:line="85" w:lineRule="atLeast"/>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rPr>
      </w:r>
      <w:r/>
    </w:p>
    <w:p>
      <w:pPr>
        <w:jc w:val="center"/>
        <w:spacing w:line="85" w:lineRule="atLeast"/>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rPr>
      </w:r>
      <w:r/>
    </w:p>
    <w:p>
      <w:pPr>
        <w:jc w:val="center"/>
        <w:spacing w:line="85" w:lineRule="atLeast"/>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rPr>
      </w:r>
      <w:r/>
    </w:p>
    <w:p>
      <w:pPr>
        <w:jc w:val="center"/>
        <w:spacing w:line="85" w:lineRule="atLeast"/>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rPr>
      </w:r>
      <w:r/>
    </w:p>
    <w:p>
      <w:pPr>
        <w:jc w:val="center"/>
        <w:spacing w:line="85" w:lineRule="atLeast"/>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rPr>
      </w:r>
      <w:r/>
    </w:p>
    <w:p>
      <w:pPr>
        <w:jc w:val="center"/>
        <w:spacing w:line="85" w:lineRule="atLeast"/>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rPr>
      </w:r>
      <w:r/>
    </w:p>
    <w:p>
      <w:pPr>
        <w:jc w:val="center"/>
        <w:spacing w:line="85" w:lineRule="atLeast"/>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rPr>
      </w:r>
      <w:r/>
    </w:p>
    <w:p>
      <w:pPr>
        <w:jc w:val="center"/>
        <w:spacing w:line="85" w:lineRule="atLeast"/>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rPr>
      </w:r>
      <w:r/>
    </w:p>
    <w:p>
      <w:pPr>
        <w:jc w:val="center"/>
        <w:spacing w:line="85" w:lineRule="atLeast"/>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rPr>
      </w:r>
      <w:r/>
    </w:p>
    <w:p>
      <w:pPr>
        <w:ind w:firstLine="600"/>
        <w:jc w:val="center"/>
        <w:spacing w:line="479" w:lineRule="atLeast"/>
        <w:rPr>
          <w:rFonts w:hint="eastAsia" w:ascii="宋体" w:hAnsi="宋体" w:eastAsia="宋体" w:cs="宋体"/>
          <w:color w:val="000000"/>
          <w:sz w:val="30"/>
          <w:highlight w:val="none"/>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1701" w:equalWidth="1"/>
          <w:docGrid w:linePitch="360"/>
        </w:sectPr>
      </w:pPr>
      <w:r>
        <w:rPr>
          <w:rFonts w:hint="eastAsia" w:ascii="宋体" w:hAnsi="宋体" w:eastAsia="宋体" w:cs="宋体"/>
          <w:color w:val="000000"/>
          <w:sz w:val="30"/>
          <w:highlight w:val="none"/>
        </w:rPr>
      </w:r>
      <w:r/>
    </w:p>
    <w:p>
      <w:pPr>
        <w:jc w:val="center"/>
        <w:spacing w:line="479" w:lineRule="atLeast"/>
        <w:rPr>
          <w:rFonts w:hint="eastAsia" w:ascii="宋体" w:hAnsi="宋体" w:eastAsia="宋体" w:cs="宋体"/>
          <w:b/>
          <w:bCs/>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8"/>
          <w:szCs w:val="28"/>
          <w:highlight w:val="none"/>
        </w:rPr>
        <w:t xml:space="preserve">九、具备履行合同所必需的设备和专业技术能力的书面声明</w:t>
      </w:r>
      <w:r/>
    </w:p>
    <w:p>
      <w:pP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jc w:val="left"/>
        <w:spacing w:line="36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jc w:val="left"/>
        <w:spacing w:line="360" w:lineRule="auto"/>
        <w:widowControl/>
        <w:rPr>
          <w:rFonts w:hint="eastAsia" w:ascii="宋体" w:hAnsi="宋体" w:eastAsia="宋体" w:cs="宋体"/>
          <w:color w:val="000000"/>
          <w:sz w:val="24"/>
          <w:highlight w:val="none"/>
          <w:u w:val="single"/>
        </w:rPr>
      </w:pPr>
      <w:r>
        <w:rPr>
          <w:rFonts w:hint="eastAsia" w:ascii="宋体" w:hAnsi="宋体" w:eastAsia="宋体" w:cs="宋体"/>
          <w:color w:val="000000"/>
          <w:sz w:val="24"/>
          <w:highlight w:val="none"/>
        </w:rPr>
        <w:t xml:space="preserve">项目名称：</w:t>
      </w:r>
      <w:r>
        <w:rPr>
          <w:rFonts w:hint="eastAsia" w:ascii="宋体" w:hAnsi="宋体" w:cs="宋体"/>
          <w:color w:val="000000"/>
          <w:sz w:val="24"/>
          <w:highlight w:val="none"/>
          <w:lang w:eastAsia="zh-CN"/>
        </w:rPr>
        <w:t xml:space="preserve">江苏省沛县中学校园文化智能化采购</w:t>
      </w:r>
      <w:r>
        <w:rPr>
          <w:rFonts w:hint="eastAsia" w:ascii="宋体" w:hAnsi="宋体" w:eastAsia="宋体" w:cs="宋体"/>
          <w:color w:val="000000"/>
          <w:sz w:val="24"/>
          <w:highlight w:val="none"/>
          <w:lang w:eastAsia="zh-CN"/>
        </w:rPr>
        <w:t xml:space="preserve">项目</w:t>
      </w:r>
      <w:r/>
    </w:p>
    <w:p>
      <w:pPr>
        <w:jc w:val="left"/>
        <w:spacing w:line="360" w:lineRule="auto"/>
        <w:widowControl/>
        <w:rPr>
          <w:rFonts w:hint="eastAsia" w:ascii="宋体" w:hAnsi="宋体" w:eastAsia="宋体" w:cs="宋体"/>
          <w:color w:val="000000"/>
          <w:sz w:val="24"/>
          <w:highlight w:val="none"/>
          <w:u w:val="single"/>
          <w:lang w:eastAsia="zh-CN"/>
        </w:rPr>
      </w:pPr>
      <w:r>
        <w:rPr>
          <w:rFonts w:hint="eastAsia" w:ascii="宋体" w:hAnsi="宋体" w:eastAsia="宋体" w:cs="宋体"/>
          <w:color w:val="000000"/>
          <w:sz w:val="24"/>
          <w:highlight w:val="none"/>
        </w:rPr>
        <w:t xml:space="preserve">项目编号：</w:t>
      </w:r>
      <w:r>
        <w:rPr>
          <w:rFonts w:hint="eastAsia" w:ascii="宋体" w:hAnsi="宋体" w:cs="宋体"/>
          <w:color w:val="000000"/>
          <w:sz w:val="24"/>
          <w:highlight w:val="none"/>
          <w:lang w:eastAsia="zh-CN"/>
        </w:rPr>
        <w:t xml:space="preserve">JSZC-320322-SHGC-G2026-0003</w:t>
      </w:r>
      <w:r/>
    </w:p>
    <w:p>
      <w:pPr>
        <w:rPr>
          <w:rFonts w:hint="eastAsia"/>
        </w:rPr>
      </w:pPr>
      <w:r>
        <w:rPr>
          <w:rFonts w:hint="eastAsia"/>
        </w:rPr>
      </w:r>
      <w:r/>
    </w:p>
    <w:p>
      <w:pPr>
        <w:ind w:left="0" w:right="0"/>
        <w:jc w:val="both"/>
        <w:keepLines w:val="0"/>
        <w:keepNext w:val="0"/>
        <w:spacing w:before="0" w:beforeAutospacing="0" w:after="160" w:afterAutospacing="0" w:line="360" w:lineRule="auto"/>
        <w:widowControl w:val="off"/>
        <w:rPr>
          <w:rFonts w:hint="eastAsia" w:ascii="宋体" w:hAnsi="宋体" w:eastAsia="宋体" w:cs="宋体"/>
          <w:color w:val="000000"/>
          <w:sz w:val="24"/>
          <w:szCs w:val="24"/>
          <w:highlight w:val="none"/>
          <w:lang w:val="en-US" w:eastAsia="zh-CN" w:bidi="ar"/>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lang w:val="en-US" w:eastAsia="zh-CN" w:bidi="ar"/>
        </w:rPr>
        <w:t xml:space="preserve">我单位郑重声明：我单位具备履行合同（项目名称：</w:t>
      </w:r>
      <w:r>
        <w:rPr>
          <w:rFonts w:hint="eastAsia" w:ascii="宋体" w:hAnsi="宋体" w:cs="宋体"/>
          <w:color w:val="000000"/>
          <w:sz w:val="24"/>
          <w:szCs w:val="24"/>
          <w:highlight w:val="none"/>
          <w:lang w:val="en-US" w:eastAsia="zh-CN" w:bidi="ar"/>
        </w:rPr>
        <w:t xml:space="preserve">江苏省沛县中学校园文化智能化采购</w:t>
      </w:r>
      <w:r>
        <w:rPr>
          <w:rFonts w:hint="eastAsia" w:ascii="宋体" w:hAnsi="宋体" w:eastAsia="宋体" w:cs="宋体"/>
          <w:color w:val="000000"/>
          <w:sz w:val="24"/>
          <w:szCs w:val="24"/>
          <w:highlight w:val="none"/>
          <w:lang w:val="en-US" w:eastAsia="zh-CN" w:bidi="ar"/>
        </w:rPr>
        <w:t xml:space="preserve">项目，项目编号：</w:t>
      </w:r>
      <w:r>
        <w:rPr>
          <w:rFonts w:hint="eastAsia" w:ascii="宋体" w:hAnsi="宋体" w:cs="宋体"/>
          <w:color w:val="000000"/>
          <w:sz w:val="24"/>
          <w:szCs w:val="24"/>
          <w:highlight w:val="none"/>
          <w:lang w:val="en-US" w:eastAsia="zh-CN" w:bidi="ar"/>
        </w:rPr>
        <w:t xml:space="preserve">JSZC-320322-SHGC-G2026-0003</w:t>
      </w:r>
      <w:r>
        <w:rPr>
          <w:rFonts w:hint="eastAsia" w:ascii="宋体" w:hAnsi="宋体" w:eastAsia="宋体" w:cs="宋体"/>
          <w:color w:val="000000"/>
          <w:sz w:val="24"/>
          <w:szCs w:val="24"/>
          <w:highlight w:val="none"/>
          <w:lang w:val="en-US" w:eastAsia="zh-CN" w:bidi="ar"/>
        </w:rPr>
        <w:t xml:space="preserve">）所必需的设备和专业技术能力。具体为：</w:t>
      </w:r>
      <w:r>
        <w:rPr>
          <w:rFonts w:hint="eastAsia" w:ascii="宋体" w:hAnsi="宋体" w:eastAsia="宋体" w:cs="宋体"/>
          <w:color w:val="000000"/>
          <w:sz w:val="24"/>
          <w:szCs w:val="24"/>
          <w:highlight w:val="none"/>
          <w:lang w:val="en-US" w:eastAsia="zh-CN" w:bidi="ar"/>
        </w:rPr>
        <w:br w:type="textWrapping" w:clear="all"/>
      </w:r>
      <w:r>
        <w:rPr>
          <w:rFonts w:hint="eastAsia" w:ascii="宋体" w:hAnsi="宋体" w:eastAsia="宋体" w:cs="宋体"/>
          <w:color w:val="000000"/>
          <w:sz w:val="24"/>
          <w:szCs w:val="24"/>
          <w:highlight w:val="none"/>
          <w:lang w:val="en-US" w:eastAsia="zh-CN" w:bidi="ar"/>
        </w:rPr>
        <w:t xml:space="preserve">设备：</w:t>
      </w:r>
      <w:r/>
    </w:p>
    <w:p>
      <w:pPr>
        <w:ind w:left="0" w:right="0"/>
        <w:jc w:val="both"/>
        <w:keepLines w:val="0"/>
        <w:keepNext w:val="0"/>
        <w:spacing w:before="0" w:beforeAutospacing="0" w:after="160" w:afterAutospacing="0" w:line="360" w:lineRule="auto"/>
        <w:widowControl w:val="off"/>
        <w:rPr>
          <w:rFonts w:hint="eastAsia" w:ascii="宋体" w:hAnsi="宋体" w:eastAsia="宋体" w:cs="宋体"/>
          <w:color w:val="000000"/>
          <w:sz w:val="24"/>
          <w:szCs w:val="24"/>
          <w:highlight w:val="none"/>
          <w:lang w:val="en-US" w:eastAsia="zh-CN" w:bidi="ar"/>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lang w:val="en-US" w:eastAsia="zh-CN" w:bidi="ar"/>
        </w:rPr>
        <w:t xml:space="preserve">1、（证明材料复印件附后）</w:t>
      </w:r>
      <w:r/>
    </w:p>
    <w:p>
      <w:pPr>
        <w:ind w:left="0" w:right="0"/>
        <w:jc w:val="both"/>
        <w:keepLines w:val="0"/>
        <w:keepNext w:val="0"/>
        <w:spacing w:before="0" w:beforeAutospacing="0" w:after="160" w:afterAutospacing="0" w:line="360" w:lineRule="auto"/>
        <w:widowControl w:val="off"/>
        <w:rPr>
          <w:rFonts w:hint="eastAsia" w:ascii="宋体" w:hAnsi="宋体" w:eastAsia="宋体" w:cs="宋体"/>
          <w:color w:val="000000"/>
          <w:sz w:val="24"/>
          <w:szCs w:val="24"/>
          <w:highlight w:val="none"/>
          <w:lang w:val="en-US" w:eastAsia="zh-CN" w:bidi="ar"/>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lang w:val="en-US" w:eastAsia="zh-CN" w:bidi="ar"/>
        </w:rPr>
        <w:t xml:space="preserve">2、（证明材料复印件附后）</w:t>
      </w:r>
      <w:r/>
    </w:p>
    <w:p>
      <w:pPr>
        <w:ind w:left="0" w:right="0"/>
        <w:jc w:val="both"/>
        <w:keepLines w:val="0"/>
        <w:keepNext w:val="0"/>
        <w:spacing w:before="0" w:beforeAutospacing="0" w:after="160" w:afterAutospacing="0" w:line="360" w:lineRule="auto"/>
        <w:widowControl w:val="off"/>
        <w:rPr>
          <w:rFonts w:hint="eastAsia" w:ascii="宋体" w:hAnsi="宋体" w:eastAsia="宋体" w:cs="宋体"/>
          <w:color w:val="000000"/>
          <w:sz w:val="24"/>
          <w:szCs w:val="24"/>
          <w:highlight w:val="none"/>
          <w:lang w:val="en-US" w:eastAsia="zh-CN" w:bidi="ar"/>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lang w:val="en-US" w:eastAsia="zh-CN" w:bidi="ar"/>
        </w:rPr>
        <w:t xml:space="preserve">3、（证明材料复印件附后）</w:t>
      </w:r>
      <w:r/>
    </w:p>
    <w:p>
      <w:pPr>
        <w:ind w:left="0" w:right="0"/>
        <w:jc w:val="both"/>
        <w:keepLines w:val="0"/>
        <w:keepNext w:val="0"/>
        <w:spacing w:before="0" w:beforeAutospacing="0" w:after="160" w:afterAutospacing="0" w:line="360" w:lineRule="auto"/>
        <w:widowControl w:val="off"/>
        <w:rPr>
          <w:rFonts w:hint="eastAsia" w:ascii="宋体" w:hAnsi="宋体" w:eastAsia="宋体" w:cs="宋体"/>
          <w:color w:val="000000"/>
          <w:sz w:val="24"/>
          <w:szCs w:val="24"/>
          <w:highlight w:val="none"/>
          <w:lang w:val="en-US" w:eastAsia="zh-CN" w:bidi="ar"/>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lang w:val="en-US" w:eastAsia="zh-CN" w:bidi="ar"/>
        </w:rPr>
        <w:t xml:space="preserve">…………</w:t>
      </w:r>
      <w:r/>
    </w:p>
    <w:p>
      <w:pPr>
        <w:ind w:left="0" w:right="0"/>
        <w:jc w:val="both"/>
        <w:keepLines w:val="0"/>
        <w:keepNext w:val="0"/>
        <w:spacing w:before="0" w:beforeAutospacing="0" w:after="160" w:afterAutospacing="0" w:line="360" w:lineRule="auto"/>
        <w:widowControl w:val="off"/>
        <w:rPr>
          <w:rFonts w:hint="eastAsia" w:ascii="宋体" w:hAnsi="宋体" w:eastAsia="宋体" w:cs="宋体"/>
          <w:color w:val="000000"/>
          <w:sz w:val="24"/>
          <w:szCs w:val="24"/>
          <w:highlight w:val="none"/>
          <w:lang w:val="en-US" w:eastAsia="zh-CN" w:bidi="ar"/>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lang w:val="en-US" w:eastAsia="zh-CN" w:bidi="ar"/>
        </w:rPr>
        <w:t xml:space="preserve">专业技术能力：</w:t>
      </w:r>
      <w:r/>
    </w:p>
    <w:p>
      <w:pPr>
        <w:ind w:left="0" w:right="0"/>
        <w:jc w:val="both"/>
        <w:keepLines w:val="0"/>
        <w:keepNext w:val="0"/>
        <w:spacing w:before="0" w:beforeAutospacing="0" w:after="160" w:afterAutospacing="0" w:line="360" w:lineRule="auto"/>
        <w:widowControl w:val="off"/>
        <w:rPr>
          <w:rFonts w:hint="eastAsia" w:ascii="宋体" w:hAnsi="宋体" w:eastAsia="宋体" w:cs="宋体"/>
          <w:color w:val="000000"/>
          <w:sz w:val="24"/>
          <w:szCs w:val="24"/>
          <w:highlight w:val="none"/>
          <w:lang w:val="en-US" w:eastAsia="zh-CN" w:bidi="ar"/>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lang w:val="en-US" w:eastAsia="zh-CN" w:bidi="ar"/>
        </w:rPr>
        <w:t xml:space="preserve">1、（证明材料复印件附后）</w:t>
      </w:r>
      <w:r/>
    </w:p>
    <w:p>
      <w:pPr>
        <w:ind w:left="0" w:right="0"/>
        <w:jc w:val="both"/>
        <w:keepLines w:val="0"/>
        <w:keepNext w:val="0"/>
        <w:spacing w:before="0" w:beforeAutospacing="0" w:after="160" w:afterAutospacing="0" w:line="360" w:lineRule="auto"/>
        <w:widowControl w:val="off"/>
        <w:rPr>
          <w:rFonts w:hint="eastAsia" w:ascii="宋体" w:hAnsi="宋体" w:eastAsia="宋体" w:cs="宋体"/>
          <w:color w:val="000000"/>
          <w:sz w:val="24"/>
          <w:szCs w:val="24"/>
          <w:highlight w:val="none"/>
          <w:lang w:val="en-US" w:eastAsia="zh-CN" w:bidi="ar"/>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lang w:val="en-US" w:eastAsia="zh-CN" w:bidi="ar"/>
        </w:rPr>
        <w:t xml:space="preserve">2、（证明材料复印件附后）</w:t>
      </w:r>
      <w:r/>
    </w:p>
    <w:p>
      <w:pPr>
        <w:ind w:left="0" w:right="0"/>
        <w:jc w:val="both"/>
        <w:keepLines w:val="0"/>
        <w:keepNext w:val="0"/>
        <w:spacing w:before="0" w:beforeAutospacing="0" w:after="160" w:afterAutospacing="0" w:line="360" w:lineRule="auto"/>
        <w:widowControl w:val="off"/>
        <w:rPr>
          <w:rFonts w:hint="eastAsia" w:ascii="宋体" w:hAnsi="宋体" w:eastAsia="宋体" w:cs="宋体"/>
          <w:color w:val="000000"/>
          <w:sz w:val="24"/>
          <w:szCs w:val="24"/>
          <w:highlight w:val="none"/>
          <w:lang w:val="en-US" w:eastAsia="zh-CN" w:bidi="ar"/>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lang w:val="en-US" w:eastAsia="zh-CN" w:bidi="ar"/>
        </w:rPr>
        <w:t xml:space="preserve">3、（证明材料复印件附后）</w:t>
      </w:r>
      <w:r/>
    </w:p>
    <w:p>
      <w:pPr>
        <w:ind w:left="0" w:right="0"/>
        <w:jc w:val="both"/>
        <w:keepLines w:val="0"/>
        <w:keepNext w:val="0"/>
        <w:spacing w:before="0" w:beforeAutospacing="0" w:after="160" w:afterAutospacing="0" w:line="360" w:lineRule="auto"/>
        <w:widowControl w:val="off"/>
        <w:rPr>
          <w:rFonts w:hint="eastAsia" w:ascii="宋体" w:hAnsi="宋体" w:eastAsia="宋体" w:cs="宋体"/>
          <w:color w:val="000000"/>
          <w:sz w:val="24"/>
          <w:szCs w:val="24"/>
          <w:highlight w:val="none"/>
          <w:lang w:val="en-US" w:eastAsia="zh-CN" w:bidi="ar"/>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lang w:val="en-US" w:eastAsia="zh-CN" w:bidi="ar"/>
        </w:rPr>
        <w:t xml:space="preserve">…………</w:t>
      </w:r>
      <w:r/>
    </w:p>
    <w:p>
      <w:pPr>
        <w:ind w:left="0" w:right="0"/>
        <w:jc w:val="both"/>
        <w:keepLines w:val="0"/>
        <w:keepNext w:val="0"/>
        <w:spacing w:before="0" w:beforeAutospacing="0" w:after="160" w:afterAutospacing="0" w:line="360" w:lineRule="auto"/>
        <w:widowControl w:val="off"/>
        <w:rPr>
          <w:rFonts w:hint="eastAsia" w:ascii="宋体" w:hAnsi="宋体" w:eastAsia="宋体" w:cs="宋体"/>
          <w:color w:val="000000"/>
          <w:sz w:val="24"/>
          <w:szCs w:val="24"/>
          <w:highlight w:val="none"/>
          <w:lang w:val="en-US" w:eastAsia="zh-CN" w:bidi="ar"/>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lang w:val="en-US" w:eastAsia="zh-CN" w:bidi="ar"/>
        </w:rPr>
        <w:t xml:space="preserve">特此声明。</w:t>
      </w:r>
      <w:r/>
    </w:p>
    <w:p>
      <w:pPr>
        <w:ind w:left="0" w:right="0"/>
        <w:jc w:val="both"/>
        <w:keepLines w:val="0"/>
        <w:keepNext w:val="0"/>
        <w:spacing w:before="0" w:beforeAutospacing="0" w:after="160" w:afterAutospacing="0" w:line="360" w:lineRule="auto"/>
        <w:widowControl w:val="off"/>
        <w:rPr>
          <w:rFonts w:hint="eastAsia" w:ascii="宋体" w:hAnsi="宋体" w:eastAsia="宋体" w:cs="宋体"/>
          <w:color w:val="000000"/>
          <w:sz w:val="24"/>
          <w:szCs w:val="24"/>
          <w:highlight w:val="none"/>
          <w:lang w:val="en-US" w:eastAsia="zh-CN" w:bidi="ar"/>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lang w:val="en-US" w:eastAsia="zh-CN" w:bidi="ar"/>
        </w:rPr>
        <w:t xml:space="preserve">投标人对上述声明的真实性负责。如有虚假，将依法承担相应责任。</w:t>
      </w:r>
      <w:r/>
    </w:p>
    <w:p>
      <w:pPr>
        <w:ind w:firstLine="2850"/>
        <w:spacing w:line="360" w:lineRule="auto"/>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r>
      <w:r/>
    </w:p>
    <w:p>
      <w:pPr>
        <w:ind w:firstLine="2850"/>
        <w:spacing w:line="360" w:lineRule="auto"/>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投标人：</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（电子签章）</w:t>
      </w:r>
      <w:r/>
    </w:p>
    <w:p>
      <w:pPr>
        <w:ind w:firstLine="4500"/>
        <w:spacing w:line="360" w:lineRule="auto"/>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p>
      <w:pPr>
        <w:ind w:firstLine="3000"/>
        <w:spacing w:line="360" w:lineRule="auto"/>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日期： 年 月 日</w:t>
      </w:r>
      <w:r/>
    </w:p>
    <w:p>
      <w:pPr>
        <w:jc w:val="both"/>
        <w:spacing w:line="479" w:lineRule="atLeast"/>
        <w:rPr>
          <w:rFonts w:hint="eastAsia" w:ascii="宋体" w:hAnsi="宋体" w:eastAsia="宋体" w:cs="宋体"/>
          <w:b/>
          <w:bCs/>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8"/>
          <w:szCs w:val="28"/>
          <w:highlight w:val="none"/>
        </w:rPr>
      </w:r>
      <w:r/>
    </w:p>
    <w:p>
      <w:pPr>
        <w:jc w:val="both"/>
        <w:spacing w:line="479" w:lineRule="atLeast"/>
        <w:rPr>
          <w:rFonts w:hint="eastAsia" w:ascii="宋体" w:hAnsi="宋体" w:eastAsia="宋体" w:cs="宋体"/>
          <w:b/>
          <w:bCs/>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8"/>
          <w:szCs w:val="28"/>
          <w:highlight w:val="none"/>
        </w:rPr>
      </w:r>
      <w:r/>
    </w:p>
    <w:p>
      <w:pPr>
        <w:jc w:val="center"/>
        <w:spacing w:line="479" w:lineRule="atLeast"/>
        <w:rPr>
          <w:rFonts w:hint="eastAsia" w:ascii="宋体" w:hAnsi="宋体" w:eastAsia="宋体" w:cs="宋体"/>
          <w:b/>
          <w:bCs/>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8"/>
          <w:szCs w:val="28"/>
          <w:highlight w:val="none"/>
        </w:rPr>
        <w:t xml:space="preserve">十、预付款保函支付条款模板</w:t>
      </w:r>
      <w:r/>
    </w:p>
    <w:p>
      <w:pPr>
        <w:ind w:firstLine="605"/>
        <w:spacing w:line="479" w:lineRule="atLeast"/>
        <w:rPr>
          <w:rFonts w:hint="eastAsia" w:ascii="宋体" w:hAnsi="宋体" w:eastAsia="宋体" w:cs="宋体"/>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8"/>
          <w:szCs w:val="28"/>
          <w:highlight w:val="none"/>
        </w:rPr>
        <w:t xml:space="preserve">符合条件一：提交预付款保函的</w:t>
      </w:r>
      <w:r/>
    </w:p>
    <w:p>
      <w:pPr>
        <w:ind w:firstLine="602"/>
        <w:spacing w:line="479" w:lineRule="atLeast"/>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（1）合同签订且乙方向甲方出具预付款保函后</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个工作日内，甲方应支付合同价款的百分之</w:t>
      </w:r>
      <w:r>
        <w:rPr>
          <w:rFonts w:hint="eastAsia" w:ascii="宋体" w:hAnsi="宋体" w:eastAsia="宋体" w:cs="宋体"/>
          <w:color w:val="000000"/>
          <w:sz w:val="24"/>
          <w:highlight w:val="none"/>
          <w:u w:val="single"/>
        </w:rPr>
        <w:t xml:space="preserve">        XX（    XX%），</w:t>
      </w:r>
      <w:r>
        <w:rPr>
          <w:rFonts w:hint="eastAsia" w:ascii="宋体" w:hAnsi="宋体" w:eastAsia="宋体" w:cs="宋体"/>
          <w:color w:val="000000"/>
          <w:sz w:val="24"/>
          <w:highlight w:val="none"/>
        </w:rPr>
        <w:t xml:space="preserve">小写￥</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大写：人民币</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w:t>
      </w:r>
      <w:r/>
    </w:p>
    <w:p>
      <w:pPr>
        <w:ind w:left="140" w:firstLine="602"/>
        <w:spacing w:line="479" w:lineRule="atLeast"/>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乙方需提交的支付文件：乙方出具的全额正式发票。</w:t>
      </w:r>
      <w:r/>
    </w:p>
    <w:p>
      <w:pPr>
        <w:ind w:left="140" w:firstLine="602"/>
        <w:spacing w:line="479" w:lineRule="atLeast"/>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（2）验收合格后</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个工作日内，甲方应支付合同价款的百分之</w:t>
      </w:r>
      <w:r>
        <w:rPr>
          <w:rFonts w:hint="eastAsia" w:ascii="宋体" w:hAnsi="宋体" w:eastAsia="宋体" w:cs="宋体"/>
          <w:color w:val="000000"/>
          <w:sz w:val="24"/>
          <w:highlight w:val="none"/>
          <w:u w:val="single"/>
        </w:rPr>
        <w:t xml:space="preserve">XX（    XX%），</w:t>
      </w:r>
      <w:r>
        <w:rPr>
          <w:rFonts w:hint="eastAsia" w:ascii="宋体" w:hAnsi="宋体" w:eastAsia="宋体" w:cs="宋体"/>
          <w:color w:val="000000"/>
          <w:sz w:val="24"/>
          <w:highlight w:val="none"/>
        </w:rPr>
        <w:t xml:space="preserve">小写￥</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大写：人民币</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w:t>
      </w:r>
      <w:r/>
    </w:p>
    <w:p>
      <w:pPr>
        <w:ind w:firstLine="605"/>
        <w:spacing w:line="479" w:lineRule="atLeast"/>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0"/>
          <w:highlight w:val="none"/>
        </w:rPr>
        <w:t xml:space="preserve">……</w:t>
      </w:r>
      <w:r/>
    </w:p>
    <w:p>
      <w:pPr>
        <w:ind w:firstLine="605"/>
        <w:spacing w:line="479" w:lineRule="atLeast"/>
        <w:rPr>
          <w:rFonts w:hint="eastAsia" w:ascii="宋体" w:hAnsi="宋体" w:eastAsia="宋体" w:cs="宋体"/>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8"/>
          <w:szCs w:val="28"/>
          <w:highlight w:val="none"/>
        </w:rPr>
        <w:t xml:space="preserve">符合条件二：不提交预付款保函的</w:t>
      </w:r>
      <w:r/>
    </w:p>
    <w:p>
      <w:pPr>
        <w:ind w:firstLine="602"/>
        <w:spacing w:line="479" w:lineRule="atLeast"/>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（1）合同签订后</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个工作日内，甲方应支付合同价款的百分之</w:t>
      </w:r>
      <w:r>
        <w:rPr>
          <w:rFonts w:hint="eastAsia" w:ascii="宋体" w:hAnsi="宋体" w:eastAsia="宋体" w:cs="宋体"/>
          <w:color w:val="000000"/>
          <w:sz w:val="24"/>
          <w:highlight w:val="none"/>
          <w:u w:val="single"/>
        </w:rPr>
        <w:t xml:space="preserve">XX（    XX%），</w:t>
      </w:r>
      <w:r>
        <w:rPr>
          <w:rFonts w:hint="eastAsia" w:ascii="宋体" w:hAnsi="宋体" w:eastAsia="宋体" w:cs="宋体"/>
          <w:color w:val="000000"/>
          <w:sz w:val="24"/>
          <w:highlight w:val="none"/>
        </w:rPr>
        <w:t xml:space="preserve">小写￥</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大写：人民币</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w:t>
      </w:r>
      <w:r/>
    </w:p>
    <w:p>
      <w:pPr>
        <w:ind w:left="140" w:firstLine="602"/>
        <w:spacing w:line="479" w:lineRule="atLeast"/>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乙方需提交的支付文件：乙方出具的全额正式发票。</w:t>
      </w:r>
      <w:r/>
    </w:p>
    <w:p>
      <w:pPr>
        <w:ind w:left="140" w:firstLine="602"/>
        <w:spacing w:line="479" w:lineRule="atLeast"/>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（2）验收合格后</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个工作日内，甲方应支付合同价款的百分之</w:t>
      </w:r>
      <w:r>
        <w:rPr>
          <w:rFonts w:hint="eastAsia" w:ascii="宋体" w:hAnsi="宋体" w:eastAsia="宋体" w:cs="宋体"/>
          <w:color w:val="000000"/>
          <w:sz w:val="24"/>
          <w:highlight w:val="none"/>
          <w:u w:val="single"/>
        </w:rPr>
        <w:t xml:space="preserve">XX（    XX%），</w:t>
      </w:r>
      <w:r>
        <w:rPr>
          <w:rFonts w:hint="eastAsia" w:ascii="宋体" w:hAnsi="宋体" w:eastAsia="宋体" w:cs="宋体"/>
          <w:color w:val="000000"/>
          <w:sz w:val="24"/>
          <w:highlight w:val="none"/>
        </w:rPr>
        <w:t xml:space="preserve">小写￥</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大写：人民币</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w:t>
      </w:r>
      <w:r/>
    </w:p>
    <w:p>
      <w:pPr>
        <w:ind w:firstLine="605"/>
        <w:spacing w:line="479" w:lineRule="atLeast"/>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highlight w:val="none"/>
        </w:rPr>
        <w:t xml:space="preserve">……</w:t>
      </w:r>
      <w:r/>
    </w:p>
    <w:p>
      <w:pPr>
        <w:spacing w:line="479" w:lineRule="atLeast"/>
        <w:rPr>
          <w:rFonts w:hint="eastAsia" w:ascii="宋体" w:hAnsi="宋体" w:eastAsia="宋体" w:cs="宋体"/>
          <w:b/>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highlight w:val="none"/>
        </w:rPr>
      </w:r>
      <w:r/>
    </w:p>
    <w:p>
      <w:pPr>
        <w:ind w:left="140" w:firstLine="605"/>
        <w:spacing w:line="479" w:lineRule="atLeast"/>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highlight w:val="none"/>
        </w:rPr>
        <w:t xml:space="preserve">注：</w:t>
      </w:r>
      <w:r/>
    </w:p>
    <w:p>
      <w:pPr>
        <w:ind w:left="140" w:firstLine="602"/>
        <w:spacing w:line="479" w:lineRule="atLeast"/>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1、付款条件一中，出具预付款保函后支付的合同款应当与保函金额一致。</w:t>
      </w:r>
      <w:r/>
    </w:p>
    <w:p>
      <w:pPr>
        <w:ind w:left="140" w:firstLine="602"/>
        <w:spacing w:line="479" w:lineRule="atLeast"/>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2、付款条件二中，预付款比例设定应符合《关于做好政府采购支持企业发展有关事项的通知》（苏财购〔2020〕52号）要求。</w:t>
      </w:r>
      <w:r/>
    </w:p>
    <w:p>
      <w:pPr>
        <w:spacing w:line="479" w:lineRule="atLeast"/>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p>
      <w:pPr>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 </w:t>
      </w:r>
      <w:r/>
    </w:p>
    <w:p>
      <w:pPr>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 </w:t>
      </w:r>
      <w:r/>
    </w:p>
    <w:p>
      <w:r/>
      <w:r/>
    </w:p>
    <w:sectPr>
      <w:footnotePr/>
      <w:endnotePr/>
      <w:type w:val="nextPage"/>
      <w:pgSz w:w="11906" w:h="16838" w:orient="portrait"/>
      <w:pgMar w:top="1440" w:right="1803" w:bottom="1440" w:left="1803"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Symbol">
    <w:panose1 w:val="05050102010706020507"/>
  </w:font>
  <w:font w:name="Wingdings">
    <w:panose1 w:val="05000000000000000000"/>
  </w:font>
  <w:font w:name="Courier New">
    <w:panose1 w:val="02070309020205020404"/>
  </w:font>
  <w:font w:name="楷体_GB2312">
    <w:panose1 w:val="02010609060101010101"/>
  </w:font>
  <w:font w:name="黑体">
    <w:panose1 w:val="02010609060101010101"/>
  </w:font>
  <w:font w:name="Calibri">
    <w:panose1 w:val="020F050202020403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3"/>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774"/>
                            <w:tabs>
                              <w:tab w:val="clear" w:pos="7143" w:leader="none"/>
                              <w:tab w:val="clear" w:pos="14287" w:leader="none"/>
                            </w:tabs>
                          </w:pPr>
                          <w:r>
                            <w:fldChar w:fldCharType="begin"/>
                          </w:r>
                          <w:r>
                            <w:instrText xml:space="preserve"> PAGE  \* MERGEFORMAT </w:instrText>
                          </w:r>
                          <w:r>
                            <w:fldChar w:fldCharType="separate"/>
                          </w:r>
                          <w:r>
                            <w:t xml:space="preserve">1</w:t>
                          </w:r>
                          <w:r>
                            <w:fldChar w:fldCharType="end"/>
                          </w:r>
                          <w:r/>
                        </w:p>
                        <w:p>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774"/>
                      <w:tabs>
                        <w:tab w:val="clear" w:pos="7143" w:leader="none"/>
                        <w:tab w:val="clear" w:pos="14287" w:leader="none"/>
                      </w:tabs>
                    </w:pPr>
                    <w:r>
                      <w:fldChar w:fldCharType="begin"/>
                    </w:r>
                    <w:r>
                      <w:instrText xml:space="preserve"> PAGE  \* MERGEFORMAT </w:instrText>
                    </w:r>
                    <w:r>
                      <w:fldChar w:fldCharType="separate"/>
                    </w:r>
                    <w:r>
                      <w:t xml:space="preserve">1</w:t>
                    </w:r>
                    <w:r>
                      <w:fldChar w:fldCharType="end"/>
                    </w:r>
                    <w:r/>
                  </w:p>
                  <w:p>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3"/>
      <w:tabs>
        <w:tab w:val="center" w:pos="4150" w:leader="none"/>
        <w:tab w:val="clear" w:pos="4153" w:leader="none"/>
        <w:tab w:val="clear"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774"/>
                            <w:tabs>
                              <w:tab w:val="clear" w:pos="7143" w:leader="none"/>
                              <w:tab w:val="clear" w:pos="14287" w:leader="none"/>
                            </w:tabs>
                          </w:pPr>
                          <w:r>
                            <w:fldChar w:fldCharType="begin"/>
                          </w:r>
                          <w:r>
                            <w:instrText xml:space="preserve"> PAGE  \* MERGEFORMAT </w:instrText>
                          </w:r>
                          <w:r>
                            <w:fldChar w:fldCharType="separate"/>
                          </w:r>
                          <w:r>
                            <w:t xml:space="preserve">1</w:t>
                          </w:r>
                          <w:r>
                            <w:fldChar w:fldCharType="end"/>
                          </w:r>
                          <w:r/>
                        </w:p>
                        <w:p>
                          <w:r/>
                          <w:r/>
                        </w:p>
                      </w:txbxContent>
                    </wps:txbx>
                    <wps:bodyPr wrap="none" lIns="0" tIns="0" rIns="0" bIns="0" upright="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774"/>
                      <w:tabs>
                        <w:tab w:val="clear" w:pos="7143" w:leader="none"/>
                        <w:tab w:val="clear" w:pos="14287" w:leader="none"/>
                      </w:tabs>
                    </w:pPr>
                    <w:r>
                      <w:fldChar w:fldCharType="begin"/>
                    </w:r>
                    <w:r>
                      <w:instrText xml:space="preserve"> PAGE  \* MERGEFORMAT </w:instrText>
                    </w:r>
                    <w:r>
                      <w:fldChar w:fldCharType="separate"/>
                    </w:r>
                    <w:r>
                      <w:t xml:space="preserve">1</w:t>
                    </w:r>
                    <w:r>
                      <w:fldChar w:fldCharType="end"/>
                    </w:r>
                    <w:r/>
                  </w:p>
                  <w:p>
                    <w:r/>
                    <w:r/>
                  </w:p>
                </w:txbxContent>
              </v:textbox>
            </v:shape>
          </w:pict>
        </mc:Fallback>
      </mc:AlternateContent>
    </w:r>
    <w:r>
      <w:rPr>
        <w:rFonts w:hint="eastAsia"/>
        <w:lang w:eastAsia="zh-CN"/>
      </w:rPr>
      <w:tab/>
    </w:r>
    <w:r>
      <w:rPr>
        <w:rFonts w:hint="eastAsia"/>
        <w:lang w:eastAsia="zh-CN"/>
      </w:rPr>
      <w:tab/>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2"/>
      <w:pBdr>
        <w:bottom w:val="none" w:color="000000" w:sz="0" w:space="0"/>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1"/>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right"/>
      <w:rPr>
        <w:i/>
        <w:iCs/>
        <w:sz w:val="18"/>
      </w:rPr>
      <w:pBdr>
        <w:bottom w:val="none" w:color="auto" w:sz="0" w:space="0"/>
      </w:pBdr>
    </w:pPr>
    <w:r>
      <w:rPr>
        <w:i/>
        <w:iCs/>
        <w:sz w:val="18"/>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3">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
  </w:num>
  <w:num w:numId="2">
    <w:abstractNumId w:val="13"/>
  </w:num>
  <w:num w:numId="3">
    <w:abstractNumId w:val="12"/>
  </w:num>
  <w:num w:numId="4">
    <w:abstractNumId w:val="11"/>
  </w:num>
  <w:num w:numId="5">
    <w:abstractNumId w:val="6"/>
  </w:num>
  <w:num w:numId="6">
    <w:abstractNumId w:val="3"/>
  </w:num>
  <w:num w:numId="7">
    <w:abstractNumId w:val="0"/>
  </w:num>
  <w:num w:numId="8">
    <w:abstractNumId w:val="1"/>
  </w:num>
  <w:num w:numId="9">
    <w:abstractNumId w:val="9"/>
  </w:num>
  <w:num w:numId="10">
    <w:abstractNumId w:val="10"/>
  </w:num>
  <w:num w:numId="11">
    <w:abstractNumId w:val="4"/>
  </w:num>
  <w:num w:numId="12">
    <w:abstractNumId w:val="7"/>
  </w:num>
  <w:num w:numId="13">
    <w:abstractNumId w:val="5"/>
  </w:num>
  <w:num w:numId="14">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738"/>
    <w:link w:val="735"/>
    <w:uiPriority w:val="9"/>
    <w:rPr>
      <w:rFonts w:ascii="Arial" w:hAnsi="Arial" w:eastAsia="Arial" w:cs="Arial"/>
      <w:sz w:val="40"/>
      <w:szCs w:val="40"/>
    </w:rPr>
  </w:style>
  <w:style w:type="character" w:styleId="15">
    <w:name w:val="Heading 2 Char"/>
    <w:basedOn w:val="738"/>
    <w:link w:val="736"/>
    <w:uiPriority w:val="9"/>
    <w:rPr>
      <w:rFonts w:ascii="Arial" w:hAnsi="Arial" w:eastAsia="Arial" w:cs="Arial"/>
      <w:sz w:val="34"/>
    </w:rPr>
  </w:style>
  <w:style w:type="paragraph" w:styleId="16">
    <w:name w:val="Heading 3"/>
    <w:basedOn w:val="734"/>
    <w:next w:val="734"/>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738"/>
    <w:link w:val="16"/>
    <w:uiPriority w:val="9"/>
    <w:rPr>
      <w:rFonts w:ascii="Arial" w:hAnsi="Arial" w:eastAsia="Arial" w:cs="Arial"/>
      <w:sz w:val="30"/>
      <w:szCs w:val="30"/>
    </w:rPr>
  </w:style>
  <w:style w:type="character" w:styleId="19">
    <w:name w:val="Heading 4 Char"/>
    <w:basedOn w:val="738"/>
    <w:link w:val="737"/>
    <w:uiPriority w:val="9"/>
    <w:rPr>
      <w:rFonts w:ascii="Arial" w:hAnsi="Arial" w:eastAsia="Arial" w:cs="Arial"/>
      <w:b/>
      <w:bCs/>
      <w:sz w:val="26"/>
      <w:szCs w:val="26"/>
    </w:rPr>
  </w:style>
  <w:style w:type="paragraph" w:styleId="20">
    <w:name w:val="Heading 5"/>
    <w:basedOn w:val="734"/>
    <w:next w:val="734"/>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738"/>
    <w:link w:val="20"/>
    <w:uiPriority w:val="9"/>
    <w:rPr>
      <w:rFonts w:ascii="Arial" w:hAnsi="Arial" w:eastAsia="Arial" w:cs="Arial"/>
      <w:b/>
      <w:bCs/>
      <w:sz w:val="24"/>
      <w:szCs w:val="24"/>
    </w:rPr>
  </w:style>
  <w:style w:type="paragraph" w:styleId="22">
    <w:name w:val="Heading 6"/>
    <w:basedOn w:val="734"/>
    <w:next w:val="734"/>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738"/>
    <w:link w:val="22"/>
    <w:uiPriority w:val="9"/>
    <w:rPr>
      <w:rFonts w:ascii="Arial" w:hAnsi="Arial" w:eastAsia="Arial" w:cs="Arial"/>
      <w:b/>
      <w:bCs/>
      <w:sz w:val="22"/>
      <w:szCs w:val="22"/>
    </w:rPr>
  </w:style>
  <w:style w:type="paragraph" w:styleId="24">
    <w:name w:val="Heading 7"/>
    <w:basedOn w:val="734"/>
    <w:next w:val="734"/>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738"/>
    <w:link w:val="24"/>
    <w:uiPriority w:val="9"/>
    <w:rPr>
      <w:rFonts w:ascii="Arial" w:hAnsi="Arial" w:eastAsia="Arial" w:cs="Arial"/>
      <w:b/>
      <w:bCs/>
      <w:i/>
      <w:iCs/>
      <w:sz w:val="22"/>
      <w:szCs w:val="22"/>
    </w:rPr>
  </w:style>
  <w:style w:type="paragraph" w:styleId="26">
    <w:name w:val="Heading 8"/>
    <w:basedOn w:val="734"/>
    <w:next w:val="734"/>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738"/>
    <w:link w:val="26"/>
    <w:uiPriority w:val="9"/>
    <w:rPr>
      <w:rFonts w:ascii="Arial" w:hAnsi="Arial" w:eastAsia="Arial" w:cs="Arial"/>
      <w:i/>
      <w:iCs/>
      <w:sz w:val="22"/>
      <w:szCs w:val="22"/>
    </w:rPr>
  </w:style>
  <w:style w:type="paragraph" w:styleId="28">
    <w:name w:val="Heading 9"/>
    <w:basedOn w:val="734"/>
    <w:next w:val="734"/>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738"/>
    <w:link w:val="28"/>
    <w:uiPriority w:val="9"/>
    <w:rPr>
      <w:rFonts w:ascii="Arial" w:hAnsi="Arial" w:eastAsia="Arial" w:cs="Arial"/>
      <w:i/>
      <w:iCs/>
      <w:sz w:val="21"/>
      <w:szCs w:val="21"/>
    </w:rPr>
  </w:style>
  <w:style w:type="paragraph" w:styleId="30">
    <w:name w:val="List Paragraph"/>
    <w:basedOn w:val="734"/>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734"/>
    <w:next w:val="734"/>
    <w:link w:val="34"/>
    <w:uiPriority w:val="10"/>
    <w:qFormat/>
    <w:pPr>
      <w:contextualSpacing/>
      <w:spacing w:before="300" w:after="200"/>
    </w:pPr>
    <w:rPr>
      <w:sz w:val="48"/>
      <w:szCs w:val="48"/>
    </w:rPr>
  </w:style>
  <w:style w:type="character" w:styleId="34">
    <w:name w:val="Title Char"/>
    <w:basedOn w:val="738"/>
    <w:link w:val="33"/>
    <w:uiPriority w:val="10"/>
    <w:rPr>
      <w:sz w:val="48"/>
      <w:szCs w:val="48"/>
    </w:rPr>
  </w:style>
  <w:style w:type="paragraph" w:styleId="35">
    <w:name w:val="Subtitle"/>
    <w:basedOn w:val="734"/>
    <w:next w:val="734"/>
    <w:link w:val="36"/>
    <w:uiPriority w:val="11"/>
    <w:qFormat/>
    <w:pPr>
      <w:spacing w:before="200" w:after="200"/>
    </w:pPr>
    <w:rPr>
      <w:sz w:val="24"/>
      <w:szCs w:val="24"/>
    </w:rPr>
  </w:style>
  <w:style w:type="character" w:styleId="36">
    <w:name w:val="Subtitle Char"/>
    <w:basedOn w:val="738"/>
    <w:link w:val="35"/>
    <w:uiPriority w:val="11"/>
    <w:rPr>
      <w:sz w:val="24"/>
      <w:szCs w:val="24"/>
    </w:rPr>
  </w:style>
  <w:style w:type="paragraph" w:styleId="37">
    <w:name w:val="Quote"/>
    <w:basedOn w:val="734"/>
    <w:next w:val="734"/>
    <w:link w:val="38"/>
    <w:uiPriority w:val="29"/>
    <w:qFormat/>
    <w:pPr>
      <w:ind w:left="720" w:right="720"/>
    </w:pPr>
    <w:rPr>
      <w:i/>
    </w:rPr>
  </w:style>
  <w:style w:type="character" w:styleId="38">
    <w:name w:val="Quote Char"/>
    <w:link w:val="37"/>
    <w:uiPriority w:val="29"/>
    <w:rPr>
      <w:i/>
    </w:rPr>
  </w:style>
  <w:style w:type="paragraph" w:styleId="39">
    <w:name w:val="Intense Quote"/>
    <w:basedOn w:val="734"/>
    <w:next w:val="734"/>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character" w:styleId="42">
    <w:name w:val="Header Char"/>
    <w:basedOn w:val="738"/>
    <w:link w:val="741"/>
    <w:uiPriority w:val="99"/>
  </w:style>
  <w:style w:type="paragraph" w:styleId="43">
    <w:name w:val="Footer"/>
    <w:basedOn w:val="734"/>
    <w:link w:val="46"/>
    <w:uiPriority w:val="99"/>
    <w:unhideWhenUsed/>
    <w:pPr>
      <w:spacing w:after="0" w:line="240" w:lineRule="auto"/>
      <w:tabs>
        <w:tab w:val="center" w:pos="7143" w:leader="none"/>
        <w:tab w:val="right" w:pos="14287" w:leader="none"/>
      </w:tabs>
    </w:pPr>
  </w:style>
  <w:style w:type="character" w:styleId="44">
    <w:name w:val="Footer Char"/>
    <w:basedOn w:val="738"/>
    <w:link w:val="43"/>
    <w:uiPriority w:val="99"/>
  </w:style>
  <w:style w:type="paragraph" w:styleId="45">
    <w:name w:val="Caption"/>
    <w:basedOn w:val="734"/>
    <w:next w:val="734"/>
    <w:uiPriority w:val="35"/>
    <w:semiHidden/>
    <w:unhideWhenUsed/>
    <w:qFormat/>
    <w:pPr>
      <w:spacing w:line="276" w:lineRule="auto"/>
    </w:pPr>
    <w:rPr>
      <w:b/>
      <w:bCs/>
      <w:color w:val="4f81bd" w:themeColor="accent1"/>
      <w:sz w:val="18"/>
      <w:szCs w:val="18"/>
    </w:rPr>
  </w:style>
  <w:style w:type="character" w:styleId="46">
    <w:name w:val="Caption Char"/>
    <w:basedOn w:val="45"/>
    <w:link w:val="43"/>
    <w:uiPriority w:val="99"/>
  </w:style>
  <w:style w:type="table" w:styleId="48">
    <w:name w:val="Table Grid Light"/>
    <w:basedOn w:val="739"/>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739"/>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739"/>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73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73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73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739"/>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739"/>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739"/>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739"/>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739"/>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739"/>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739"/>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73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739"/>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3f4" w:themeFill="accent1" w:themeFillTint="34"/>
      </w:tcPr>
    </w:tblStylePr>
    <w:tblStylePr w:type="band1Vert">
      <w:rPr>
        <w:rFonts w:ascii="Arial" w:hAnsi="Arial"/>
        <w:color w:val="404040"/>
        <w:sz w:val="22"/>
      </w:rPr>
      <w:tcPr>
        <w:shd w:val="clear" w:color="ffffff" w:themeColor="accent1" w:themeTint="34" w:fill="d9e3f4"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739"/>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739"/>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739"/>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739"/>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739"/>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73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739"/>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3f4" w:themeFill="accent1" w:themeFillTint="34"/>
      </w:tcPr>
    </w:tblStylePr>
    <w:tblStylePr w:type="band1Vert">
      <w:rPr>
        <w:rFonts w:ascii="Arial" w:hAnsi="Arial"/>
        <w:color w:val="404040"/>
        <w:sz w:val="22"/>
      </w:rPr>
      <w:tcPr>
        <w:shd w:val="clear" w:color="ffffff" w:themeColor="accent1" w:themeTint="34" w:fill="d9e3f4"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739"/>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739"/>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739"/>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739"/>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739"/>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739"/>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739"/>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be4f4" w:themeFill="accent1" w:themeFillTint="32"/>
      </w:tcPr>
    </w:tblStylePr>
    <w:tblStylePr w:type="band1Vert">
      <w:rPr>
        <w:rFonts w:ascii="Arial" w:hAnsi="Arial"/>
        <w:color w:val="404040"/>
        <w:sz w:val="22"/>
      </w:rPr>
      <w:tcPr>
        <w:shd w:val="clear" w:color="ffffff" w:themeColor="accent1" w:themeTint="32" w:fill="dbe4f4"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681cf"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739"/>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383"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739"/>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f3b802"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739"/>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acd78c"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739"/>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30c0b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739"/>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e54c5e"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73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73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9e3f4" w:themeFill="accent1" w:themeFillTint="34"/>
    </w:tblPr>
    <w:tblStylePr w:type="band1Horz">
      <w:tcPr>
        <w:shd w:val="clear" w:color="ffffff" w:themeColor="accent1" w:themeTint="75" w:fill="aac0e7" w:themeFill="accent1" w:themeFillTint="75"/>
      </w:tcPr>
    </w:tblStylePr>
    <w:tblStylePr w:type="band1Vert">
      <w:tcPr>
        <w:shd w:val="clear" w:color="ffffff" w:themeColor="accent1" w:themeTint="75" w:fill="aac0e7" w:themeFill="accent1" w:themeFillTint="75"/>
      </w:tcPr>
    </w:tblStylePr>
    <w:tblStylePr w:type="firstCol">
      <w:rPr>
        <w:rFonts w:ascii="Arial" w:hAnsi="Arial"/>
        <w:b/>
        <w:color w:val="ffffff"/>
        <w:sz w:val="22"/>
      </w:rPr>
      <w:tcPr>
        <w:shd w:val="clear" w:color="ffffff" w:themeColor="accent1" w:fill="4874cb" w:themeFill="accent1"/>
      </w:tcPr>
    </w:tblStylePr>
    <w:tblStylePr w:type="firstRow">
      <w:rPr>
        <w:rFonts w:ascii="Arial" w:hAnsi="Arial"/>
        <w:b/>
        <w:color w:val="ffffff"/>
        <w:sz w:val="22"/>
      </w:rPr>
      <w:tcPr>
        <w:shd w:val="clear" w:color="ffffff" w:themeColor="accent1" w:fill="4874cb" w:themeFill="accent1"/>
      </w:tcPr>
    </w:tblStylePr>
    <w:tblStylePr w:type="lastCol">
      <w:rPr>
        <w:rFonts w:ascii="Arial" w:hAnsi="Arial"/>
        <w:b/>
        <w:color w:val="ffffff"/>
        <w:sz w:val="22"/>
      </w:rPr>
      <w:tcPr>
        <w:shd w:val="clear" w:color="ffffff" w:themeColor="accent1" w:fill="4874cb" w:themeFill="accent1"/>
      </w:tcPr>
    </w:tblStylePr>
    <w:tblStylePr w:type="lastRow">
      <w:rPr>
        <w:rFonts w:ascii="Arial" w:hAnsi="Arial"/>
        <w:b/>
        <w:color w:val="ffffff"/>
        <w:sz w:val="22"/>
      </w:rPr>
      <w:tcPr>
        <w:shd w:val="clear" w:color="ffffff" w:themeColor="accent1" w:fill="4874cb" w:themeFill="accent1"/>
        <w:tcBorders>
          <w:top w:val="single" w:color="000000" w:themeColor="light1" w:sz="4" w:space="0"/>
        </w:tcBorders>
      </w:tcPr>
    </w:tblStylePr>
  </w:style>
  <w:style w:type="table" w:styleId="84">
    <w:name w:val="Grid Table 5 Dark - Accent 2"/>
    <w:basedOn w:val="73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6d6" w:themeFill="accent2" w:themeFillTint="32"/>
    </w:tblPr>
    <w:tblStylePr w:type="band1Horz">
      <w:tcPr>
        <w:shd w:val="clear" w:color="ffffff" w:themeColor="accent2" w:themeTint="75" w:fill="f7c49e" w:themeFill="accent2" w:themeFillTint="75"/>
      </w:tcPr>
    </w:tblStylePr>
    <w:tblStylePr w:type="band1Vert">
      <w:tcPr>
        <w:shd w:val="clear" w:color="ffffff" w:themeColor="accent2" w:themeTint="75" w:fill="f7c49e" w:themeFill="accent2" w:themeFillTint="75"/>
      </w:tcPr>
    </w:tblStylePr>
    <w:tblStylePr w:type="firstCol">
      <w:rPr>
        <w:rFonts w:ascii="Arial" w:hAnsi="Arial"/>
        <w:b/>
        <w:color w:val="ffffff"/>
        <w:sz w:val="22"/>
      </w:rPr>
      <w:tcPr>
        <w:shd w:val="clear" w:color="ffffff" w:themeColor="accent2" w:fill="ee822f" w:themeFill="accent2"/>
      </w:tcPr>
    </w:tblStylePr>
    <w:tblStylePr w:type="firstRow">
      <w:rPr>
        <w:rFonts w:ascii="Arial" w:hAnsi="Arial"/>
        <w:b/>
        <w:color w:val="ffffff"/>
        <w:sz w:val="22"/>
      </w:rPr>
      <w:tcPr>
        <w:shd w:val="clear" w:color="ffffff" w:themeColor="accent2" w:fill="ee822f" w:themeFill="accent2"/>
      </w:tcPr>
    </w:tblStylePr>
    <w:tblStylePr w:type="lastCol">
      <w:rPr>
        <w:rFonts w:ascii="Arial" w:hAnsi="Arial"/>
        <w:b/>
        <w:color w:val="ffffff"/>
        <w:sz w:val="22"/>
      </w:rPr>
      <w:tcPr>
        <w:shd w:val="clear" w:color="ffffff" w:themeColor="accent2" w:fill="ee822f" w:themeFill="accent2"/>
      </w:tcPr>
    </w:tblStylePr>
    <w:tblStylePr w:type="lastRow">
      <w:rPr>
        <w:rFonts w:ascii="Arial" w:hAnsi="Arial"/>
        <w:b/>
        <w:color w:val="ffffff"/>
        <w:sz w:val="22"/>
      </w:rPr>
      <w:tcPr>
        <w:shd w:val="clear" w:color="ffffff" w:themeColor="accent2" w:fill="ee822f" w:themeFill="accent2"/>
        <w:tcBorders>
          <w:top w:val="single" w:color="000000" w:themeColor="light1" w:sz="4" w:space="0"/>
        </w:tcBorders>
      </w:tcPr>
    </w:tblStylePr>
  </w:style>
  <w:style w:type="table" w:styleId="85">
    <w:name w:val="Grid Table 5 Dark - Accent 3"/>
    <w:basedOn w:val="73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fef1c9" w:themeFill="accent3" w:themeFillTint="34"/>
    </w:tblPr>
    <w:tblStylePr w:type="band1Horz">
      <w:tcPr>
        <w:shd w:val="clear" w:color="ffffff" w:themeColor="accent3" w:themeTint="75" w:fill="fde086" w:themeFill="accent3" w:themeFillTint="75"/>
      </w:tcPr>
    </w:tblStylePr>
    <w:tblStylePr w:type="band1Vert">
      <w:tcPr>
        <w:shd w:val="clear" w:color="ffffff" w:themeColor="accent3" w:themeTint="75" w:fill="fde086" w:themeFill="accent3" w:themeFillTint="75"/>
      </w:tcPr>
    </w:tblStylePr>
    <w:tblStylePr w:type="firstCol">
      <w:rPr>
        <w:rFonts w:ascii="Arial" w:hAnsi="Arial"/>
        <w:b/>
        <w:color w:val="ffffff"/>
        <w:sz w:val="22"/>
      </w:rPr>
      <w:tcPr>
        <w:shd w:val="clear" w:color="ffffff" w:themeColor="accent3" w:fill="f2ba02" w:themeFill="accent3"/>
      </w:tcPr>
    </w:tblStylePr>
    <w:tblStylePr w:type="firstRow">
      <w:rPr>
        <w:rFonts w:ascii="Arial" w:hAnsi="Arial"/>
        <w:b/>
        <w:color w:val="ffffff"/>
        <w:sz w:val="22"/>
      </w:rPr>
      <w:tcPr>
        <w:shd w:val="clear" w:color="ffffff" w:themeColor="accent3" w:fill="f2ba02" w:themeFill="accent3"/>
      </w:tcPr>
    </w:tblStylePr>
    <w:tblStylePr w:type="lastCol">
      <w:rPr>
        <w:rFonts w:ascii="Arial" w:hAnsi="Arial"/>
        <w:b/>
        <w:color w:val="ffffff"/>
        <w:sz w:val="22"/>
      </w:rPr>
      <w:tcPr>
        <w:shd w:val="clear" w:color="ffffff" w:themeColor="accent3" w:fill="f2ba02" w:themeFill="accent3"/>
      </w:tcPr>
    </w:tblStylePr>
    <w:tblStylePr w:type="lastRow">
      <w:rPr>
        <w:rFonts w:ascii="Arial" w:hAnsi="Arial"/>
        <w:b/>
        <w:color w:val="ffffff"/>
        <w:sz w:val="22"/>
      </w:rPr>
      <w:tcPr>
        <w:shd w:val="clear" w:color="ffffff" w:themeColor="accent3" w:fill="f2ba02" w:themeFill="accent3"/>
        <w:tcBorders>
          <w:top w:val="single" w:color="000000" w:themeColor="light1" w:sz="4" w:space="0"/>
        </w:tcBorders>
      </w:tcPr>
    </w:tblStylePr>
  </w:style>
  <w:style w:type="table" w:styleId="86">
    <w:name w:val="Grid Table 5 Dark- Accent 4"/>
    <w:basedOn w:val="73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3f1d8" w:themeFill="accent4" w:themeFillTint="34"/>
    </w:tblPr>
    <w:tblStylePr w:type="band1Horz">
      <w:tcPr>
        <w:shd w:val="clear" w:color="ffffff" w:themeColor="accent4" w:themeTint="75" w:fill="bfe0a7" w:themeFill="accent4" w:themeFillTint="75"/>
      </w:tcPr>
    </w:tblStylePr>
    <w:tblStylePr w:type="band1Vert">
      <w:tcPr>
        <w:shd w:val="clear" w:color="ffffff" w:themeColor="accent4" w:themeTint="75" w:fill="bfe0a7" w:themeFill="accent4" w:themeFillTint="75"/>
      </w:tcPr>
    </w:tblStylePr>
    <w:tblStylePr w:type="firstCol">
      <w:rPr>
        <w:rFonts w:ascii="Arial" w:hAnsi="Arial"/>
        <w:b/>
        <w:color w:val="ffffff"/>
        <w:sz w:val="22"/>
      </w:rPr>
      <w:tcPr>
        <w:shd w:val="clear" w:color="ffffff" w:themeColor="accent4" w:fill="75bd42" w:themeFill="accent4"/>
      </w:tcPr>
    </w:tblStylePr>
    <w:tblStylePr w:type="firstRow">
      <w:rPr>
        <w:rFonts w:ascii="Arial" w:hAnsi="Arial"/>
        <w:b/>
        <w:color w:val="ffffff"/>
        <w:sz w:val="22"/>
      </w:rPr>
      <w:tcPr>
        <w:shd w:val="clear" w:color="ffffff" w:themeColor="accent4" w:fill="75bd42" w:themeFill="accent4"/>
      </w:tcPr>
    </w:tblStylePr>
    <w:tblStylePr w:type="lastCol">
      <w:rPr>
        <w:rFonts w:ascii="Arial" w:hAnsi="Arial"/>
        <w:b/>
        <w:color w:val="ffffff"/>
        <w:sz w:val="22"/>
      </w:rPr>
      <w:tcPr>
        <w:shd w:val="clear" w:color="ffffff" w:themeColor="accent4" w:fill="75bd42" w:themeFill="accent4"/>
      </w:tcPr>
    </w:tblStylePr>
    <w:tblStylePr w:type="lastRow">
      <w:rPr>
        <w:rFonts w:ascii="Arial" w:hAnsi="Arial"/>
        <w:b/>
        <w:color w:val="ffffff"/>
        <w:sz w:val="22"/>
      </w:rPr>
      <w:tcPr>
        <w:shd w:val="clear" w:color="ffffff" w:themeColor="accent4" w:fill="75bd42" w:themeFill="accent4"/>
        <w:tcBorders>
          <w:top w:val="single" w:color="000000" w:themeColor="light1" w:sz="4" w:space="0"/>
        </w:tcBorders>
      </w:tcPr>
    </w:tblStylePr>
  </w:style>
  <w:style w:type="table" w:styleId="87">
    <w:name w:val="Grid Table 5 Dark - Accent 5"/>
    <w:basedOn w:val="73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2f3f0" w:themeFill="accent5" w:themeFillTint="34"/>
    </w:tblPr>
    <w:tblStylePr w:type="band1Horz">
      <w:tcPr>
        <w:shd w:val="clear" w:color="ffffff" w:themeColor="accent5" w:themeTint="75" w:fill="9be6de" w:themeFill="accent5" w:themeFillTint="75"/>
      </w:tcPr>
    </w:tblStylePr>
    <w:tblStylePr w:type="band1Vert">
      <w:tcPr>
        <w:shd w:val="clear" w:color="ffffff" w:themeColor="accent5" w:themeTint="75" w:fill="9be6de" w:themeFill="accent5" w:themeFillTint="75"/>
      </w:tcPr>
    </w:tblStylePr>
    <w:tblStylePr w:type="firstCol">
      <w:rPr>
        <w:rFonts w:ascii="Arial" w:hAnsi="Arial"/>
        <w:b/>
        <w:color w:val="ffffff"/>
        <w:sz w:val="22"/>
      </w:rPr>
      <w:tcPr>
        <w:shd w:val="clear" w:color="ffffff" w:themeColor="accent5" w:fill="30c0b4" w:themeFill="accent5"/>
      </w:tcPr>
    </w:tblStylePr>
    <w:tblStylePr w:type="firstRow">
      <w:rPr>
        <w:rFonts w:ascii="Arial" w:hAnsi="Arial"/>
        <w:b/>
        <w:color w:val="ffffff"/>
        <w:sz w:val="22"/>
      </w:rPr>
      <w:tcPr>
        <w:shd w:val="clear" w:color="ffffff" w:themeColor="accent5" w:fill="30c0b4" w:themeFill="accent5"/>
      </w:tcPr>
    </w:tblStylePr>
    <w:tblStylePr w:type="lastCol">
      <w:rPr>
        <w:rFonts w:ascii="Arial" w:hAnsi="Arial"/>
        <w:b/>
        <w:color w:val="ffffff"/>
        <w:sz w:val="22"/>
      </w:rPr>
      <w:tcPr>
        <w:shd w:val="clear" w:color="ffffff" w:themeColor="accent5" w:fill="30c0b4" w:themeFill="accent5"/>
      </w:tcPr>
    </w:tblStylePr>
    <w:tblStylePr w:type="lastRow">
      <w:rPr>
        <w:rFonts w:ascii="Arial" w:hAnsi="Arial"/>
        <w:b/>
        <w:color w:val="ffffff"/>
        <w:sz w:val="22"/>
      </w:rPr>
      <w:tcPr>
        <w:shd w:val="clear" w:color="ffffff" w:themeColor="accent5" w:fill="30c0b4" w:themeFill="accent5"/>
        <w:tcBorders>
          <w:top w:val="single" w:color="000000" w:themeColor="light1" w:sz="4" w:space="0"/>
        </w:tcBorders>
      </w:tcPr>
    </w:tblStylePr>
  </w:style>
  <w:style w:type="table" w:styleId="88">
    <w:name w:val="Grid Table 5 Dark - Accent 6"/>
    <w:basedOn w:val="73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9dade" w:themeFill="accent6" w:themeFillTint="34"/>
    </w:tblPr>
    <w:tblStylePr w:type="band1Horz">
      <w:tcPr>
        <w:shd w:val="clear" w:color="ffffff" w:themeColor="accent6" w:themeTint="75" w:fill="f3acb5" w:themeFill="accent6" w:themeFillTint="75"/>
      </w:tcPr>
    </w:tblStylePr>
    <w:tblStylePr w:type="band1Vert">
      <w:tcPr>
        <w:shd w:val="clear" w:color="ffffff" w:themeColor="accent6" w:themeTint="75" w:fill="f3acb5" w:themeFill="accent6" w:themeFillTint="75"/>
      </w:tcPr>
    </w:tblStylePr>
    <w:tblStylePr w:type="firstCol">
      <w:rPr>
        <w:rFonts w:ascii="Arial" w:hAnsi="Arial"/>
        <w:b/>
        <w:color w:val="ffffff"/>
        <w:sz w:val="22"/>
      </w:rPr>
      <w:tcPr>
        <w:shd w:val="clear" w:color="ffffff" w:themeColor="accent6" w:fill="e54c5e" w:themeFill="accent6"/>
      </w:tcPr>
    </w:tblStylePr>
    <w:tblStylePr w:type="firstRow">
      <w:rPr>
        <w:rFonts w:ascii="Arial" w:hAnsi="Arial"/>
        <w:b/>
        <w:color w:val="ffffff"/>
        <w:sz w:val="22"/>
      </w:rPr>
      <w:tcPr>
        <w:shd w:val="clear" w:color="ffffff" w:themeColor="accent6" w:fill="e54c5e" w:themeFill="accent6"/>
      </w:tcPr>
    </w:tblStylePr>
    <w:tblStylePr w:type="lastCol">
      <w:rPr>
        <w:rFonts w:ascii="Arial" w:hAnsi="Arial"/>
        <w:b/>
        <w:color w:val="ffffff"/>
        <w:sz w:val="22"/>
      </w:rPr>
      <w:tcPr>
        <w:shd w:val="clear" w:color="ffffff" w:themeColor="accent6" w:fill="e54c5e" w:themeFill="accent6"/>
      </w:tcPr>
    </w:tblStylePr>
    <w:tblStylePr w:type="lastRow">
      <w:rPr>
        <w:rFonts w:ascii="Arial" w:hAnsi="Arial"/>
        <w:b/>
        <w:color w:val="ffffff"/>
        <w:sz w:val="22"/>
      </w:rPr>
      <w:tcPr>
        <w:shd w:val="clear" w:color="ffffff" w:themeColor="accent6" w:fill="e54c5e" w:themeFill="accent6"/>
        <w:tcBorders>
          <w:top w:val="single" w:color="000000" w:themeColor="light1" w:sz="4" w:space="0"/>
        </w:tcBorders>
      </w:tcPr>
    </w:tblStylePr>
  </w:style>
  <w:style w:type="table" w:styleId="89">
    <w:name w:val="Grid Table 6 Colorful"/>
    <w:basedOn w:val="739"/>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739"/>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9e3f4" w:themeFill="accent1" w:themeFillTint="34"/>
      </w:tcPr>
    </w:tblStylePr>
    <w:tblStylePr w:type="band1Vert">
      <w:tcPr>
        <w:shd w:val="clear" w:color="ffffff" w:themeColor="accent1" w:themeTint="34" w:fill="d9e3f4" w:themeFill="accent1" w:themeFillTint="34"/>
      </w:tcPr>
    </w:tblStylePr>
    <w:tblStylePr w:type="band2Horz">
      <w:rPr>
        <w:rFonts w:ascii="Arial" w:hAnsi="Arial"/>
        <w:color w:val="404040" w:themeColor="accent1" w:themeTint="80" w:themeShade="95"/>
        <w:sz w:val="22"/>
      </w:rPr>
    </w:tblStylePr>
    <w:tblStylePr w:type="firstCol">
      <w:rPr>
        <w:b/>
        <w:color w:val="3362b0" w:themeColor="accent1" w:themeTint="80" w:themeShade="95"/>
      </w:rPr>
    </w:tblStylePr>
    <w:tblStylePr w:type="firstRow">
      <w:rPr>
        <w:b/>
        <w:color w:val="3362b0" w:themeColor="accent1" w:themeTint="80" w:themeShade="95"/>
      </w:rPr>
      <w:tcPr>
        <w:tcBorders>
          <w:bottom w:val="single" w:color="000000" w:themeColor="accent1" w:themeTint="80" w:sz="12" w:space="0"/>
        </w:tcBorders>
      </w:tcPr>
    </w:tblStylePr>
    <w:tblStylePr w:type="lastCol">
      <w:rPr>
        <w:b/>
        <w:color w:val="3362b0" w:themeColor="accent1" w:themeTint="80" w:themeShade="95"/>
      </w:rPr>
    </w:tblStylePr>
    <w:tblStylePr w:type="lastRow">
      <w:rPr>
        <w:b/>
        <w:color w:val="3362b0"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739"/>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6d6" w:themeFill="accent2" w:themeFillTint="32"/>
      </w:tcPr>
    </w:tblStylePr>
    <w:tblStylePr w:type="band1Vert">
      <w:tcPr>
        <w:shd w:val="clear" w:color="ffffff" w:themeColor="accent2" w:themeTint="32" w:fill="fbe6d6" w:themeFill="accent2" w:themeFillTint="32"/>
      </w:tcPr>
    </w:tblStylePr>
    <w:tblStylePr w:type="band2Horz">
      <w:rPr>
        <w:rFonts w:ascii="Arial" w:hAnsi="Arial"/>
        <w:color w:val="404040" w:themeColor="accent2" w:themeTint="97" w:themeShade="95"/>
        <w:sz w:val="22"/>
      </w:rPr>
    </w:tblStylePr>
    <w:tblStylePr w:type="firstCol">
      <w:rPr>
        <w:b/>
        <w:color w:val="c85f11" w:themeColor="accent2" w:themeTint="97" w:themeShade="95"/>
      </w:rPr>
    </w:tblStylePr>
    <w:tblStylePr w:type="firstRow">
      <w:rPr>
        <w:b/>
        <w:color w:val="c85f11" w:themeColor="accent2" w:themeTint="97" w:themeShade="95"/>
      </w:rPr>
      <w:tcPr>
        <w:tcBorders>
          <w:bottom w:val="single" w:color="000000" w:themeColor="accent2" w:themeTint="97" w:sz="12" w:space="0"/>
        </w:tcBorders>
      </w:tcPr>
    </w:tblStylePr>
    <w:tblStylePr w:type="lastCol">
      <w:rPr>
        <w:b/>
        <w:color w:val="c85f11" w:themeColor="accent2" w:themeTint="97" w:themeShade="95"/>
      </w:rPr>
    </w:tblStylePr>
    <w:tblStylePr w:type="lastRow">
      <w:rPr>
        <w:b/>
        <w:color w:val="c85f11"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739"/>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fef1c9" w:themeFill="accent3" w:themeFillTint="34"/>
      </w:tcPr>
    </w:tblStylePr>
    <w:tblStylePr w:type="band1Vert">
      <w:tcPr>
        <w:shd w:val="clear" w:color="ffffff" w:themeColor="accent3" w:themeTint="34" w:fill="fef1c9" w:themeFill="accent3" w:themeFillTint="34"/>
      </w:tcPr>
    </w:tblStylePr>
    <w:tblStylePr w:type="band2Horz">
      <w:rPr>
        <w:rFonts w:ascii="Arial" w:hAnsi="Arial"/>
        <w:color w:val="404040" w:themeColor="accent3" w:themeTint="FE" w:themeShade="95"/>
        <w:sz w:val="22"/>
      </w:rPr>
    </w:tblStylePr>
    <w:tblStylePr w:type="firstCol">
      <w:rPr>
        <w:b/>
        <w:color w:val="8c6a01" w:themeColor="accent3" w:themeTint="FE" w:themeShade="95"/>
      </w:rPr>
    </w:tblStylePr>
    <w:tblStylePr w:type="firstRow">
      <w:rPr>
        <w:b/>
        <w:color w:val="8c6a01" w:themeColor="accent3" w:themeTint="FE" w:themeShade="95"/>
      </w:rPr>
      <w:tcPr>
        <w:tcBorders>
          <w:bottom w:val="single" w:color="000000" w:themeColor="accent3" w:themeTint="FE" w:sz="12" w:space="0"/>
        </w:tcBorders>
      </w:tcPr>
    </w:tblStylePr>
    <w:tblStylePr w:type="lastCol">
      <w:rPr>
        <w:b/>
        <w:color w:val="8c6a01" w:themeColor="accent3" w:themeTint="FE" w:themeShade="95"/>
      </w:rPr>
    </w:tblStylePr>
    <w:tblStylePr w:type="lastRow">
      <w:rPr>
        <w:b/>
        <w:color w:val="8c6a01"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739"/>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3f1d8" w:themeFill="accent4" w:themeFillTint="34"/>
      </w:tcPr>
    </w:tblStylePr>
    <w:tblStylePr w:type="band1Vert">
      <w:tcPr>
        <w:shd w:val="clear" w:color="ffffff" w:themeColor="accent4" w:themeTint="34" w:fill="e3f1d8" w:themeFill="accent4" w:themeFillTint="34"/>
      </w:tcPr>
    </w:tblStylePr>
    <w:tblStylePr w:type="band2Horz">
      <w:rPr>
        <w:rFonts w:ascii="Arial" w:hAnsi="Arial"/>
        <w:color w:val="404040" w:themeColor="accent4" w:themeTint="9A" w:themeShade="95"/>
        <w:sz w:val="22"/>
      </w:rPr>
    </w:tblStylePr>
    <w:tblStylePr w:type="firstCol">
      <w:rPr>
        <w:b/>
        <w:color w:val="619835" w:themeColor="accent4" w:themeTint="9A" w:themeShade="95"/>
      </w:rPr>
    </w:tblStylePr>
    <w:tblStylePr w:type="firstRow">
      <w:rPr>
        <w:b/>
        <w:color w:val="619835" w:themeColor="accent4" w:themeTint="9A" w:themeShade="95"/>
      </w:rPr>
      <w:tcPr>
        <w:tcBorders>
          <w:bottom w:val="single" w:color="000000" w:themeColor="accent4" w:themeTint="9A" w:sz="12" w:space="0"/>
        </w:tcBorders>
      </w:tcPr>
    </w:tblStylePr>
    <w:tblStylePr w:type="lastCol">
      <w:rPr>
        <w:b/>
        <w:color w:val="619835" w:themeColor="accent4" w:themeTint="9A" w:themeShade="95"/>
      </w:rPr>
    </w:tblStylePr>
    <w:tblStylePr w:type="lastRow">
      <w:rPr>
        <w:b/>
        <w:color w:val="619835"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739"/>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2f3f0" w:themeFill="accent5" w:themeFillTint="34"/>
      </w:tcPr>
    </w:tblStylePr>
    <w:tblStylePr w:type="band1Vert">
      <w:tcPr>
        <w:shd w:val="clear" w:color="ffffff" w:themeColor="accent5" w:themeTint="34" w:fill="d2f3f0" w:themeFill="accent5" w:themeFillTint="34"/>
      </w:tcPr>
    </w:tblStylePr>
    <w:tblStylePr w:type="band2Horz">
      <w:rPr>
        <w:rFonts w:ascii="Arial" w:hAnsi="Arial"/>
        <w:color w:val="404040" w:themeColor="accent5" w:themeShade="95"/>
        <w:sz w:val="22"/>
      </w:rPr>
    </w:tblStylePr>
    <w:tblStylePr w:type="firstCol">
      <w:rPr>
        <w:b/>
        <w:color w:val="1c7067" w:themeColor="accent5" w:themeShade="95"/>
      </w:rPr>
    </w:tblStylePr>
    <w:tblStylePr w:type="firstRow">
      <w:rPr>
        <w:b/>
        <w:color w:val="1c7067" w:themeColor="accent5" w:themeShade="95"/>
      </w:rPr>
      <w:tcPr>
        <w:tcBorders>
          <w:bottom w:val="single" w:color="000000" w:themeColor="accent5" w:sz="12" w:space="0"/>
        </w:tcBorders>
      </w:tcPr>
    </w:tblStylePr>
    <w:tblStylePr w:type="lastCol">
      <w:rPr>
        <w:b/>
        <w:color w:val="1c7067" w:themeColor="accent5" w:themeShade="95"/>
      </w:rPr>
    </w:tblStylePr>
    <w:tblStylePr w:type="lastRow">
      <w:rPr>
        <w:b/>
        <w:color w:val="1c706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739"/>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9dade" w:themeFill="accent6" w:themeFillTint="34"/>
      </w:tcPr>
    </w:tblStylePr>
    <w:tblStylePr w:type="band1Vert">
      <w:tcPr>
        <w:shd w:val="clear" w:color="ffffff" w:themeColor="accent6" w:themeTint="34" w:fill="f9dade" w:themeFill="accent6" w:themeFillTint="34"/>
      </w:tcPr>
    </w:tblStylePr>
    <w:tblStylePr w:type="band2Horz">
      <w:rPr>
        <w:rFonts w:ascii="Arial" w:hAnsi="Arial"/>
        <w:color w:val="404040" w:themeColor="accent5" w:themeShade="95"/>
        <w:sz w:val="22"/>
      </w:rPr>
    </w:tblStylePr>
    <w:tblStylePr w:type="firstCol">
      <w:rPr>
        <w:b/>
        <w:color w:val="1c7067" w:themeColor="accent5" w:themeShade="95"/>
      </w:rPr>
    </w:tblStylePr>
    <w:tblStylePr w:type="firstRow">
      <w:rPr>
        <w:b/>
        <w:color w:val="1c7067" w:themeColor="accent5" w:themeShade="95"/>
      </w:rPr>
      <w:tcPr>
        <w:tcBorders>
          <w:bottom w:val="single" w:color="000000" w:themeColor="accent6" w:sz="12" w:space="0"/>
        </w:tcBorders>
      </w:tcPr>
    </w:tblStylePr>
    <w:tblStylePr w:type="lastCol">
      <w:rPr>
        <w:b/>
        <w:color w:val="1c7067" w:themeColor="accent5" w:themeShade="95"/>
      </w:rPr>
    </w:tblStylePr>
    <w:tblStylePr w:type="lastRow">
      <w:rPr>
        <w:b/>
        <w:color w:val="1c7067" w:themeColor="accent5" w:themeShade="95"/>
      </w:rPr>
    </w:tblStylePr>
    <w:tblStylePr w:type="wholeTable">
      <w:rPr>
        <w:rFonts w:ascii="Arial" w:hAnsi="Arial"/>
        <w:color w:val="404040" w:themeColor="accent5" w:themeShade="95"/>
        <w:sz w:val="22"/>
      </w:rPr>
    </w:tblStylePr>
  </w:style>
  <w:style w:type="table" w:styleId="96">
    <w:name w:val="Grid Table 7 Colorful"/>
    <w:basedOn w:val="739"/>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739"/>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362b0" w:themeColor="accent1" w:themeTint="80" w:themeShade="95"/>
        <w:sz w:val="22"/>
      </w:rPr>
      <w:tcPr>
        <w:shd w:val="clear" w:color="ffffff" w:themeColor="accent1" w:themeTint="34" w:fill="d9e3f4" w:themeFill="accent1" w:themeFillTint="34"/>
      </w:tcPr>
    </w:tblStylePr>
    <w:tblStylePr w:type="band1Vert">
      <w:tcPr>
        <w:shd w:val="clear" w:color="ffffff" w:themeColor="accent1" w:themeTint="34" w:fill="d9e3f4" w:themeFill="accent1" w:themeFillTint="34"/>
      </w:tcPr>
    </w:tblStylePr>
    <w:tblStylePr w:type="band2Horz">
      <w:rPr>
        <w:rFonts w:ascii="Arial" w:hAnsi="Arial"/>
        <w:color w:val="3362b0" w:themeColor="accent1" w:themeTint="80" w:themeShade="95"/>
        <w:sz w:val="22"/>
      </w:rPr>
    </w:tblStylePr>
    <w:tblStylePr w:type="firstCol">
      <w:rPr>
        <w:rFonts w:ascii="Arial" w:hAnsi="Arial"/>
        <w:i/>
        <w:color w:val="3362b0"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362b0"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362b0"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362b0"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739"/>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85f11" w:themeColor="accent2" w:themeTint="97" w:themeShade="95"/>
        <w:sz w:val="22"/>
      </w:rPr>
      <w:tcPr>
        <w:shd w:val="clear" w:color="ffffff" w:themeColor="accent2" w:themeTint="32" w:fill="fbe6d6" w:themeFill="accent2" w:themeFillTint="32"/>
      </w:tcPr>
    </w:tblStylePr>
    <w:tblStylePr w:type="band1Vert">
      <w:tcPr>
        <w:shd w:val="clear" w:color="ffffff" w:themeColor="accent2" w:themeTint="32" w:fill="fbe6d6" w:themeFill="accent2" w:themeFillTint="32"/>
      </w:tcPr>
    </w:tblStylePr>
    <w:tblStylePr w:type="band2Horz">
      <w:rPr>
        <w:rFonts w:ascii="Arial" w:hAnsi="Arial"/>
        <w:color w:val="c85f11" w:themeColor="accent2" w:themeTint="97" w:themeShade="95"/>
        <w:sz w:val="22"/>
      </w:rPr>
    </w:tblStylePr>
    <w:tblStylePr w:type="firstCol">
      <w:rPr>
        <w:rFonts w:ascii="Arial" w:hAnsi="Arial"/>
        <w:i/>
        <w:color w:val="c85f11"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c85f11"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85f11"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c85f11"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739"/>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8c6a01" w:themeColor="accent3" w:themeTint="FE" w:themeShade="95"/>
        <w:sz w:val="22"/>
      </w:rPr>
      <w:tcPr>
        <w:shd w:val="clear" w:color="ffffff" w:themeColor="accent3" w:themeTint="34" w:fill="fef1c9" w:themeFill="accent3" w:themeFillTint="34"/>
      </w:tcPr>
    </w:tblStylePr>
    <w:tblStylePr w:type="band1Vert">
      <w:tcPr>
        <w:shd w:val="clear" w:color="ffffff" w:themeColor="accent3" w:themeTint="34" w:fill="fef1c9" w:themeFill="accent3" w:themeFillTint="34"/>
      </w:tcPr>
    </w:tblStylePr>
    <w:tblStylePr w:type="band2Horz">
      <w:rPr>
        <w:rFonts w:ascii="Arial" w:hAnsi="Arial"/>
        <w:color w:val="8c6a01" w:themeColor="accent3" w:themeTint="FE" w:themeShade="95"/>
        <w:sz w:val="22"/>
      </w:rPr>
    </w:tblStylePr>
    <w:tblStylePr w:type="firstCol">
      <w:rPr>
        <w:rFonts w:ascii="Arial" w:hAnsi="Arial"/>
        <w:i/>
        <w:color w:val="8c6a01"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8c6a01"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8c6a01"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8c6a01"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739"/>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19835" w:themeColor="accent4" w:themeTint="9A" w:themeShade="95"/>
        <w:sz w:val="22"/>
      </w:rPr>
      <w:tcPr>
        <w:shd w:val="clear" w:color="ffffff" w:themeColor="accent4" w:themeTint="34" w:fill="e3f1d8" w:themeFill="accent4" w:themeFillTint="34"/>
      </w:tcPr>
    </w:tblStylePr>
    <w:tblStylePr w:type="band1Vert">
      <w:tcPr>
        <w:shd w:val="clear" w:color="ffffff" w:themeColor="accent4" w:themeTint="34" w:fill="e3f1d8" w:themeFill="accent4" w:themeFillTint="34"/>
      </w:tcPr>
    </w:tblStylePr>
    <w:tblStylePr w:type="band2Horz">
      <w:rPr>
        <w:rFonts w:ascii="Arial" w:hAnsi="Arial"/>
        <w:color w:val="619835" w:themeColor="accent4" w:themeTint="9A" w:themeShade="95"/>
        <w:sz w:val="22"/>
      </w:rPr>
    </w:tblStylePr>
    <w:tblStylePr w:type="firstCol">
      <w:rPr>
        <w:rFonts w:ascii="Arial" w:hAnsi="Arial"/>
        <w:i/>
        <w:color w:val="619835"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19835"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19835"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19835"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739"/>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1c7067" w:themeColor="accent5" w:themeShade="95"/>
        <w:sz w:val="22"/>
      </w:rPr>
      <w:tcPr>
        <w:shd w:val="clear" w:color="ffffff" w:themeColor="accent5" w:themeTint="34" w:fill="d2f3f0" w:themeFill="accent5" w:themeFillTint="34"/>
      </w:tcPr>
    </w:tblStylePr>
    <w:tblStylePr w:type="band1Vert">
      <w:tcPr>
        <w:shd w:val="clear" w:color="ffffff" w:themeColor="accent5" w:themeTint="34" w:fill="d2f3f0" w:themeFill="accent5" w:themeFillTint="34"/>
      </w:tcPr>
    </w:tblStylePr>
    <w:tblStylePr w:type="band2Horz">
      <w:rPr>
        <w:rFonts w:ascii="Arial" w:hAnsi="Arial"/>
        <w:color w:val="1c7067" w:themeColor="accent5" w:themeShade="95"/>
        <w:sz w:val="22"/>
      </w:rPr>
    </w:tblStylePr>
    <w:tblStylePr w:type="firstCol">
      <w:rPr>
        <w:rFonts w:ascii="Arial" w:hAnsi="Arial"/>
        <w:i/>
        <w:color w:val="1c706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1c706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1c706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1c706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739"/>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9b1626" w:themeColor="accent6" w:themeShade="95"/>
        <w:sz w:val="22"/>
      </w:rPr>
      <w:tcPr>
        <w:shd w:val="clear" w:color="ffffff" w:themeColor="accent6" w:themeTint="34" w:fill="f9dade" w:themeFill="accent6" w:themeFillTint="34"/>
      </w:tcPr>
    </w:tblStylePr>
    <w:tblStylePr w:type="band1Vert">
      <w:tcPr>
        <w:shd w:val="clear" w:color="ffffff" w:themeColor="accent6" w:themeTint="34" w:fill="f9dade" w:themeFill="accent6" w:themeFillTint="34"/>
      </w:tcPr>
    </w:tblStylePr>
    <w:tblStylePr w:type="band2Horz">
      <w:rPr>
        <w:rFonts w:ascii="Arial" w:hAnsi="Arial"/>
        <w:color w:val="9b1626" w:themeColor="accent6" w:themeShade="95"/>
        <w:sz w:val="22"/>
      </w:rPr>
    </w:tblStylePr>
    <w:tblStylePr w:type="firstCol">
      <w:rPr>
        <w:rFonts w:ascii="Arial" w:hAnsi="Arial"/>
        <w:i/>
        <w:color w:val="9b1626"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9b1626"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9b1626"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9b1626"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739"/>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739"/>
    <w:uiPriority w:val="99"/>
    <w:pPr>
      <w:spacing w:after="0" w:line="240" w:lineRule="auto"/>
    </w:pPr>
    <w:tblPr>
      <w:tblStyleRowBandSize w:val="1"/>
      <w:tblStyleColBandSize w:val="1"/>
      <w:tblInd w:w="0" w:type="dxa"/>
    </w:tblPr>
    <w:tblStylePr w:type="band1Horz">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739"/>
    <w:uiPriority w:val="99"/>
    <w:pPr>
      <w:spacing w:after="0" w:line="240" w:lineRule="auto"/>
    </w:pPr>
    <w:tblPr>
      <w:tblStyleRowBandSize w:val="1"/>
      <w:tblStyleColBandSize w:val="1"/>
      <w:tblInd w:w="0" w:type="dxa"/>
    </w:tblPr>
    <w:tblStylePr w:type="band1Horz">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739"/>
    <w:uiPriority w:val="99"/>
    <w:pPr>
      <w:spacing w:after="0" w:line="240" w:lineRule="auto"/>
    </w:pPr>
    <w:tblPr>
      <w:tblStyleRowBandSize w:val="1"/>
      <w:tblStyleColBandSize w:val="1"/>
      <w:tblInd w:w="0" w:type="dxa"/>
    </w:tblPr>
    <w:tblStylePr w:type="band1Horz">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739"/>
    <w:uiPriority w:val="99"/>
    <w:pPr>
      <w:spacing w:after="0" w:line="240" w:lineRule="auto"/>
    </w:pPr>
    <w:tblPr>
      <w:tblStyleRowBandSize w:val="1"/>
      <w:tblStyleColBandSize w:val="1"/>
      <w:tblInd w:w="0" w:type="dxa"/>
    </w:tblPr>
    <w:tblStylePr w:type="band1Horz">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739"/>
    <w:uiPriority w:val="99"/>
    <w:pPr>
      <w:spacing w:after="0" w:line="240" w:lineRule="auto"/>
    </w:pPr>
    <w:tblPr>
      <w:tblStyleRowBandSize w:val="1"/>
      <w:tblStyleColBandSize w:val="1"/>
      <w:tblInd w:w="0" w:type="dxa"/>
    </w:tblPr>
    <w:tblStylePr w:type="band1Horz">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739"/>
    <w:uiPriority w:val="99"/>
    <w:pPr>
      <w:spacing w:after="0" w:line="240" w:lineRule="auto"/>
    </w:pPr>
    <w:tblPr>
      <w:tblStyleRowBandSize w:val="1"/>
      <w:tblStyleColBandSize w:val="1"/>
      <w:tblInd w:w="0" w:type="dxa"/>
    </w:tblPr>
    <w:tblStylePr w:type="band1Horz">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739"/>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739"/>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0dcf1" w:themeFill="accent1" w:themeFillTint="40"/>
      </w:tcPr>
    </w:tblStylePr>
    <w:tblStylePr w:type="band1Vert">
      <w:rPr>
        <w:rFonts w:ascii="Arial" w:hAnsi="Arial"/>
        <w:color w:val="404040"/>
        <w:sz w:val="22"/>
      </w:rPr>
      <w:tcPr>
        <w:shd w:val="clear" w:color="ffffff" w:themeColor="accent1" w:themeTint="40" w:fill="d0dcf1"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739"/>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fcb" w:themeFill="accent2" w:themeFillTint="40"/>
      </w:tcPr>
    </w:tblStylePr>
    <w:tblStylePr w:type="band1Vert">
      <w:rPr>
        <w:rFonts w:ascii="Arial" w:hAnsi="Arial"/>
        <w:color w:val="404040"/>
        <w:sz w:val="22"/>
      </w:rPr>
      <w:tcPr>
        <w:shd w:val="clear" w:color="ffffff" w:themeColor="accent2" w:themeTint="40" w:fill="fadf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739"/>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ebd" w:themeFill="accent3" w:themeFillTint="40"/>
      </w:tcPr>
    </w:tblStylePr>
    <w:tblStylePr w:type="band1Vert">
      <w:rPr>
        <w:rFonts w:ascii="Arial" w:hAnsi="Arial"/>
        <w:color w:val="404040"/>
        <w:sz w:val="22"/>
      </w:rPr>
      <w:tcPr>
        <w:shd w:val="clear" w:color="ffffff" w:themeColor="accent3" w:themeTint="40" w:fill="feeebd"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739"/>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ceecf" w:themeFill="accent4" w:themeFillTint="40"/>
      </w:tcPr>
    </w:tblStylePr>
    <w:tblStylePr w:type="band1Vert">
      <w:rPr>
        <w:rFonts w:ascii="Arial" w:hAnsi="Arial"/>
        <w:color w:val="404040"/>
        <w:sz w:val="22"/>
      </w:rPr>
      <w:tcPr>
        <w:shd w:val="clear" w:color="ffffff" w:themeColor="accent4" w:themeTint="40" w:fill="dceec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739"/>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8f1ed" w:themeFill="accent5" w:themeFillTint="40"/>
      </w:tcPr>
    </w:tblStylePr>
    <w:tblStylePr w:type="band1Vert">
      <w:rPr>
        <w:rFonts w:ascii="Arial" w:hAnsi="Arial"/>
        <w:color w:val="404040"/>
        <w:sz w:val="22"/>
      </w:rPr>
      <w:tcPr>
        <w:shd w:val="clear" w:color="ffffff" w:themeColor="accent5" w:themeTint="40" w:fill="c8f1ed"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739"/>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8d1d6" w:themeFill="accent6" w:themeFillTint="40"/>
      </w:tcPr>
    </w:tblStylePr>
    <w:tblStylePr w:type="band1Vert">
      <w:rPr>
        <w:rFonts w:ascii="Arial" w:hAnsi="Arial"/>
        <w:color w:val="404040"/>
        <w:sz w:val="22"/>
      </w:rPr>
      <w:tcPr>
        <w:shd w:val="clear" w:color="ffffff" w:themeColor="accent6" w:themeTint="40" w:fill="f8d1d6"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73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739"/>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874cb" w:themeFill="accent1"/>
      </w:tcPr>
    </w:tblStylePr>
    <w:tblStylePr w:type="lastCol">
      <w:rPr>
        <w:b/>
        <w:color w:val="404040"/>
      </w:rPr>
    </w:tblStylePr>
    <w:tblStylePr w:type="lastRow">
      <w:rPr>
        <w:b/>
        <w:color w:val="404040"/>
      </w:rPr>
    </w:tblStylePr>
  </w:style>
  <w:style w:type="table" w:styleId="119">
    <w:name w:val="List Table 3 - Accent 2"/>
    <w:basedOn w:val="739"/>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383" w:themeFill="accent2" w:themeFillTint="97"/>
      </w:tcPr>
    </w:tblStylePr>
    <w:tblStylePr w:type="lastCol">
      <w:rPr>
        <w:b/>
        <w:color w:val="404040"/>
      </w:rPr>
    </w:tblStylePr>
    <w:tblStylePr w:type="lastRow">
      <w:rPr>
        <w:b/>
        <w:color w:val="404040"/>
      </w:rPr>
    </w:tblStylePr>
  </w:style>
  <w:style w:type="table" w:styleId="120">
    <w:name w:val="List Table 3 - Accent 3"/>
    <w:basedOn w:val="739"/>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fdd762" w:themeFill="accent3" w:themeFillTint="98"/>
      </w:tcPr>
    </w:tblStylePr>
    <w:tblStylePr w:type="lastCol">
      <w:rPr>
        <w:b/>
        <w:color w:val="404040"/>
      </w:rPr>
    </w:tblStylePr>
    <w:tblStylePr w:type="lastRow">
      <w:rPr>
        <w:b/>
        <w:color w:val="404040"/>
      </w:rPr>
    </w:tblStylePr>
  </w:style>
  <w:style w:type="table" w:styleId="121">
    <w:name w:val="List Table 3 - Accent 4"/>
    <w:basedOn w:val="739"/>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acd78c" w:themeFill="accent4" w:themeFillTint="9A"/>
      </w:tcPr>
    </w:tblStylePr>
    <w:tblStylePr w:type="lastCol">
      <w:rPr>
        <w:b/>
        <w:color w:val="404040"/>
      </w:rPr>
    </w:tblStylePr>
    <w:tblStylePr w:type="lastRow">
      <w:rPr>
        <w:b/>
        <w:color w:val="404040"/>
      </w:rPr>
    </w:tblStylePr>
  </w:style>
  <w:style w:type="table" w:styleId="122">
    <w:name w:val="List Table 3 - Accent 5"/>
    <w:basedOn w:val="739"/>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7bded3" w:themeFill="accent5" w:themeFillTint="9A"/>
      </w:tcPr>
    </w:tblStylePr>
    <w:tblStylePr w:type="lastCol">
      <w:rPr>
        <w:b/>
        <w:color w:val="404040"/>
      </w:rPr>
    </w:tblStylePr>
    <w:tblStylePr w:type="lastRow">
      <w:rPr>
        <w:b/>
        <w:color w:val="404040"/>
      </w:rPr>
    </w:tblStylePr>
  </w:style>
  <w:style w:type="table" w:styleId="123">
    <w:name w:val="List Table 3 - Accent 6"/>
    <w:basedOn w:val="739"/>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ef949f" w:themeFill="accent6" w:themeFillTint="98"/>
      </w:tcPr>
    </w:tblStylePr>
    <w:tblStylePr w:type="lastCol">
      <w:rPr>
        <w:b/>
        <w:color w:val="404040"/>
      </w:rPr>
    </w:tblStylePr>
    <w:tblStylePr w:type="lastRow">
      <w:rPr>
        <w:b/>
        <w:color w:val="404040"/>
      </w:rPr>
    </w:tblStylePr>
  </w:style>
  <w:style w:type="table" w:styleId="124">
    <w:name w:val="List Table 4"/>
    <w:basedOn w:val="73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739"/>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0dcf1" w:themeFill="accent1" w:themeFillTint="40"/>
      </w:tcPr>
    </w:tblStylePr>
    <w:tblStylePr w:type="band1Vert">
      <w:rPr>
        <w:rFonts w:ascii="Arial" w:hAnsi="Arial"/>
        <w:color w:val="404040"/>
        <w:sz w:val="22"/>
      </w:rPr>
      <w:tcPr>
        <w:shd w:val="clear" w:color="ffffff" w:themeColor="accent1" w:themeTint="40" w:fill="d0dcf1"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874cb" w:themeFill="accent1"/>
      </w:tcPr>
    </w:tblStylePr>
    <w:tblStylePr w:type="lastCol">
      <w:rPr>
        <w:b/>
        <w:color w:val="404040"/>
      </w:rPr>
    </w:tblStylePr>
    <w:tblStylePr w:type="lastRow">
      <w:rPr>
        <w:b/>
        <w:color w:val="404040"/>
      </w:rPr>
    </w:tblStylePr>
  </w:style>
  <w:style w:type="table" w:styleId="126">
    <w:name w:val="List Table 4 - Accent 2"/>
    <w:basedOn w:val="739"/>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fcb" w:themeFill="accent2" w:themeFillTint="40"/>
      </w:tcPr>
    </w:tblStylePr>
    <w:tblStylePr w:type="band1Vert">
      <w:rPr>
        <w:rFonts w:ascii="Arial" w:hAnsi="Arial"/>
        <w:color w:val="404040"/>
        <w:sz w:val="22"/>
      </w:rPr>
      <w:tcPr>
        <w:shd w:val="clear" w:color="ffffff" w:themeColor="accent2" w:themeTint="40" w:fill="fadf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e822f" w:themeFill="accent2"/>
      </w:tcPr>
    </w:tblStylePr>
    <w:tblStylePr w:type="lastCol">
      <w:rPr>
        <w:b/>
        <w:color w:val="404040"/>
      </w:rPr>
    </w:tblStylePr>
    <w:tblStylePr w:type="lastRow">
      <w:rPr>
        <w:b/>
        <w:color w:val="404040"/>
      </w:rPr>
    </w:tblStylePr>
  </w:style>
  <w:style w:type="table" w:styleId="127">
    <w:name w:val="List Table 4 - Accent 3"/>
    <w:basedOn w:val="739"/>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ebd" w:themeFill="accent3" w:themeFillTint="40"/>
      </w:tcPr>
    </w:tblStylePr>
    <w:tblStylePr w:type="band1Vert">
      <w:rPr>
        <w:rFonts w:ascii="Arial" w:hAnsi="Arial"/>
        <w:color w:val="404040"/>
        <w:sz w:val="22"/>
      </w:rPr>
      <w:tcPr>
        <w:shd w:val="clear" w:color="ffffff" w:themeColor="accent3" w:themeTint="40" w:fill="feeebd"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f2ba02" w:themeFill="accent3"/>
      </w:tcPr>
    </w:tblStylePr>
    <w:tblStylePr w:type="lastCol">
      <w:rPr>
        <w:b/>
        <w:color w:val="404040"/>
      </w:rPr>
    </w:tblStylePr>
    <w:tblStylePr w:type="lastRow">
      <w:rPr>
        <w:b/>
        <w:color w:val="404040"/>
      </w:rPr>
    </w:tblStylePr>
  </w:style>
  <w:style w:type="table" w:styleId="128">
    <w:name w:val="List Table 4 - Accent 4"/>
    <w:basedOn w:val="739"/>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ceecf" w:themeFill="accent4" w:themeFillTint="40"/>
      </w:tcPr>
    </w:tblStylePr>
    <w:tblStylePr w:type="band1Vert">
      <w:rPr>
        <w:rFonts w:ascii="Arial" w:hAnsi="Arial"/>
        <w:color w:val="404040"/>
        <w:sz w:val="22"/>
      </w:rPr>
      <w:tcPr>
        <w:shd w:val="clear" w:color="ffffff" w:themeColor="accent4" w:themeTint="40" w:fill="dceec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75bd42" w:themeFill="accent4"/>
      </w:tcPr>
    </w:tblStylePr>
    <w:tblStylePr w:type="lastCol">
      <w:rPr>
        <w:b/>
        <w:color w:val="404040"/>
      </w:rPr>
    </w:tblStylePr>
    <w:tblStylePr w:type="lastRow">
      <w:rPr>
        <w:b/>
        <w:color w:val="404040"/>
      </w:rPr>
    </w:tblStylePr>
  </w:style>
  <w:style w:type="table" w:styleId="129">
    <w:name w:val="List Table 4 - Accent 5"/>
    <w:basedOn w:val="739"/>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8f1ed" w:themeFill="accent5" w:themeFillTint="40"/>
      </w:tcPr>
    </w:tblStylePr>
    <w:tblStylePr w:type="band1Vert">
      <w:rPr>
        <w:rFonts w:ascii="Arial" w:hAnsi="Arial"/>
        <w:color w:val="404040"/>
        <w:sz w:val="22"/>
      </w:rPr>
      <w:tcPr>
        <w:shd w:val="clear" w:color="ffffff" w:themeColor="accent5" w:themeTint="40" w:fill="c8f1ed"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30c0b4" w:themeFill="accent5"/>
      </w:tcPr>
    </w:tblStylePr>
    <w:tblStylePr w:type="lastCol">
      <w:rPr>
        <w:b/>
        <w:color w:val="404040"/>
      </w:rPr>
    </w:tblStylePr>
    <w:tblStylePr w:type="lastRow">
      <w:rPr>
        <w:b/>
        <w:color w:val="404040"/>
      </w:rPr>
    </w:tblStylePr>
  </w:style>
  <w:style w:type="table" w:styleId="130">
    <w:name w:val="List Table 4 - Accent 6"/>
    <w:basedOn w:val="739"/>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8d1d6" w:themeFill="accent6" w:themeFillTint="40"/>
      </w:tcPr>
    </w:tblStylePr>
    <w:tblStylePr w:type="band1Vert">
      <w:rPr>
        <w:rFonts w:ascii="Arial" w:hAnsi="Arial"/>
        <w:color w:val="404040"/>
        <w:sz w:val="22"/>
      </w:rPr>
      <w:tcPr>
        <w:shd w:val="clear" w:color="ffffff" w:themeColor="accent6" w:themeTint="40" w:fill="f8d1d6"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e54c5e" w:themeFill="accent6"/>
      </w:tcPr>
    </w:tblStylePr>
    <w:tblStylePr w:type="lastCol">
      <w:rPr>
        <w:b/>
        <w:color w:val="404040"/>
      </w:rPr>
    </w:tblStylePr>
    <w:tblStylePr w:type="lastRow">
      <w:rPr>
        <w:b/>
        <w:color w:val="404040"/>
      </w:rPr>
    </w:tblStylePr>
  </w:style>
  <w:style w:type="table" w:styleId="131">
    <w:name w:val="List Table 5 Dark"/>
    <w:basedOn w:val="739"/>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739"/>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874cb" w:themeFill="accent1"/>
    </w:tblPr>
    <w:tblStylePr w:type="band1Horz">
      <w:tcPr>
        <w:shd w:val="clear" w:color="ffffff" w:themeColor="accent1" w:fill="4874cb" w:themeFill="accent1"/>
        <w:tcBorders>
          <w:top w:val="single" w:color="000000" w:themeColor="light1" w:sz="4" w:space="0"/>
          <w:bottom w:val="single" w:color="000000" w:themeColor="light1" w:sz="4" w:space="0"/>
        </w:tcBorders>
      </w:tcPr>
    </w:tblStylePr>
    <w:tblStylePr w:type="band1Vert">
      <w:tcPr>
        <w:shd w:val="clear" w:color="ffffff" w:themeColor="accent1" w:fill="4874cb" w:themeFill="accent1"/>
        <w:tcBorders>
          <w:left w:val="single" w:color="000000" w:themeColor="light1" w:sz="4" w:space="0"/>
          <w:right w:val="single" w:color="000000" w:themeColor="light1" w:sz="4" w:space="0"/>
        </w:tcBorders>
      </w:tcPr>
    </w:tblStylePr>
    <w:tblStylePr w:type="band2Horz">
      <w:tcPr>
        <w:shd w:val="clear" w:color="ffffff" w:themeColor="accent1" w:fill="4874cb"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874cb"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739"/>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383" w:themeFill="accent2" w:themeFillTint="97"/>
    </w:tblPr>
    <w:tblStylePr w:type="band1Horz">
      <w:tcPr>
        <w:shd w:val="clear" w:color="ffffff" w:themeColor="accent2" w:themeTint="97" w:fill="f4b383"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383"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383"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383"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739"/>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fdd762" w:themeFill="accent3" w:themeFillTint="98"/>
    </w:tblPr>
    <w:tblStylePr w:type="band1Horz">
      <w:tcPr>
        <w:shd w:val="clear" w:color="ffffff" w:themeColor="accent3" w:themeTint="98" w:fill="fdd762"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fdd762"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fdd762"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fdd762"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739"/>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acd78c" w:themeFill="accent4" w:themeFillTint="9A"/>
    </w:tblPr>
    <w:tblStylePr w:type="band1Horz">
      <w:tcPr>
        <w:shd w:val="clear" w:color="ffffff" w:themeColor="accent4" w:themeTint="9A" w:fill="acd78c"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acd78c"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acd78c"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acd78c"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739"/>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7bded3" w:themeFill="accent5" w:themeFillTint="9A"/>
    </w:tblPr>
    <w:tblStylePr w:type="band1Horz">
      <w:tcPr>
        <w:shd w:val="clear" w:color="ffffff" w:themeColor="accent5" w:themeTint="9A" w:fill="7bded3"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7bded3"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7bded3"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7bded3"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739"/>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ef949f" w:themeFill="accent6" w:themeFillTint="98"/>
    </w:tblPr>
    <w:tblStylePr w:type="band1Horz">
      <w:tcPr>
        <w:shd w:val="clear" w:color="ffffff" w:themeColor="accent6" w:themeTint="98" w:fill="ef949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ef949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ef949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ef949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739"/>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739"/>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band2Horz">
      <w:rPr>
        <w:rFonts w:ascii="Arial" w:hAnsi="Arial"/>
        <w:color w:val="404040" w:themeColor="accent1" w:themeShade="95"/>
        <w:sz w:val="22"/>
      </w:rPr>
    </w:tblStylePr>
    <w:tblStylePr w:type="firstCol">
      <w:rPr>
        <w:b/>
        <w:color w:val="23427c" w:themeColor="accent1" w:themeShade="95"/>
      </w:rPr>
    </w:tblStylePr>
    <w:tblStylePr w:type="firstRow">
      <w:rPr>
        <w:b/>
        <w:color w:val="23427c" w:themeColor="accent1" w:themeShade="95"/>
      </w:rPr>
      <w:tcPr>
        <w:tcBorders>
          <w:bottom w:val="single" w:color="000000" w:themeColor="accent1" w:sz="4" w:space="0"/>
        </w:tcBorders>
      </w:tcPr>
    </w:tblStylePr>
    <w:tblStylePr w:type="lastCol">
      <w:rPr>
        <w:b/>
        <w:color w:val="23427c" w:themeColor="accent1" w:themeShade="95"/>
      </w:rPr>
    </w:tblStylePr>
    <w:tblStylePr w:type="lastRow">
      <w:rPr>
        <w:b/>
        <w:color w:val="23427c" w:themeColor="accent1" w:themeShade="95"/>
      </w:rPr>
      <w:tcPr>
        <w:tcBorders>
          <w:top w:val="single" w:color="000000" w:themeColor="accent1" w:sz="4" w:space="0"/>
        </w:tcBorders>
      </w:tcPr>
    </w:tblStylePr>
  </w:style>
  <w:style w:type="table" w:styleId="140">
    <w:name w:val="List Table 6 Colorful - Accent 2"/>
    <w:basedOn w:val="739"/>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band2Horz">
      <w:rPr>
        <w:rFonts w:ascii="Arial" w:hAnsi="Arial"/>
        <w:color w:val="404040" w:themeColor="accent2" w:themeTint="97" w:themeShade="95"/>
        <w:sz w:val="22"/>
      </w:rPr>
    </w:tblStylePr>
    <w:tblStylePr w:type="firstCol">
      <w:rPr>
        <w:b/>
        <w:color w:val="c85f11" w:themeColor="accent2" w:themeTint="97" w:themeShade="95"/>
      </w:rPr>
    </w:tblStylePr>
    <w:tblStylePr w:type="firstRow">
      <w:rPr>
        <w:b/>
        <w:color w:val="c85f11" w:themeColor="accent2" w:themeTint="97" w:themeShade="95"/>
      </w:rPr>
      <w:tcPr>
        <w:tcBorders>
          <w:bottom w:val="single" w:color="000000" w:themeColor="accent2" w:themeTint="97" w:sz="4" w:space="0"/>
        </w:tcBorders>
      </w:tcPr>
    </w:tblStylePr>
    <w:tblStylePr w:type="lastCol">
      <w:rPr>
        <w:b/>
        <w:color w:val="c85f11" w:themeColor="accent2" w:themeTint="97" w:themeShade="95"/>
      </w:rPr>
    </w:tblStylePr>
    <w:tblStylePr w:type="lastRow">
      <w:rPr>
        <w:b/>
        <w:color w:val="c85f11" w:themeColor="accent2" w:themeTint="97" w:themeShade="95"/>
      </w:rPr>
      <w:tcPr>
        <w:tcBorders>
          <w:top w:val="single" w:color="000000" w:themeColor="accent2" w:themeTint="97" w:sz="4" w:space="0"/>
        </w:tcBorders>
      </w:tcPr>
    </w:tblStylePr>
  </w:style>
  <w:style w:type="table" w:styleId="141">
    <w:name w:val="List Table 6 Colorful - Accent 3"/>
    <w:basedOn w:val="739"/>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band2Horz">
      <w:rPr>
        <w:rFonts w:ascii="Arial" w:hAnsi="Arial"/>
        <w:color w:val="404040" w:themeColor="accent3" w:themeTint="98" w:themeShade="95"/>
        <w:sz w:val="22"/>
      </w:rPr>
    </w:tblStylePr>
    <w:tblStylePr w:type="firstCol">
      <w:rPr>
        <w:b/>
        <w:color w:val="c99802" w:themeColor="accent3" w:themeTint="98" w:themeShade="95"/>
      </w:rPr>
    </w:tblStylePr>
    <w:tblStylePr w:type="firstRow">
      <w:rPr>
        <w:b/>
        <w:color w:val="c99802" w:themeColor="accent3" w:themeTint="98" w:themeShade="95"/>
      </w:rPr>
      <w:tcPr>
        <w:tcBorders>
          <w:bottom w:val="single" w:color="000000" w:themeColor="accent3" w:themeTint="98" w:sz="4" w:space="0"/>
        </w:tcBorders>
      </w:tcPr>
    </w:tblStylePr>
    <w:tblStylePr w:type="lastCol">
      <w:rPr>
        <w:b/>
        <w:color w:val="c99802" w:themeColor="accent3" w:themeTint="98" w:themeShade="95"/>
      </w:rPr>
    </w:tblStylePr>
    <w:tblStylePr w:type="lastRow">
      <w:rPr>
        <w:b/>
        <w:color w:val="c99802" w:themeColor="accent3" w:themeTint="98" w:themeShade="95"/>
      </w:rPr>
      <w:tcPr>
        <w:tcBorders>
          <w:top w:val="single" w:color="000000" w:themeColor="accent3" w:themeTint="98" w:sz="4" w:space="0"/>
        </w:tcBorders>
      </w:tcPr>
    </w:tblStylePr>
  </w:style>
  <w:style w:type="table" w:styleId="142">
    <w:name w:val="List Table 6 Colorful - Accent 4"/>
    <w:basedOn w:val="739"/>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band2Horz">
      <w:rPr>
        <w:rFonts w:ascii="Arial" w:hAnsi="Arial"/>
        <w:color w:val="404040" w:themeColor="accent4" w:themeTint="9A" w:themeShade="95"/>
        <w:sz w:val="22"/>
      </w:rPr>
    </w:tblStylePr>
    <w:tblStylePr w:type="firstCol">
      <w:rPr>
        <w:b/>
        <w:color w:val="619835" w:themeColor="accent4" w:themeTint="9A" w:themeShade="95"/>
      </w:rPr>
    </w:tblStylePr>
    <w:tblStylePr w:type="firstRow">
      <w:rPr>
        <w:b/>
        <w:color w:val="619835" w:themeColor="accent4" w:themeTint="9A" w:themeShade="95"/>
      </w:rPr>
      <w:tcPr>
        <w:tcBorders>
          <w:bottom w:val="single" w:color="000000" w:themeColor="accent4" w:themeTint="9A" w:sz="4" w:space="0"/>
        </w:tcBorders>
      </w:tcPr>
    </w:tblStylePr>
    <w:tblStylePr w:type="lastCol">
      <w:rPr>
        <w:b/>
        <w:color w:val="619835" w:themeColor="accent4" w:themeTint="9A" w:themeShade="95"/>
      </w:rPr>
    </w:tblStylePr>
    <w:tblStylePr w:type="lastRow">
      <w:rPr>
        <w:b/>
        <w:color w:val="619835" w:themeColor="accent4" w:themeTint="9A" w:themeShade="95"/>
      </w:rPr>
      <w:tcPr>
        <w:tcBorders>
          <w:top w:val="single" w:color="000000" w:themeColor="accent4" w:themeTint="9A" w:sz="4" w:space="0"/>
        </w:tcBorders>
      </w:tcPr>
    </w:tblStylePr>
  </w:style>
  <w:style w:type="table" w:styleId="143">
    <w:name w:val="List Table 6 Colorful - Accent 5"/>
    <w:basedOn w:val="739"/>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band2Horz">
      <w:rPr>
        <w:rFonts w:ascii="Arial" w:hAnsi="Arial"/>
        <w:color w:val="404040" w:themeColor="accent5" w:themeTint="9A" w:themeShade="95"/>
        <w:sz w:val="22"/>
      </w:rPr>
    </w:tblStylePr>
    <w:tblStylePr w:type="firstCol">
      <w:rPr>
        <w:b/>
        <w:color w:val="28a191" w:themeColor="accent5" w:themeTint="9A" w:themeShade="95"/>
      </w:rPr>
    </w:tblStylePr>
    <w:tblStylePr w:type="firstRow">
      <w:rPr>
        <w:b/>
        <w:color w:val="28a191" w:themeColor="accent5" w:themeTint="9A" w:themeShade="95"/>
      </w:rPr>
      <w:tcPr>
        <w:tcBorders>
          <w:bottom w:val="single" w:color="000000" w:themeColor="accent5" w:themeTint="9A" w:sz="4" w:space="0"/>
        </w:tcBorders>
      </w:tcPr>
    </w:tblStylePr>
    <w:tblStylePr w:type="lastCol">
      <w:rPr>
        <w:b/>
        <w:color w:val="28a191" w:themeColor="accent5" w:themeTint="9A" w:themeShade="95"/>
      </w:rPr>
    </w:tblStylePr>
    <w:tblStylePr w:type="lastRow">
      <w:rPr>
        <w:b/>
        <w:color w:val="28a191" w:themeColor="accent5" w:themeTint="9A" w:themeShade="95"/>
      </w:rPr>
      <w:tcPr>
        <w:tcBorders>
          <w:top w:val="single" w:color="000000" w:themeColor="accent5" w:themeTint="9A" w:sz="4" w:space="0"/>
        </w:tcBorders>
      </w:tcPr>
    </w:tblStylePr>
  </w:style>
  <w:style w:type="table" w:styleId="144">
    <w:name w:val="List Table 6 Colorful - Accent 6"/>
    <w:basedOn w:val="739"/>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band2Horz">
      <w:rPr>
        <w:rFonts w:ascii="Arial" w:hAnsi="Arial"/>
        <w:color w:val="404040" w:themeColor="accent6" w:themeTint="98" w:themeShade="95"/>
        <w:sz w:val="22"/>
      </w:rPr>
    </w:tblStylePr>
    <w:tblStylePr w:type="firstCol">
      <w:rPr>
        <w:b/>
        <w:color w:val="c41d35" w:themeColor="accent6" w:themeTint="98" w:themeShade="95"/>
      </w:rPr>
    </w:tblStylePr>
    <w:tblStylePr w:type="firstRow">
      <w:rPr>
        <w:b/>
        <w:color w:val="c41d35" w:themeColor="accent6" w:themeTint="98" w:themeShade="95"/>
      </w:rPr>
      <w:tcPr>
        <w:tcBorders>
          <w:bottom w:val="single" w:color="000000" w:themeColor="accent6" w:themeTint="98" w:sz="4" w:space="0"/>
        </w:tcBorders>
      </w:tcPr>
    </w:tblStylePr>
    <w:tblStylePr w:type="lastCol">
      <w:rPr>
        <w:b/>
        <w:color w:val="c41d35" w:themeColor="accent6" w:themeTint="98" w:themeShade="95"/>
      </w:rPr>
    </w:tblStylePr>
    <w:tblStylePr w:type="lastRow">
      <w:rPr>
        <w:b/>
        <w:color w:val="c41d35" w:themeColor="accent6" w:themeTint="98" w:themeShade="95"/>
      </w:rPr>
      <w:tcPr>
        <w:tcBorders>
          <w:top w:val="single" w:color="000000" w:themeColor="accent6" w:themeTint="98" w:sz="4" w:space="0"/>
        </w:tcBorders>
      </w:tcPr>
    </w:tblStylePr>
  </w:style>
  <w:style w:type="table" w:styleId="145">
    <w:name w:val="List Table 7 Colorful"/>
    <w:basedOn w:val="739"/>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739"/>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3427c" w:themeColor="accent1" w:themeShade="95"/>
        <w:sz w:val="22"/>
      </w:rPr>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band2Horz">
      <w:rPr>
        <w:rFonts w:ascii="Arial" w:hAnsi="Arial"/>
        <w:color w:val="23427c" w:themeColor="accent1" w:themeShade="95"/>
        <w:sz w:val="22"/>
      </w:rPr>
    </w:tblStylePr>
    <w:tblStylePr w:type="firstCol">
      <w:rPr>
        <w:rFonts w:ascii="Arial" w:hAnsi="Arial"/>
        <w:i/>
        <w:color w:val="23427c"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3427c"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3427c"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3427c"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3427c" w:themeColor="accent1" w:themeShade="95"/>
        <w:sz w:val="22"/>
      </w:rPr>
    </w:tblStylePr>
  </w:style>
  <w:style w:type="table" w:styleId="147">
    <w:name w:val="List Table 7 Colorful - Accent 2"/>
    <w:basedOn w:val="739"/>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85f11" w:themeColor="accent2" w:themeTint="97" w:themeShade="95"/>
        <w:sz w:val="22"/>
      </w:rPr>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band2Horz">
      <w:rPr>
        <w:rFonts w:ascii="Arial" w:hAnsi="Arial"/>
        <w:color w:val="c85f11" w:themeColor="accent2" w:themeTint="97" w:themeShade="95"/>
        <w:sz w:val="22"/>
      </w:rPr>
    </w:tblStylePr>
    <w:tblStylePr w:type="firstCol">
      <w:rPr>
        <w:rFonts w:ascii="Arial" w:hAnsi="Arial"/>
        <w:i/>
        <w:color w:val="c85f11"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c85f11"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85f11"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c85f11"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c85f11" w:themeColor="accent2" w:themeTint="97" w:themeShade="95"/>
        <w:sz w:val="22"/>
      </w:rPr>
    </w:tblStylePr>
  </w:style>
  <w:style w:type="table" w:styleId="148">
    <w:name w:val="List Table 7 Colorful - Accent 3"/>
    <w:basedOn w:val="739"/>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c99802" w:themeColor="accent3" w:themeTint="98" w:themeShade="95"/>
        <w:sz w:val="22"/>
      </w:rPr>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band2Horz">
      <w:rPr>
        <w:rFonts w:ascii="Arial" w:hAnsi="Arial"/>
        <w:color w:val="c99802" w:themeColor="accent3" w:themeTint="98" w:themeShade="95"/>
        <w:sz w:val="22"/>
      </w:rPr>
    </w:tblStylePr>
    <w:tblStylePr w:type="firstCol">
      <w:rPr>
        <w:rFonts w:ascii="Arial" w:hAnsi="Arial"/>
        <w:i/>
        <w:color w:val="c99802"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c99802"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c99802"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c99802"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c99802" w:themeColor="accent3" w:themeTint="98" w:themeShade="95"/>
        <w:sz w:val="22"/>
      </w:rPr>
    </w:tblStylePr>
  </w:style>
  <w:style w:type="table" w:styleId="149">
    <w:name w:val="List Table 7 Colorful - Accent 4"/>
    <w:basedOn w:val="739"/>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19835" w:themeColor="accent4" w:themeTint="9A" w:themeShade="95"/>
        <w:sz w:val="22"/>
      </w:rPr>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band2Horz">
      <w:rPr>
        <w:rFonts w:ascii="Arial" w:hAnsi="Arial"/>
        <w:color w:val="619835" w:themeColor="accent4" w:themeTint="9A" w:themeShade="95"/>
        <w:sz w:val="22"/>
      </w:rPr>
    </w:tblStylePr>
    <w:tblStylePr w:type="firstCol">
      <w:rPr>
        <w:rFonts w:ascii="Arial" w:hAnsi="Arial"/>
        <w:i/>
        <w:color w:val="619835"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19835"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19835"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19835"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19835" w:themeColor="accent4" w:themeTint="9A" w:themeShade="95"/>
        <w:sz w:val="22"/>
      </w:rPr>
    </w:tblStylePr>
  </w:style>
  <w:style w:type="table" w:styleId="150">
    <w:name w:val="List Table 7 Colorful - Accent 5"/>
    <w:basedOn w:val="739"/>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28a191" w:themeColor="accent5" w:themeTint="9A" w:themeShade="95"/>
        <w:sz w:val="22"/>
      </w:rPr>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band2Horz">
      <w:rPr>
        <w:rFonts w:ascii="Arial" w:hAnsi="Arial"/>
        <w:color w:val="28a191" w:themeColor="accent5" w:themeTint="9A" w:themeShade="95"/>
        <w:sz w:val="22"/>
      </w:rPr>
    </w:tblStylePr>
    <w:tblStylePr w:type="firstCol">
      <w:rPr>
        <w:rFonts w:ascii="Arial" w:hAnsi="Arial"/>
        <w:i/>
        <w:color w:val="28a191"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28a191"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28a191"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28a191"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28a191" w:themeColor="accent5" w:themeTint="9A" w:themeShade="95"/>
        <w:sz w:val="22"/>
      </w:rPr>
    </w:tblStylePr>
  </w:style>
  <w:style w:type="table" w:styleId="151">
    <w:name w:val="List Table 7 Colorful - Accent 6"/>
    <w:basedOn w:val="739"/>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c41d35" w:themeColor="accent6" w:themeTint="98" w:themeShade="95"/>
        <w:sz w:val="22"/>
      </w:rPr>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band2Horz">
      <w:rPr>
        <w:rFonts w:ascii="Arial" w:hAnsi="Arial"/>
        <w:color w:val="c41d35" w:themeColor="accent6" w:themeTint="98" w:themeShade="95"/>
        <w:sz w:val="22"/>
      </w:rPr>
    </w:tblStylePr>
    <w:tblStylePr w:type="firstCol">
      <w:rPr>
        <w:rFonts w:ascii="Arial" w:hAnsi="Arial"/>
        <w:i/>
        <w:color w:val="c41d35"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c41d35"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c41d35"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c41d35"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c41d35" w:themeColor="accent6" w:themeTint="98" w:themeShade="95"/>
        <w:sz w:val="22"/>
      </w:rPr>
    </w:tblStylePr>
  </w:style>
  <w:style w:type="table" w:styleId="152">
    <w:name w:val="Lined - Accent"/>
    <w:basedOn w:val="73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73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5d3ee" w:themeFill="accent1" w:themeFillTint="50"/>
      </w:tcPr>
    </w:tblStylePr>
    <w:tblStylePr w:type="band2Vert">
      <w:rPr>
        <w:rFonts w:ascii="Arial" w:hAnsi="Arial"/>
        <w:color w:val="404040"/>
        <w:sz w:val="22"/>
      </w:rPr>
      <w:tcPr>
        <w:shd w:val="clear" w:color="ffffff" w:themeColor="accent1" w:themeTint="50" w:fill="c5d3ee" w:themeFill="accent1" w:themeFillTint="50"/>
      </w:tcPr>
    </w:tblStylePr>
    <w:tblStylePr w:type="firstCol">
      <w:rPr>
        <w:rFonts w:ascii="Arial" w:hAnsi="Arial"/>
        <w:color w:val="f2f2f2"/>
        <w:sz w:val="22"/>
      </w:rPr>
      <w:tcPr>
        <w:shd w:val="clear" w:color="ffffff" w:themeColor="accent1" w:themeTint="EA" w:fill="5681cf" w:themeFill="accent1" w:themeFillTint="EA"/>
      </w:tcPr>
    </w:tblStylePr>
    <w:tblStylePr w:type="firstRow">
      <w:rPr>
        <w:rFonts w:ascii="Arial" w:hAnsi="Arial"/>
        <w:color w:val="f2f2f2"/>
        <w:sz w:val="22"/>
      </w:rPr>
      <w:tcPr>
        <w:shd w:val="clear" w:color="ffffff" w:themeColor="accent1" w:themeTint="EA" w:fill="5681cf" w:themeFill="accent1" w:themeFillTint="EA"/>
      </w:tcPr>
    </w:tblStylePr>
    <w:tblStylePr w:type="lastCol">
      <w:rPr>
        <w:rFonts w:ascii="Arial" w:hAnsi="Arial"/>
        <w:color w:val="f2f2f2"/>
        <w:sz w:val="22"/>
      </w:rPr>
      <w:tcPr>
        <w:shd w:val="clear" w:color="ffffff" w:themeColor="accent1" w:themeTint="EA" w:fill="5681cf" w:themeFill="accent1" w:themeFillTint="EA"/>
      </w:tcPr>
    </w:tblStylePr>
    <w:tblStylePr w:type="lastRow">
      <w:rPr>
        <w:rFonts w:ascii="Arial" w:hAnsi="Arial"/>
        <w:color w:val="f2f2f2"/>
        <w:sz w:val="22"/>
      </w:rPr>
      <w:tcPr>
        <w:shd w:val="clear" w:color="ffffff" w:themeColor="accent1" w:themeTint="EA" w:fill="5681cf" w:themeFill="accent1" w:themeFillTint="EA"/>
      </w:tcPr>
    </w:tblStylePr>
  </w:style>
  <w:style w:type="table" w:styleId="154">
    <w:name w:val="Lined - Accent 2"/>
    <w:basedOn w:val="73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6d6" w:themeFill="accent2" w:themeFillTint="32"/>
      </w:tcPr>
    </w:tblStylePr>
    <w:tblStylePr w:type="band2Vert">
      <w:rPr>
        <w:rFonts w:ascii="Arial" w:hAnsi="Arial"/>
        <w:color w:val="404040"/>
        <w:sz w:val="22"/>
      </w:rPr>
      <w:tcPr>
        <w:shd w:val="clear" w:color="ffffff" w:themeColor="accent2" w:themeTint="32" w:fill="fbe6d6" w:themeFill="accent2" w:themeFillTint="32"/>
      </w:tcPr>
    </w:tblStylePr>
    <w:tblStylePr w:type="firstCol">
      <w:rPr>
        <w:rFonts w:ascii="Arial" w:hAnsi="Arial"/>
        <w:color w:val="f2f2f2"/>
        <w:sz w:val="22"/>
      </w:rPr>
      <w:tcPr>
        <w:shd w:val="clear" w:color="ffffff" w:themeColor="accent2" w:themeTint="97" w:fill="f4b383" w:themeFill="accent2" w:themeFillTint="97"/>
      </w:tcPr>
    </w:tblStylePr>
    <w:tblStylePr w:type="firstRow">
      <w:rPr>
        <w:rFonts w:ascii="Arial" w:hAnsi="Arial"/>
        <w:color w:val="f2f2f2"/>
        <w:sz w:val="22"/>
      </w:rPr>
      <w:tcPr>
        <w:shd w:val="clear" w:color="ffffff" w:themeColor="accent2" w:themeTint="97" w:fill="f4b383" w:themeFill="accent2" w:themeFillTint="97"/>
      </w:tcPr>
    </w:tblStylePr>
    <w:tblStylePr w:type="lastCol">
      <w:rPr>
        <w:rFonts w:ascii="Arial" w:hAnsi="Arial"/>
        <w:color w:val="f2f2f2"/>
        <w:sz w:val="22"/>
      </w:rPr>
      <w:tcPr>
        <w:shd w:val="clear" w:color="ffffff" w:themeColor="accent2" w:themeTint="97" w:fill="f4b383" w:themeFill="accent2" w:themeFillTint="97"/>
      </w:tcPr>
    </w:tblStylePr>
    <w:tblStylePr w:type="lastRow">
      <w:rPr>
        <w:rFonts w:ascii="Arial" w:hAnsi="Arial"/>
        <w:color w:val="f2f2f2"/>
        <w:sz w:val="22"/>
      </w:rPr>
      <w:tcPr>
        <w:shd w:val="clear" w:color="ffffff" w:themeColor="accent2" w:themeTint="97" w:fill="f4b383" w:themeFill="accent2" w:themeFillTint="97"/>
      </w:tcPr>
    </w:tblStylePr>
  </w:style>
  <w:style w:type="table" w:styleId="155">
    <w:name w:val="Lined - Accent 3"/>
    <w:basedOn w:val="73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1c9" w:themeFill="accent3" w:themeFillTint="34"/>
      </w:tcPr>
    </w:tblStylePr>
    <w:tblStylePr w:type="band2Vert">
      <w:rPr>
        <w:rFonts w:ascii="Arial" w:hAnsi="Arial"/>
        <w:color w:val="404040"/>
        <w:sz w:val="22"/>
      </w:rPr>
      <w:tcPr>
        <w:shd w:val="clear" w:color="ffffff" w:themeColor="accent3" w:themeTint="34" w:fill="fef1c9" w:themeFill="accent3" w:themeFillTint="34"/>
      </w:tcPr>
    </w:tblStylePr>
    <w:tblStylePr w:type="firstCol">
      <w:rPr>
        <w:rFonts w:ascii="Arial" w:hAnsi="Arial"/>
        <w:color w:val="f2f2f2"/>
        <w:sz w:val="22"/>
      </w:rPr>
      <w:tcPr>
        <w:shd w:val="clear" w:color="ffffff" w:themeColor="accent3" w:themeTint="FE" w:fill="f3b802" w:themeFill="accent3" w:themeFillTint="FE"/>
      </w:tcPr>
    </w:tblStylePr>
    <w:tblStylePr w:type="firstRow">
      <w:rPr>
        <w:rFonts w:ascii="Arial" w:hAnsi="Arial"/>
        <w:color w:val="f2f2f2"/>
        <w:sz w:val="22"/>
      </w:rPr>
      <w:tcPr>
        <w:shd w:val="clear" w:color="ffffff" w:themeColor="accent3" w:themeTint="FE" w:fill="f3b802" w:themeFill="accent3" w:themeFillTint="FE"/>
      </w:tcPr>
    </w:tblStylePr>
    <w:tblStylePr w:type="lastCol">
      <w:rPr>
        <w:rFonts w:ascii="Arial" w:hAnsi="Arial"/>
        <w:color w:val="f2f2f2"/>
        <w:sz w:val="22"/>
      </w:rPr>
      <w:tcPr>
        <w:shd w:val="clear" w:color="ffffff" w:themeColor="accent3" w:themeTint="FE" w:fill="f3b802" w:themeFill="accent3" w:themeFillTint="FE"/>
      </w:tcPr>
    </w:tblStylePr>
    <w:tblStylePr w:type="lastRow">
      <w:rPr>
        <w:rFonts w:ascii="Arial" w:hAnsi="Arial"/>
        <w:color w:val="f2f2f2"/>
        <w:sz w:val="22"/>
      </w:rPr>
      <w:tcPr>
        <w:shd w:val="clear" w:color="ffffff" w:themeColor="accent3" w:themeTint="FE" w:fill="f3b802" w:themeFill="accent3" w:themeFillTint="FE"/>
      </w:tcPr>
    </w:tblStylePr>
  </w:style>
  <w:style w:type="table" w:styleId="156">
    <w:name w:val="Lined - Accent 4"/>
    <w:basedOn w:val="73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3f1d8" w:themeFill="accent4" w:themeFillTint="34"/>
      </w:tcPr>
    </w:tblStylePr>
    <w:tblStylePr w:type="band2Vert">
      <w:rPr>
        <w:rFonts w:ascii="Arial" w:hAnsi="Arial"/>
        <w:color w:val="404040"/>
        <w:sz w:val="22"/>
      </w:rPr>
      <w:tcPr>
        <w:shd w:val="clear" w:color="ffffff" w:themeColor="accent4" w:themeTint="34" w:fill="e3f1d8" w:themeFill="accent4" w:themeFillTint="34"/>
      </w:tcPr>
    </w:tblStylePr>
    <w:tblStylePr w:type="firstCol">
      <w:rPr>
        <w:rFonts w:ascii="Arial" w:hAnsi="Arial"/>
        <w:color w:val="f2f2f2"/>
        <w:sz w:val="22"/>
      </w:rPr>
      <w:tcPr>
        <w:shd w:val="clear" w:color="ffffff" w:themeColor="accent4" w:themeTint="9A" w:fill="acd78c" w:themeFill="accent4" w:themeFillTint="9A"/>
      </w:tcPr>
    </w:tblStylePr>
    <w:tblStylePr w:type="firstRow">
      <w:rPr>
        <w:rFonts w:ascii="Arial" w:hAnsi="Arial"/>
        <w:color w:val="f2f2f2"/>
        <w:sz w:val="22"/>
      </w:rPr>
      <w:tcPr>
        <w:shd w:val="clear" w:color="ffffff" w:themeColor="accent4" w:themeTint="9A" w:fill="acd78c" w:themeFill="accent4" w:themeFillTint="9A"/>
      </w:tcPr>
    </w:tblStylePr>
    <w:tblStylePr w:type="lastCol">
      <w:rPr>
        <w:rFonts w:ascii="Arial" w:hAnsi="Arial"/>
        <w:color w:val="f2f2f2"/>
        <w:sz w:val="22"/>
      </w:rPr>
      <w:tcPr>
        <w:shd w:val="clear" w:color="ffffff" w:themeColor="accent4" w:themeTint="9A" w:fill="acd78c" w:themeFill="accent4" w:themeFillTint="9A"/>
      </w:tcPr>
    </w:tblStylePr>
    <w:tblStylePr w:type="lastRow">
      <w:rPr>
        <w:rFonts w:ascii="Arial" w:hAnsi="Arial"/>
        <w:color w:val="f2f2f2"/>
        <w:sz w:val="22"/>
      </w:rPr>
      <w:tcPr>
        <w:shd w:val="clear" w:color="ffffff" w:themeColor="accent4" w:themeTint="9A" w:fill="acd78c" w:themeFill="accent4" w:themeFillTint="9A"/>
      </w:tcPr>
    </w:tblStylePr>
  </w:style>
  <w:style w:type="table" w:styleId="157">
    <w:name w:val="Lined - Accent 5"/>
    <w:basedOn w:val="73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2f3f0" w:themeFill="accent5" w:themeFillTint="34"/>
      </w:tcPr>
    </w:tblStylePr>
    <w:tblStylePr w:type="band2Vert">
      <w:rPr>
        <w:rFonts w:ascii="Arial" w:hAnsi="Arial"/>
        <w:color w:val="404040"/>
        <w:sz w:val="22"/>
      </w:rPr>
      <w:tcPr>
        <w:shd w:val="clear" w:color="ffffff" w:themeColor="accent5" w:themeTint="34" w:fill="d2f3f0" w:themeFill="accent5" w:themeFillTint="34"/>
      </w:tcPr>
    </w:tblStylePr>
    <w:tblStylePr w:type="firstCol">
      <w:rPr>
        <w:rFonts w:ascii="Arial" w:hAnsi="Arial"/>
        <w:color w:val="f2f2f2"/>
        <w:sz w:val="22"/>
      </w:rPr>
      <w:tcPr>
        <w:shd w:val="clear" w:color="ffffff" w:themeColor="accent5" w:fill="30c0b4" w:themeFill="accent5"/>
      </w:tcPr>
    </w:tblStylePr>
    <w:tblStylePr w:type="firstRow">
      <w:rPr>
        <w:rFonts w:ascii="Arial" w:hAnsi="Arial"/>
        <w:color w:val="f2f2f2"/>
        <w:sz w:val="22"/>
      </w:rPr>
      <w:tcPr>
        <w:shd w:val="clear" w:color="ffffff" w:themeColor="accent5" w:fill="30c0b4" w:themeFill="accent5"/>
      </w:tcPr>
    </w:tblStylePr>
    <w:tblStylePr w:type="lastCol">
      <w:rPr>
        <w:rFonts w:ascii="Arial" w:hAnsi="Arial"/>
        <w:color w:val="f2f2f2"/>
        <w:sz w:val="22"/>
      </w:rPr>
      <w:tcPr>
        <w:shd w:val="clear" w:color="ffffff" w:themeColor="accent5" w:fill="30c0b4" w:themeFill="accent5"/>
      </w:tcPr>
    </w:tblStylePr>
    <w:tblStylePr w:type="lastRow">
      <w:rPr>
        <w:rFonts w:ascii="Arial" w:hAnsi="Arial"/>
        <w:color w:val="f2f2f2"/>
        <w:sz w:val="22"/>
      </w:rPr>
      <w:tcPr>
        <w:shd w:val="clear" w:color="ffffff" w:themeColor="accent5" w:fill="30c0b4" w:themeFill="accent5"/>
      </w:tcPr>
    </w:tblStylePr>
  </w:style>
  <w:style w:type="table" w:styleId="158">
    <w:name w:val="Lined - Accent 6"/>
    <w:basedOn w:val="73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9dade" w:themeFill="accent6" w:themeFillTint="34"/>
      </w:tcPr>
    </w:tblStylePr>
    <w:tblStylePr w:type="band2Vert">
      <w:rPr>
        <w:rFonts w:ascii="Arial" w:hAnsi="Arial"/>
        <w:color w:val="404040"/>
        <w:sz w:val="22"/>
      </w:rPr>
      <w:tcPr>
        <w:shd w:val="clear" w:color="ffffff" w:themeColor="accent6" w:themeTint="34" w:fill="f9dade" w:themeFill="accent6" w:themeFillTint="34"/>
      </w:tcPr>
    </w:tblStylePr>
    <w:tblStylePr w:type="firstCol">
      <w:rPr>
        <w:rFonts w:ascii="Arial" w:hAnsi="Arial"/>
        <w:color w:val="f2f2f2"/>
        <w:sz w:val="22"/>
      </w:rPr>
      <w:tcPr>
        <w:shd w:val="clear" w:color="ffffff" w:themeColor="accent6" w:fill="e54c5e" w:themeFill="accent6"/>
      </w:tcPr>
    </w:tblStylePr>
    <w:tblStylePr w:type="firstRow">
      <w:rPr>
        <w:rFonts w:ascii="Arial" w:hAnsi="Arial"/>
        <w:color w:val="f2f2f2"/>
        <w:sz w:val="22"/>
      </w:rPr>
      <w:tcPr>
        <w:shd w:val="clear" w:color="ffffff" w:themeColor="accent6" w:fill="e54c5e" w:themeFill="accent6"/>
      </w:tcPr>
    </w:tblStylePr>
    <w:tblStylePr w:type="lastCol">
      <w:rPr>
        <w:rFonts w:ascii="Arial" w:hAnsi="Arial"/>
        <w:color w:val="f2f2f2"/>
        <w:sz w:val="22"/>
      </w:rPr>
      <w:tcPr>
        <w:shd w:val="clear" w:color="ffffff" w:themeColor="accent6" w:fill="e54c5e" w:themeFill="accent6"/>
      </w:tcPr>
    </w:tblStylePr>
    <w:tblStylePr w:type="lastRow">
      <w:rPr>
        <w:rFonts w:ascii="Arial" w:hAnsi="Arial"/>
        <w:color w:val="f2f2f2"/>
        <w:sz w:val="22"/>
      </w:rPr>
      <w:tcPr>
        <w:shd w:val="clear" w:color="ffffff" w:themeColor="accent6" w:fill="e54c5e" w:themeFill="accent6"/>
      </w:tcPr>
    </w:tblStylePr>
  </w:style>
  <w:style w:type="table" w:styleId="159">
    <w:name w:val="Bordered &amp; Lined - Accent"/>
    <w:basedOn w:val="739"/>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739"/>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5d3ee" w:themeFill="accent1" w:themeFillTint="50"/>
      </w:tcPr>
    </w:tblStylePr>
    <w:tblStylePr w:type="band2Vert">
      <w:rPr>
        <w:rFonts w:ascii="Arial" w:hAnsi="Arial"/>
        <w:color w:val="404040"/>
        <w:sz w:val="22"/>
      </w:rPr>
      <w:tcPr>
        <w:shd w:val="clear" w:color="ffffff" w:themeColor="accent1" w:themeTint="50" w:fill="c5d3ee" w:themeFill="accent1" w:themeFillTint="50"/>
      </w:tcPr>
    </w:tblStylePr>
    <w:tblStylePr w:type="firstCol">
      <w:rPr>
        <w:rFonts w:ascii="Arial" w:hAnsi="Arial"/>
        <w:color w:val="f2f2f2"/>
        <w:sz w:val="22"/>
      </w:rPr>
      <w:tcPr>
        <w:shd w:val="clear" w:color="ffffff" w:themeColor="accent1" w:themeTint="EA" w:fill="5681cf" w:themeFill="accent1" w:themeFillTint="EA"/>
      </w:tcPr>
    </w:tblStylePr>
    <w:tblStylePr w:type="firstRow">
      <w:rPr>
        <w:rFonts w:ascii="Arial" w:hAnsi="Arial"/>
        <w:color w:val="f2f2f2"/>
        <w:sz w:val="22"/>
      </w:rPr>
      <w:tcPr>
        <w:shd w:val="clear" w:color="ffffff" w:themeColor="accent1" w:themeTint="EA" w:fill="5681cf" w:themeFill="accent1" w:themeFillTint="EA"/>
      </w:tcPr>
    </w:tblStylePr>
    <w:tblStylePr w:type="lastCol">
      <w:rPr>
        <w:rFonts w:ascii="Arial" w:hAnsi="Arial"/>
        <w:color w:val="f2f2f2"/>
        <w:sz w:val="22"/>
      </w:rPr>
      <w:tcPr>
        <w:shd w:val="clear" w:color="ffffff" w:themeColor="accent1" w:themeTint="EA" w:fill="5681cf" w:themeFill="accent1" w:themeFillTint="EA"/>
      </w:tcPr>
    </w:tblStylePr>
    <w:tblStylePr w:type="lastRow">
      <w:rPr>
        <w:rFonts w:ascii="Arial" w:hAnsi="Arial"/>
        <w:color w:val="f2f2f2"/>
        <w:sz w:val="22"/>
      </w:rPr>
      <w:tcPr>
        <w:shd w:val="clear" w:color="ffffff" w:themeColor="accent1" w:themeTint="EA" w:fill="5681cf" w:themeFill="accent1" w:themeFillTint="EA"/>
      </w:tcPr>
    </w:tblStylePr>
  </w:style>
  <w:style w:type="table" w:styleId="161">
    <w:name w:val="Bordered &amp; Lined - Accent 2"/>
    <w:basedOn w:val="739"/>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6d6" w:themeFill="accent2" w:themeFillTint="32"/>
      </w:tcPr>
    </w:tblStylePr>
    <w:tblStylePr w:type="band2Vert">
      <w:rPr>
        <w:rFonts w:ascii="Arial" w:hAnsi="Arial"/>
        <w:color w:val="404040"/>
        <w:sz w:val="22"/>
      </w:rPr>
      <w:tcPr>
        <w:shd w:val="clear" w:color="ffffff" w:themeColor="accent2" w:themeTint="32" w:fill="fbe6d6" w:themeFill="accent2" w:themeFillTint="32"/>
      </w:tcPr>
    </w:tblStylePr>
    <w:tblStylePr w:type="firstCol">
      <w:rPr>
        <w:rFonts w:ascii="Arial" w:hAnsi="Arial"/>
        <w:color w:val="f2f2f2"/>
        <w:sz w:val="22"/>
      </w:rPr>
      <w:tcPr>
        <w:shd w:val="clear" w:color="ffffff" w:themeColor="accent2" w:themeTint="97" w:fill="f4b383" w:themeFill="accent2" w:themeFillTint="97"/>
      </w:tcPr>
    </w:tblStylePr>
    <w:tblStylePr w:type="firstRow">
      <w:rPr>
        <w:rFonts w:ascii="Arial" w:hAnsi="Arial"/>
        <w:color w:val="f2f2f2"/>
        <w:sz w:val="22"/>
      </w:rPr>
      <w:tcPr>
        <w:shd w:val="clear" w:color="ffffff" w:themeColor="accent2" w:themeTint="97" w:fill="f4b383" w:themeFill="accent2" w:themeFillTint="97"/>
      </w:tcPr>
    </w:tblStylePr>
    <w:tblStylePr w:type="lastCol">
      <w:rPr>
        <w:rFonts w:ascii="Arial" w:hAnsi="Arial"/>
        <w:color w:val="f2f2f2"/>
        <w:sz w:val="22"/>
      </w:rPr>
      <w:tcPr>
        <w:shd w:val="clear" w:color="ffffff" w:themeColor="accent2" w:themeTint="97" w:fill="f4b383" w:themeFill="accent2" w:themeFillTint="97"/>
      </w:tcPr>
    </w:tblStylePr>
    <w:tblStylePr w:type="lastRow">
      <w:rPr>
        <w:rFonts w:ascii="Arial" w:hAnsi="Arial"/>
        <w:color w:val="f2f2f2"/>
        <w:sz w:val="22"/>
      </w:rPr>
      <w:tcPr>
        <w:shd w:val="clear" w:color="ffffff" w:themeColor="accent2" w:themeTint="97" w:fill="f4b383" w:themeFill="accent2" w:themeFillTint="97"/>
      </w:tcPr>
    </w:tblStylePr>
  </w:style>
  <w:style w:type="table" w:styleId="162">
    <w:name w:val="Bordered &amp; Lined - Accent 3"/>
    <w:basedOn w:val="739"/>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1c9" w:themeFill="accent3" w:themeFillTint="34"/>
      </w:tcPr>
    </w:tblStylePr>
    <w:tblStylePr w:type="band2Vert">
      <w:rPr>
        <w:rFonts w:ascii="Arial" w:hAnsi="Arial"/>
        <w:color w:val="404040"/>
        <w:sz w:val="22"/>
      </w:rPr>
      <w:tcPr>
        <w:shd w:val="clear" w:color="ffffff" w:themeColor="accent3" w:themeTint="34" w:fill="fef1c9" w:themeFill="accent3" w:themeFillTint="34"/>
      </w:tcPr>
    </w:tblStylePr>
    <w:tblStylePr w:type="firstCol">
      <w:rPr>
        <w:rFonts w:ascii="Arial" w:hAnsi="Arial"/>
        <w:color w:val="f2f2f2"/>
        <w:sz w:val="22"/>
      </w:rPr>
      <w:tcPr>
        <w:shd w:val="clear" w:color="ffffff" w:themeColor="accent3" w:themeTint="FE" w:fill="f3b802" w:themeFill="accent3" w:themeFillTint="FE"/>
      </w:tcPr>
    </w:tblStylePr>
    <w:tblStylePr w:type="firstRow">
      <w:rPr>
        <w:rFonts w:ascii="Arial" w:hAnsi="Arial"/>
        <w:color w:val="f2f2f2"/>
        <w:sz w:val="22"/>
      </w:rPr>
      <w:tcPr>
        <w:shd w:val="clear" w:color="ffffff" w:themeColor="accent3" w:themeTint="FE" w:fill="f3b802" w:themeFill="accent3" w:themeFillTint="FE"/>
      </w:tcPr>
    </w:tblStylePr>
    <w:tblStylePr w:type="lastCol">
      <w:rPr>
        <w:rFonts w:ascii="Arial" w:hAnsi="Arial"/>
        <w:color w:val="f2f2f2"/>
        <w:sz w:val="22"/>
      </w:rPr>
      <w:tcPr>
        <w:shd w:val="clear" w:color="ffffff" w:themeColor="accent3" w:themeTint="FE" w:fill="f3b802" w:themeFill="accent3" w:themeFillTint="FE"/>
      </w:tcPr>
    </w:tblStylePr>
    <w:tblStylePr w:type="lastRow">
      <w:rPr>
        <w:rFonts w:ascii="Arial" w:hAnsi="Arial"/>
        <w:color w:val="f2f2f2"/>
        <w:sz w:val="22"/>
      </w:rPr>
      <w:tcPr>
        <w:shd w:val="clear" w:color="ffffff" w:themeColor="accent3" w:themeTint="FE" w:fill="f3b802" w:themeFill="accent3" w:themeFillTint="FE"/>
      </w:tcPr>
    </w:tblStylePr>
  </w:style>
  <w:style w:type="table" w:styleId="163">
    <w:name w:val="Bordered &amp; Lined - Accent 4"/>
    <w:basedOn w:val="739"/>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3f1d8" w:themeFill="accent4" w:themeFillTint="34"/>
      </w:tcPr>
    </w:tblStylePr>
    <w:tblStylePr w:type="band2Vert">
      <w:rPr>
        <w:rFonts w:ascii="Arial" w:hAnsi="Arial"/>
        <w:color w:val="404040"/>
        <w:sz w:val="22"/>
      </w:rPr>
      <w:tcPr>
        <w:shd w:val="clear" w:color="ffffff" w:themeColor="accent4" w:themeTint="34" w:fill="e3f1d8" w:themeFill="accent4" w:themeFillTint="34"/>
      </w:tcPr>
    </w:tblStylePr>
    <w:tblStylePr w:type="firstCol">
      <w:rPr>
        <w:rFonts w:ascii="Arial" w:hAnsi="Arial"/>
        <w:color w:val="f2f2f2"/>
        <w:sz w:val="22"/>
      </w:rPr>
      <w:tcPr>
        <w:shd w:val="clear" w:color="ffffff" w:themeColor="accent4" w:themeTint="9A" w:fill="acd78c" w:themeFill="accent4" w:themeFillTint="9A"/>
      </w:tcPr>
    </w:tblStylePr>
    <w:tblStylePr w:type="firstRow">
      <w:rPr>
        <w:rFonts w:ascii="Arial" w:hAnsi="Arial"/>
        <w:color w:val="f2f2f2"/>
        <w:sz w:val="22"/>
      </w:rPr>
      <w:tcPr>
        <w:shd w:val="clear" w:color="ffffff" w:themeColor="accent4" w:themeTint="9A" w:fill="acd78c" w:themeFill="accent4" w:themeFillTint="9A"/>
      </w:tcPr>
    </w:tblStylePr>
    <w:tblStylePr w:type="lastCol">
      <w:rPr>
        <w:rFonts w:ascii="Arial" w:hAnsi="Arial"/>
        <w:color w:val="f2f2f2"/>
        <w:sz w:val="22"/>
      </w:rPr>
      <w:tcPr>
        <w:shd w:val="clear" w:color="ffffff" w:themeColor="accent4" w:themeTint="9A" w:fill="acd78c" w:themeFill="accent4" w:themeFillTint="9A"/>
      </w:tcPr>
    </w:tblStylePr>
    <w:tblStylePr w:type="lastRow">
      <w:rPr>
        <w:rFonts w:ascii="Arial" w:hAnsi="Arial"/>
        <w:color w:val="f2f2f2"/>
        <w:sz w:val="22"/>
      </w:rPr>
      <w:tcPr>
        <w:shd w:val="clear" w:color="ffffff" w:themeColor="accent4" w:themeTint="9A" w:fill="acd78c" w:themeFill="accent4" w:themeFillTint="9A"/>
      </w:tcPr>
    </w:tblStylePr>
  </w:style>
  <w:style w:type="table" w:styleId="164">
    <w:name w:val="Bordered &amp; Lined - Accent 5"/>
    <w:basedOn w:val="739"/>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2f3f0" w:themeFill="accent5" w:themeFillTint="34"/>
      </w:tcPr>
    </w:tblStylePr>
    <w:tblStylePr w:type="band2Vert">
      <w:rPr>
        <w:rFonts w:ascii="Arial" w:hAnsi="Arial"/>
        <w:color w:val="404040"/>
        <w:sz w:val="22"/>
      </w:rPr>
      <w:tcPr>
        <w:shd w:val="clear" w:color="ffffff" w:themeColor="accent5" w:themeTint="34" w:fill="d2f3f0" w:themeFill="accent5" w:themeFillTint="34"/>
      </w:tcPr>
    </w:tblStylePr>
    <w:tblStylePr w:type="firstCol">
      <w:rPr>
        <w:rFonts w:ascii="Arial" w:hAnsi="Arial"/>
        <w:color w:val="f2f2f2"/>
        <w:sz w:val="22"/>
      </w:rPr>
      <w:tcPr>
        <w:shd w:val="clear" w:color="ffffff" w:themeColor="accent5" w:fill="30c0b4" w:themeFill="accent5"/>
      </w:tcPr>
    </w:tblStylePr>
    <w:tblStylePr w:type="firstRow">
      <w:rPr>
        <w:rFonts w:ascii="Arial" w:hAnsi="Arial"/>
        <w:color w:val="f2f2f2"/>
        <w:sz w:val="22"/>
      </w:rPr>
      <w:tcPr>
        <w:shd w:val="clear" w:color="ffffff" w:themeColor="accent5" w:fill="30c0b4" w:themeFill="accent5"/>
      </w:tcPr>
    </w:tblStylePr>
    <w:tblStylePr w:type="lastCol">
      <w:rPr>
        <w:rFonts w:ascii="Arial" w:hAnsi="Arial"/>
        <w:color w:val="f2f2f2"/>
        <w:sz w:val="22"/>
      </w:rPr>
      <w:tcPr>
        <w:shd w:val="clear" w:color="ffffff" w:themeColor="accent5" w:fill="30c0b4" w:themeFill="accent5"/>
      </w:tcPr>
    </w:tblStylePr>
    <w:tblStylePr w:type="lastRow">
      <w:rPr>
        <w:rFonts w:ascii="Arial" w:hAnsi="Arial"/>
        <w:color w:val="f2f2f2"/>
        <w:sz w:val="22"/>
      </w:rPr>
      <w:tcPr>
        <w:shd w:val="clear" w:color="ffffff" w:themeColor="accent5" w:fill="30c0b4" w:themeFill="accent5"/>
      </w:tcPr>
    </w:tblStylePr>
  </w:style>
  <w:style w:type="table" w:styleId="165">
    <w:name w:val="Bordered &amp; Lined - Accent 6"/>
    <w:basedOn w:val="739"/>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9dade" w:themeFill="accent6" w:themeFillTint="34"/>
      </w:tcPr>
    </w:tblStylePr>
    <w:tblStylePr w:type="band2Vert">
      <w:rPr>
        <w:rFonts w:ascii="Arial" w:hAnsi="Arial"/>
        <w:color w:val="404040"/>
        <w:sz w:val="22"/>
      </w:rPr>
      <w:tcPr>
        <w:shd w:val="clear" w:color="ffffff" w:themeColor="accent6" w:themeTint="34" w:fill="f9dade" w:themeFill="accent6" w:themeFillTint="34"/>
      </w:tcPr>
    </w:tblStylePr>
    <w:tblStylePr w:type="firstCol">
      <w:rPr>
        <w:rFonts w:ascii="Arial" w:hAnsi="Arial"/>
        <w:color w:val="f2f2f2"/>
        <w:sz w:val="22"/>
      </w:rPr>
      <w:tcPr>
        <w:shd w:val="clear" w:color="ffffff" w:themeColor="accent6" w:fill="e54c5e" w:themeFill="accent6"/>
      </w:tcPr>
    </w:tblStylePr>
    <w:tblStylePr w:type="firstRow">
      <w:rPr>
        <w:rFonts w:ascii="Arial" w:hAnsi="Arial"/>
        <w:color w:val="f2f2f2"/>
        <w:sz w:val="22"/>
      </w:rPr>
      <w:tcPr>
        <w:shd w:val="clear" w:color="ffffff" w:themeColor="accent6" w:fill="e54c5e" w:themeFill="accent6"/>
      </w:tcPr>
    </w:tblStylePr>
    <w:tblStylePr w:type="lastCol">
      <w:rPr>
        <w:rFonts w:ascii="Arial" w:hAnsi="Arial"/>
        <w:color w:val="f2f2f2"/>
        <w:sz w:val="22"/>
      </w:rPr>
      <w:tcPr>
        <w:shd w:val="clear" w:color="ffffff" w:themeColor="accent6" w:fill="e54c5e" w:themeFill="accent6"/>
      </w:tcPr>
    </w:tblStylePr>
    <w:tblStylePr w:type="lastRow">
      <w:rPr>
        <w:rFonts w:ascii="Arial" w:hAnsi="Arial"/>
        <w:color w:val="f2f2f2"/>
        <w:sz w:val="22"/>
      </w:rPr>
      <w:tcPr>
        <w:shd w:val="clear" w:color="ffffff" w:themeColor="accent6" w:fill="e54c5e" w:themeFill="accent6"/>
      </w:tcPr>
    </w:tblStylePr>
  </w:style>
  <w:style w:type="table" w:styleId="166">
    <w:name w:val="Bordered"/>
    <w:basedOn w:val="739"/>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739"/>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739"/>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739"/>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739"/>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739"/>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739"/>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734"/>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738"/>
    <w:uiPriority w:val="99"/>
    <w:unhideWhenUsed/>
    <w:rPr>
      <w:vertAlign w:val="superscript"/>
    </w:rPr>
  </w:style>
  <w:style w:type="paragraph" w:styleId="177">
    <w:name w:val="endnote text"/>
    <w:basedOn w:val="734"/>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738"/>
    <w:uiPriority w:val="99"/>
    <w:semiHidden/>
    <w:unhideWhenUsed/>
    <w:rPr>
      <w:vertAlign w:val="superscript"/>
    </w:rPr>
  </w:style>
  <w:style w:type="paragraph" w:styleId="180">
    <w:name w:val="toc 1"/>
    <w:basedOn w:val="734"/>
    <w:next w:val="734"/>
    <w:uiPriority w:val="39"/>
    <w:unhideWhenUsed/>
    <w:pPr>
      <w:ind w:left="0" w:right="0" w:firstLine="0"/>
      <w:spacing w:after="57"/>
    </w:pPr>
  </w:style>
  <w:style w:type="paragraph" w:styleId="181">
    <w:name w:val="toc 2"/>
    <w:basedOn w:val="734"/>
    <w:next w:val="734"/>
    <w:uiPriority w:val="39"/>
    <w:unhideWhenUsed/>
    <w:pPr>
      <w:ind w:left="283" w:right="0" w:firstLine="0"/>
      <w:spacing w:after="57"/>
    </w:pPr>
  </w:style>
  <w:style w:type="paragraph" w:styleId="182">
    <w:name w:val="toc 3"/>
    <w:basedOn w:val="734"/>
    <w:next w:val="734"/>
    <w:uiPriority w:val="39"/>
    <w:unhideWhenUsed/>
    <w:pPr>
      <w:ind w:left="567" w:right="0" w:firstLine="0"/>
      <w:spacing w:after="57"/>
    </w:pPr>
  </w:style>
  <w:style w:type="paragraph" w:styleId="183">
    <w:name w:val="toc 4"/>
    <w:basedOn w:val="734"/>
    <w:next w:val="734"/>
    <w:uiPriority w:val="39"/>
    <w:unhideWhenUsed/>
    <w:pPr>
      <w:ind w:left="850" w:right="0" w:firstLine="0"/>
      <w:spacing w:after="57"/>
    </w:pPr>
  </w:style>
  <w:style w:type="paragraph" w:styleId="184">
    <w:name w:val="toc 5"/>
    <w:basedOn w:val="734"/>
    <w:next w:val="734"/>
    <w:uiPriority w:val="39"/>
    <w:unhideWhenUsed/>
    <w:pPr>
      <w:ind w:left="1134" w:right="0" w:firstLine="0"/>
      <w:spacing w:after="57"/>
    </w:pPr>
  </w:style>
  <w:style w:type="paragraph" w:styleId="185">
    <w:name w:val="toc 6"/>
    <w:basedOn w:val="734"/>
    <w:next w:val="734"/>
    <w:uiPriority w:val="39"/>
    <w:unhideWhenUsed/>
    <w:pPr>
      <w:ind w:left="1417" w:right="0" w:firstLine="0"/>
      <w:spacing w:after="57"/>
    </w:pPr>
  </w:style>
  <w:style w:type="paragraph" w:styleId="186">
    <w:name w:val="toc 7"/>
    <w:basedOn w:val="734"/>
    <w:next w:val="734"/>
    <w:uiPriority w:val="39"/>
    <w:unhideWhenUsed/>
    <w:pPr>
      <w:ind w:left="1701" w:right="0" w:firstLine="0"/>
      <w:spacing w:after="57"/>
    </w:pPr>
  </w:style>
  <w:style w:type="paragraph" w:styleId="187">
    <w:name w:val="toc 8"/>
    <w:basedOn w:val="734"/>
    <w:next w:val="734"/>
    <w:uiPriority w:val="39"/>
    <w:unhideWhenUsed/>
    <w:pPr>
      <w:ind w:left="1984" w:right="0" w:firstLine="0"/>
      <w:spacing w:after="57"/>
    </w:pPr>
  </w:style>
  <w:style w:type="paragraph" w:styleId="188">
    <w:name w:val="toc 9"/>
    <w:basedOn w:val="734"/>
    <w:next w:val="734"/>
    <w:uiPriority w:val="39"/>
    <w:unhideWhenUsed/>
    <w:pPr>
      <w:ind w:left="2268" w:right="0" w:firstLine="0"/>
      <w:spacing w:after="57"/>
    </w:pPr>
  </w:style>
  <w:style w:type="paragraph" w:styleId="189">
    <w:name w:val="TOC Heading"/>
    <w:uiPriority w:val="39"/>
    <w:unhideWhenUsed/>
  </w:style>
  <w:style w:type="paragraph" w:styleId="190">
    <w:name w:val="table of figures"/>
    <w:basedOn w:val="734"/>
    <w:next w:val="734"/>
    <w:uiPriority w:val="99"/>
    <w:unhideWhenUsed/>
    <w:pPr>
      <w:spacing w:after="0" w:afterAutospacing="0"/>
    </w:pPr>
  </w:style>
  <w:style w:type="paragraph" w:styleId="734" w:default="1">
    <w:name w:val="Normal"/>
    <w:link w:val="764"/>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35">
    <w:name w:val="Heading 1"/>
    <w:basedOn w:val="734"/>
    <w:next w:val="734"/>
    <w:uiPriority w:val="0"/>
    <w:qFormat/>
    <w:pPr>
      <w:jc w:val="left"/>
      <w:spacing w:before="0" w:beforeAutospacing="1" w:after="0" w:afterAutospacing="1"/>
    </w:pPr>
    <w:rPr>
      <w:rFonts w:hint="eastAsia" w:ascii="宋体" w:hAnsi="宋体" w:eastAsia="宋体" w:cs="宋体"/>
      <w:b/>
      <w:bCs/>
      <w:sz w:val="48"/>
      <w:szCs w:val="48"/>
      <w:lang w:val="en-US" w:eastAsia="zh-CN" w:bidi="ar"/>
    </w:rPr>
  </w:style>
  <w:style w:type="paragraph" w:styleId="736">
    <w:name w:val="Heading 2"/>
    <w:basedOn w:val="734"/>
    <w:next w:val="734"/>
    <w:uiPriority w:val="0"/>
    <w:semiHidden/>
    <w:unhideWhenUsed/>
    <w:qFormat/>
    <w:pPr>
      <w:jc w:val="left"/>
      <w:spacing w:before="0" w:beforeAutospacing="1" w:after="0" w:afterAutospacing="1"/>
    </w:pPr>
    <w:rPr>
      <w:rFonts w:hint="eastAsia" w:ascii="宋体" w:hAnsi="宋体" w:eastAsia="宋体" w:cs="宋体"/>
      <w:b/>
      <w:bCs/>
      <w:sz w:val="36"/>
      <w:szCs w:val="36"/>
      <w:lang w:val="en-US" w:eastAsia="zh-CN" w:bidi="ar"/>
    </w:rPr>
  </w:style>
  <w:style w:type="paragraph" w:styleId="737">
    <w:name w:val="Heading 4"/>
    <w:basedOn w:val="734"/>
    <w:next w:val="734"/>
    <w:uiPriority w:val="9"/>
    <w:unhideWhenUsed/>
    <w:qFormat/>
    <w:pPr>
      <w:keepLines/>
      <w:keepNext/>
      <w:spacing w:before="320" w:after="200"/>
      <w:outlineLvl w:val="3"/>
    </w:pPr>
    <w:rPr>
      <w:rFonts w:ascii="Arial" w:hAnsi="Arial" w:eastAsia="Arial" w:cs="Arial"/>
      <w:b/>
      <w:bCs/>
      <w:sz w:val="26"/>
      <w:szCs w:val="26"/>
    </w:rPr>
  </w:style>
  <w:style w:type="character" w:styleId="738" w:default="1">
    <w:name w:val="Default Paragraph Font"/>
    <w:uiPriority w:val="0"/>
    <w:semiHidden/>
    <w:qFormat/>
  </w:style>
  <w:style w:type="table" w:styleId="739" w:default="1">
    <w:name w:val="Normal Table"/>
    <w:uiPriority w:val="0"/>
    <w:semiHidden/>
    <w:qFormat/>
    <w:tblPr>
      <w:tblCellMar>
        <w:left w:w="108" w:type="dxa"/>
        <w:top w:w="0" w:type="dxa"/>
        <w:right w:w="108" w:type="dxa"/>
        <w:bottom w:w="0" w:type="dxa"/>
      </w:tblCellMar>
    </w:tblPr>
  </w:style>
  <w:style w:type="paragraph" w:styleId="740">
    <w:name w:val="Body Text Indent"/>
    <w:basedOn w:val="734"/>
    <w:next w:val="734"/>
    <w:uiPriority w:val="0"/>
    <w:unhideWhenUsed/>
    <w:qFormat/>
    <w:pPr>
      <w:ind w:left="1588" w:firstLine="433"/>
      <w:spacing w:line="500" w:lineRule="exact"/>
    </w:pPr>
    <w:rPr>
      <w:sz w:val="24"/>
      <w:szCs w:val="20"/>
    </w:rPr>
  </w:style>
  <w:style w:type="paragraph" w:styleId="741">
    <w:name w:val="Header"/>
    <w:basedOn w:val="734"/>
    <w:uiPriority w:val="99"/>
    <w:unhideWhenUsed/>
    <w:qFormat/>
    <w:pPr>
      <w:spacing w:after="0" w:line="240" w:lineRule="auto"/>
      <w:tabs>
        <w:tab w:val="center" w:pos="7143" w:leader="none"/>
        <w:tab w:val="right" w:pos="14287" w:leader="none"/>
      </w:tabs>
    </w:pPr>
  </w:style>
  <w:style w:type="table" w:styleId="742">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paragraph" w:styleId="743" w:customStyle="1">
    <w:name w:val="正文文本缩进1"/>
    <w:basedOn w:val="744"/>
    <w:next w:val="757"/>
    <w:uiPriority w:val="0"/>
    <w:qFormat/>
    <w:pPr>
      <w:ind w:left="420"/>
      <w:spacing w:after="120"/>
    </w:pPr>
    <w:rPr>
      <w:rFonts w:ascii="Calibri" w:hAnsi="Calibri"/>
    </w:rPr>
  </w:style>
  <w:style w:type="paragraph" w:styleId="744" w:customStyle="1">
    <w:name w:val="正文1111"/>
    <w:next w:val="745"/>
    <w:uiPriority w:val="0"/>
    <w:qFormat/>
    <w:pPr>
      <w:jc w:val="both"/>
      <w:widowControl w:val="off"/>
    </w:pPr>
    <w:rPr>
      <w:rFonts w:ascii="Times New Roman" w:hAnsi="Times New Roman" w:eastAsia="宋体" w:cs="Times New Roman"/>
      <w:sz w:val="21"/>
      <w:szCs w:val="24"/>
      <w:lang w:val="en-US" w:eastAsia="zh-CN" w:bidi="ar-SA"/>
    </w:rPr>
  </w:style>
  <w:style w:type="paragraph" w:styleId="745" w:customStyle="1">
    <w:name w:val="标题 21"/>
    <w:basedOn w:val="746"/>
    <w:next w:val="748"/>
    <w:uiPriority w:val="0"/>
    <w:qFormat/>
    <w:pPr>
      <w:jc w:val="left"/>
      <w:keepLines/>
      <w:keepNext/>
      <w:spacing w:before="50"/>
      <w:tabs>
        <w:tab w:val="left" w:pos="0" w:leader="none"/>
      </w:tabs>
    </w:pPr>
    <w:rPr>
      <w:rFonts w:ascii="Arial" w:hAnsi="Arial" w:eastAsia="黑体"/>
      <w:sz w:val="32"/>
      <w:szCs w:val="20"/>
    </w:rPr>
  </w:style>
  <w:style w:type="paragraph" w:styleId="746" w:customStyle="1">
    <w:name w:val="正文11"/>
    <w:next w:val="747"/>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47" w:customStyle="1">
    <w:name w:val="目录 11"/>
    <w:basedOn w:val="748"/>
    <w:next w:val="748"/>
    <w:uiPriority w:val="0"/>
    <w:qFormat/>
    <w:pPr>
      <w:jc w:val="left"/>
      <w:spacing w:after="100" w:line="259" w:lineRule="auto"/>
      <w:widowControl/>
    </w:pPr>
    <w:rPr>
      <w:rFonts w:ascii="Calibri" w:hAnsi="Calibri"/>
      <w:sz w:val="22"/>
      <w:szCs w:val="22"/>
    </w:rPr>
  </w:style>
  <w:style w:type="paragraph" w:styleId="748" w:customStyle="1">
    <w:name w:val="正文1"/>
    <w:basedOn w:val="749"/>
    <w:next w:val="750"/>
    <w:uiPriority w:val="0"/>
    <w:qFormat/>
    <w:pPr>
      <w:jc w:val="left"/>
      <w:spacing w:line="360" w:lineRule="atLeast"/>
    </w:pPr>
    <w:rPr>
      <w:rFonts w:ascii="宋体" w:hAnsi="Calibri"/>
      <w:sz w:val="24"/>
      <w:szCs w:val="20"/>
    </w:rPr>
  </w:style>
  <w:style w:type="paragraph" w:styleId="749" w:customStyle="1">
    <w:name w:val="正文111"/>
    <w:next w:val="743"/>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50" w:customStyle="1">
    <w:name w:val="正文文本1"/>
    <w:basedOn w:val="748"/>
    <w:next w:val="751"/>
    <w:uiPriority w:val="99"/>
    <w:qFormat/>
    <w:pPr>
      <w:spacing w:after="120"/>
    </w:pPr>
    <w:rPr>
      <w:rFonts w:ascii="Calibri"/>
    </w:rPr>
  </w:style>
  <w:style w:type="paragraph" w:styleId="751" w:customStyle="1">
    <w:name w:val="一级条标题"/>
    <w:basedOn w:val="752"/>
    <w:next w:val="753"/>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752" w:customStyle="1">
    <w:name w:val="章标题"/>
    <w:next w:val="748"/>
    <w:uiPriority w:val="0"/>
    <w:qFormat/>
    <w:pPr>
      <w:ind w:left="810" w:hanging="810"/>
      <w:jc w:val="both"/>
      <w:spacing w:before="50" w:after="50"/>
      <w:tabs>
        <w:tab w:val="left" w:pos="810" w:leader="none"/>
        <w:tab w:val="left" w:pos="1265" w:leader="none"/>
      </w:tabs>
      <w:outlineLvl w:val="1"/>
    </w:pPr>
    <w:rPr>
      <w:rFonts w:hint="default" w:ascii="黑体" w:hAnsi="Times New Roman" w:eastAsia="黑体" w:cs="Times New Roman"/>
      <w:sz w:val="21"/>
      <w:szCs w:val="22"/>
      <w:lang w:val="en-US" w:eastAsia="zh-CN" w:bidi="ar-SA"/>
    </w:rPr>
  </w:style>
  <w:style w:type="paragraph" w:styleId="753" w:customStyle="1">
    <w:name w:val="段"/>
    <w:basedOn w:val="754"/>
    <w:next w:val="748"/>
    <w:uiPriority w:val="0"/>
    <w:qFormat/>
    <w:pPr>
      <w:ind w:firstLine="200"/>
      <w:widowControl/>
    </w:pPr>
    <w:rPr>
      <w:sz w:val="20"/>
    </w:rPr>
  </w:style>
  <w:style w:type="paragraph" w:styleId="754" w:customStyle="1">
    <w:name w:val="正文13"/>
    <w:next w:val="755"/>
    <w:uiPriority w:val="0"/>
    <w:qFormat/>
    <w:pPr>
      <w:jc w:val="both"/>
      <w:widowControl w:val="off"/>
    </w:pPr>
    <w:rPr>
      <w:rFonts w:ascii="Times New Roman" w:hAnsi="Times New Roman" w:eastAsia="宋体" w:cs="Times New Roman"/>
      <w:sz w:val="21"/>
      <w:szCs w:val="24"/>
      <w:lang w:val="en-US" w:eastAsia="zh-CN" w:bidi="ar-SA"/>
    </w:rPr>
  </w:style>
  <w:style w:type="paragraph" w:styleId="755" w:customStyle="1">
    <w:name w:val="正文文本缩进11"/>
    <w:basedOn w:val="756"/>
    <w:next w:val="757"/>
    <w:uiPriority w:val="99"/>
    <w:unhideWhenUsed/>
    <w:qFormat/>
    <w:pPr>
      <w:ind w:left="420"/>
      <w:spacing w:after="120"/>
    </w:pPr>
    <w:rPr>
      <w:rFonts w:ascii="Calibri" w:hAnsi="Calibri"/>
    </w:rPr>
  </w:style>
  <w:style w:type="paragraph" w:styleId="756" w:customStyle="1">
    <w:name w:val="正文12"/>
    <w:next w:val="745"/>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57" w:customStyle="1">
    <w:name w:val="寄信人地址1"/>
    <w:basedOn w:val="734"/>
    <w:uiPriority w:val="99"/>
    <w:unhideWhenUsed/>
    <w:qFormat/>
    <w:rPr>
      <w:rFonts w:ascii="Arial" w:hAnsi="Arial"/>
    </w:rPr>
  </w:style>
  <w:style w:type="character" w:styleId="758" w:customStyle="1">
    <w:name w:val="NormalCharacter1"/>
    <w:link w:val="734"/>
    <w:uiPriority w:val="0"/>
    <w:semiHidden/>
    <w:qFormat/>
    <w:rPr>
      <w:rFonts w:hint="default" w:ascii="Times New Roman" w:hAnsi="Times New Roman" w:eastAsia="宋体" w:cs="Times New Roman"/>
      <w:sz w:val="21"/>
      <w:szCs w:val="24"/>
      <w:lang w:val="en-US" w:eastAsia="zh-CN" w:bidi="ar-SA"/>
    </w:rPr>
  </w:style>
  <w:style w:type="character" w:styleId="759" w:customStyle="1">
    <w:name w:val="NormalCharacter11"/>
    <w:link w:val="734"/>
    <w:uiPriority w:val="0"/>
    <w:semiHidden/>
    <w:qFormat/>
    <w:rPr>
      <w:rFonts w:ascii="Times New Roman" w:hAnsi="Times New Roman"/>
      <w:sz w:val="21"/>
      <w:szCs w:val="24"/>
      <w:lang w:val="en-US" w:eastAsia="zh-CN" w:bidi="ar-SA"/>
    </w:rPr>
  </w:style>
  <w:style w:type="paragraph" w:styleId="760" w:customStyle="1">
    <w:name w:val="正文文本111"/>
    <w:basedOn w:val="734"/>
    <w:next w:val="756"/>
    <w:uiPriority w:val="0"/>
    <w:qFormat/>
    <w:rPr>
      <w:rFonts w:ascii="楷体_GB2312" w:hAnsi="Arial" w:eastAsia="楷体_GB2312"/>
      <w:sz w:val="28"/>
      <w:szCs w:val="28"/>
      <w:lang w:eastAsia="en-US"/>
    </w:rPr>
  </w:style>
  <w:style w:type="paragraph" w:styleId="761" w:customStyle="1">
    <w:name w:val="文本块1"/>
    <w:basedOn w:val="734"/>
    <w:uiPriority w:val="99"/>
    <w:unhideWhenUsed/>
    <w:qFormat/>
    <w:pPr>
      <w:ind w:left="1440" w:right="1440"/>
      <w:spacing w:after="120"/>
    </w:pPr>
  </w:style>
  <w:style w:type="paragraph" w:styleId="762" w:customStyle="1">
    <w:name w:val="标题 41"/>
    <w:basedOn w:val="734"/>
    <w:next w:val="746"/>
    <w:uiPriority w:val="9"/>
    <w:qFormat/>
    <w:pPr>
      <w:keepLines/>
      <w:keepNext/>
      <w:spacing w:before="320" w:after="200"/>
      <w:outlineLvl w:val="3"/>
    </w:pPr>
    <w:rPr>
      <w:rFonts w:ascii="Arial" w:hAnsi="Arial" w:eastAsia="Arial" w:cs="Arial"/>
      <w:b/>
      <w:bCs/>
      <w:sz w:val="26"/>
      <w:szCs w:val="26"/>
    </w:rPr>
  </w:style>
  <w:style w:type="paragraph" w:styleId="763" w:customStyle="1">
    <w:name w:val="正文缩进1"/>
    <w:basedOn w:val="734"/>
    <w:uiPriority w:val="0"/>
    <w:qFormat/>
    <w:pPr>
      <w:ind w:firstLine="420"/>
    </w:pPr>
  </w:style>
  <w:style w:type="character" w:styleId="764" w:customStyle="1">
    <w:name w:val="超链接1"/>
    <w:link w:val="734"/>
    <w:uiPriority w:val="99"/>
    <w:unhideWhenUsed/>
    <w:qFormat/>
    <w:rPr>
      <w:color w:val="0000ff"/>
      <w:u w:val="single"/>
    </w:rPr>
  </w:style>
  <w:style w:type="paragraph" w:styleId="765" w:customStyle="1">
    <w:name w:val="普通(网站)111"/>
    <w:basedOn w:val="734"/>
    <w:uiPriority w:val="99"/>
    <w:unhideWhenUsed/>
    <w:qFormat/>
    <w:pPr>
      <w:ind w:left="0" w:right="0"/>
      <w:jc w:val="left"/>
      <w:spacing w:before="100" w:beforeAutospacing="1" w:after="100" w:afterAutospacing="1"/>
    </w:pPr>
    <w:rPr>
      <w:sz w:val="24"/>
      <w:lang w:val="en-US" w:eastAsia="zh-CN" w:bidi="ar"/>
    </w:rPr>
  </w:style>
  <w:style w:type="paragraph" w:styleId="766" w:customStyle="1">
    <w:name w:val="UserStyle_0"/>
    <w:basedOn w:val="756"/>
    <w:next w:val="756"/>
    <w:uiPriority w:val="0"/>
    <w:qFormat/>
  </w:style>
  <w:style w:type="character" w:styleId="767" w:customStyle="1">
    <w:name w:val="font81"/>
    <w:basedOn w:val="738"/>
    <w:uiPriority w:val="0"/>
    <w:qFormat/>
    <w:rPr>
      <w:rFonts w:hint="eastAsia" w:ascii="宋体" w:hAnsi="宋体" w:eastAsia="宋体" w:cs="宋体"/>
      <w:color w:val="000000"/>
      <w:sz w:val="20"/>
      <w:szCs w:val="20"/>
      <w:u w:val="none"/>
    </w:rPr>
  </w:style>
  <w:style w:type="character" w:styleId="768" w:customStyle="1">
    <w:name w:val="font31"/>
    <w:basedOn w:val="738"/>
    <w:uiPriority w:val="0"/>
    <w:qFormat/>
    <w:rPr>
      <w:rFonts w:hint="eastAsia" w:ascii="宋体" w:hAnsi="宋体" w:eastAsia="宋体" w:cs="宋体"/>
      <w:color w:val="000000"/>
      <w:sz w:val="20"/>
      <w:szCs w:val="20"/>
      <w:u w:val="none"/>
    </w:rPr>
  </w:style>
  <w:style w:type="character" w:styleId="769" w:customStyle="1">
    <w:name w:val="font61"/>
    <w:basedOn w:val="738"/>
    <w:uiPriority w:val="0"/>
    <w:qFormat/>
    <w:rPr>
      <w:rFonts w:hint="eastAsia" w:ascii="宋体" w:hAnsi="宋体" w:eastAsia="宋体" w:cs="宋体"/>
      <w:color w:val="000000"/>
      <w:sz w:val="20"/>
      <w:szCs w:val="20"/>
      <w:u w:val="none"/>
    </w:rPr>
  </w:style>
  <w:style w:type="paragraph" w:styleId="770" w:customStyle="1">
    <w:name w:val="文本块11"/>
    <w:basedOn w:val="734"/>
    <w:uiPriority w:val="99"/>
    <w:unhideWhenUsed/>
    <w:qFormat/>
    <w:pPr>
      <w:ind w:left="1440" w:right="1440"/>
      <w:spacing w:after="120"/>
    </w:pPr>
  </w:style>
  <w:style w:type="paragraph" w:styleId="771" w:customStyle="1">
    <w:name w:val="目录 112"/>
    <w:basedOn w:val="734"/>
    <w:next w:val="734"/>
    <w:uiPriority w:val="39"/>
    <w:unhideWhenUsed/>
    <w:qFormat/>
    <w:pPr>
      <w:spacing w:after="57"/>
    </w:pPr>
  </w:style>
  <w:style w:type="paragraph" w:styleId="772" w:customStyle="1">
    <w:name w:val="页眉1"/>
    <w:basedOn w:val="734"/>
    <w:uiPriority w:val="99"/>
    <w:qFormat/>
    <w:pPr>
      <w:jc w:val="center"/>
      <w:tabs>
        <w:tab w:val="center" w:pos="4153" w:leader="none"/>
        <w:tab w:val="right" w:pos="8306" w:leader="none"/>
      </w:tabs>
      <w:pBdr>
        <w:bottom w:val="single" w:color="000000" w:sz="6" w:space="1"/>
      </w:pBdr>
    </w:pPr>
    <w:rPr>
      <w:sz w:val="18"/>
      <w:szCs w:val="18"/>
    </w:rPr>
  </w:style>
  <w:style w:type="paragraph" w:styleId="773" w:customStyle="1">
    <w:name w:val="页脚1"/>
    <w:basedOn w:val="734"/>
    <w:uiPriority w:val="99"/>
    <w:qFormat/>
    <w:pPr>
      <w:jc w:val="left"/>
      <w:tabs>
        <w:tab w:val="center" w:pos="4153" w:leader="none"/>
        <w:tab w:val="right" w:pos="8306" w:leader="none"/>
      </w:tabs>
    </w:pPr>
    <w:rPr>
      <w:sz w:val="18"/>
      <w:szCs w:val="18"/>
    </w:rPr>
  </w:style>
  <w:style w:type="paragraph" w:styleId="774" w:customStyle="1">
    <w:name w:val="页脚13"/>
    <w:basedOn w:val="734"/>
    <w:uiPriority w:val="99"/>
    <w:unhideWhenUsed/>
    <w:qFormat/>
    <w:pPr>
      <w:tabs>
        <w:tab w:val="center" w:pos="7143" w:leader="none"/>
        <w:tab w:val="right" w:pos="14287" w:leader="none"/>
      </w:tabs>
    </w:pPr>
  </w:style>
  <w:style w:type="character" w:styleId="775" w:customStyle="1">
    <w:name w:val="font161"/>
    <w:basedOn w:val="738"/>
    <w:uiPriority w:val="0"/>
    <w:qFormat/>
    <w:rPr>
      <w:rFonts w:hint="default" w:ascii="Times New Roman" w:hAnsi="Times New Roman" w:cs="Times New Roman"/>
      <w:color w:val="000000"/>
      <w:sz w:val="20"/>
      <w:szCs w:val="20"/>
      <w:u w:val="none"/>
    </w:rPr>
  </w:style>
  <w:style w:type="paragraph" w:styleId="776" w:customStyle="1">
    <w:name w:val="BodyTextIndent1"/>
    <w:basedOn w:val="734"/>
    <w:next w:val="777"/>
    <w:uiPriority w:val="0"/>
    <w:qFormat/>
    <w:pPr>
      <w:ind w:left="420"/>
      <w:spacing w:after="120"/>
    </w:pPr>
  </w:style>
  <w:style w:type="paragraph" w:styleId="777" w:customStyle="1">
    <w:name w:val="EnvelopeReturn1"/>
    <w:basedOn w:val="734"/>
    <w:uiPriority w:val="0"/>
    <w:qFormat/>
    <w:rPr>
      <w:rFonts w:ascii="Arial" w:hAnsi="Arial"/>
    </w:rPr>
  </w:style>
  <w:style w:type="numbering" w:styleId="14328"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customXml" Target="../customXml/item1.xml" /><Relationship Id="rId15" Type="http://schemas.openxmlformats.org/officeDocument/2006/relationships/image" Target="media/image1.jpg"/><Relationship Id="rId16" Type="http://schemas.openxmlformats.org/officeDocument/2006/relationships/image" Target="media/image2.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Arial"/>
        <a:cs typeface="Arial"/>
      </a:majorFont>
      <a:minorFont>
        <a:latin typeface="Calibri"/>
        <a:ea typeface="Arial"/>
        <a:cs typeface="Arial"/>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A。c</dc:creator>
  <cp:lastModifiedBy>燕宏伟</cp:lastModifiedBy>
  <cp:revision>2</cp:revision>
  <dcterms:created xsi:type="dcterms:W3CDTF">2026-01-14T03:41:00Z</dcterms:created>
  <dcterms:modified xsi:type="dcterms:W3CDTF">2026-03-06T06:23:57Z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2052-12.1.0.24657</vt:lpwstr>
  </property>
  <property fmtid="{D5CDD505-2E9C-101B-9397-08002B2CF9AE}" pid="3" name="ICV">
    <vt:lpwstr>729E1F4C0EA9415DB848781CB0FB3F20_13</vt:lpwstr>
  </property>
  <property fmtid="{D5CDD505-2E9C-101B-9397-08002B2CF9AE}" pid="4" name="KSOTemplateDocerSaveRecord">
    <vt:lpwstr>eyJoZGlkIjoiMWI0NmRmYjBiNmY5MzE0YWJlYTk1N2JmNmFlOGRkYWIiLCJ1c2VySWQiOiIzNjU0NzE5ODYifQ==</vt:lpwstr>
  </property>
</Properties>
</file>