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JSZC-320500-SZXY-C2026-0007</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项目名称：苏州大学独</w:t>
      </w:r>
      <w:r>
        <w:rPr>
          <w:rFonts w:hint="eastAsia" w:ascii="黑体" w:hAnsi="黑体" w:eastAsia="黑体" w:cs="黑体"/>
          <w:b/>
          <w:spacing w:val="-6"/>
          <w:sz w:val="32"/>
        </w:rPr>
        <w:t xml:space="preserve">墅</w:t>
      </w:r>
      <w:r>
        <w:rPr>
          <w:rFonts w:hint="eastAsia" w:ascii="黑体" w:hAnsi="黑体" w:eastAsia="黑体" w:cs="黑体"/>
          <w:b/>
          <w:spacing w:val="-6"/>
          <w:sz w:val="32"/>
        </w:rPr>
        <w:t xml:space="preserve">湖校区学生宿舍（四批）供电工程</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rPr>
          <w:rFonts w:hint="eastAsia" w:ascii="黑体" w:hAnsi="黑体" w:eastAsia="黑体" w:cs="黑体"/>
          <w:b/>
          <w:spacing w:val="-14"/>
          <w:sz w:val="36"/>
          <w:szCs w:val="36"/>
        </w:rPr>
      </w:r>
      <w:r/>
    </w:p>
    <w:p>
      <w:pPr>
        <w:jc w:val="center"/>
        <w:spacing w:line="360" w:lineRule="auto"/>
        <w:tabs>
          <w:tab w:val="left" w:pos="315" w:leader="none"/>
          <w:tab w:val="center" w:pos="4153" w:leader="none"/>
        </w:tabs>
        <w:rPr>
          <w:rFonts w:hint="eastAsia" w:ascii="黑体" w:hAnsi="黑体" w:eastAsia="黑体" w:cs="黑体"/>
          <w:b/>
          <w:bCs/>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六年三月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湖校区学生宿舍（四批）供电工程</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采购预算金额：人民币</w:t>
            </w:r>
            <w:r>
              <w:rPr>
                <w:rFonts w:hint="eastAsia" w:ascii="宋体" w:hAnsi="宋体" w:cs="宋体"/>
                <w:color w:val="000000"/>
              </w:rPr>
              <w:t xml:space="preserve">叁佰玖拾捌万元</w:t>
            </w:r>
            <w:r>
              <w:rPr>
                <w:rFonts w:ascii="宋体" w:hAnsi="宋体" w:cs="宋体"/>
                <w:color w:val="000000"/>
              </w:rPr>
              <w:t xml:space="preserve">整（¥</w:t>
            </w:r>
            <w:r>
              <w:rPr>
                <w:rFonts w:hint="eastAsia" w:ascii="宋体" w:hAnsi="宋体" w:cs="宋体"/>
                <w:color w:val="000000"/>
              </w:rPr>
              <w:t xml:space="preserve">3980000</w:t>
            </w:r>
            <w:r>
              <w:rPr>
                <w:rFonts w:ascii="宋体" w:hAnsi="宋体" w:cs="宋体"/>
                <w:color w:val="000000"/>
              </w:rPr>
              <w:t xml:space="preserve">.00元）</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w:t>
            </w:r>
            <w:r>
              <w:rPr>
                <w:rFonts w:hint="eastAsia" w:ascii="宋体" w:hAnsi="宋体" w:cs="宋体"/>
                <w:color w:val="000000"/>
              </w:rPr>
              <w:t xml:space="preserve">叁佰玖拾柒万贰仟陆佰陆拾贰元捌角陆分</w:t>
            </w:r>
            <w:r>
              <w:rPr>
                <w:rFonts w:ascii="宋体" w:hAnsi="宋体" w:cs="宋体"/>
                <w:color w:val="000000"/>
              </w:rPr>
              <w:t xml:space="preserve">（¥</w:t>
            </w:r>
            <w:r>
              <w:rPr>
                <w:rFonts w:hint="eastAsia" w:ascii="宋体" w:hAnsi="宋体" w:cs="宋体"/>
                <w:color w:val="000000"/>
              </w:rPr>
              <w:t xml:space="preserve">3972662.86</w:t>
            </w:r>
            <w:r>
              <w:rPr>
                <w:rFonts w:ascii="宋体" w:hAnsi="宋体" w:cs="宋体"/>
                <w:color w:val="000000"/>
              </w:rPr>
              <w:t xml:space="preserve">元）</w:t>
            </w:r>
            <w:r/>
          </w:p>
          <w:p>
            <w:pPr>
              <w:spacing w:line="360" w:lineRule="auto"/>
              <w:rPr>
                <w:rFonts w:hint="eastAsia"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见工程量清单及图纸</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湖校区学生宿舍（四批）供电工程（详见技术要求、工程量清单、图纸等）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35日历天（具体开工日期以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苏州大学独</w:t>
            </w:r>
            <w:r>
              <w:rPr>
                <w:rFonts w:hint="eastAsia" w:ascii="宋体" w:hAnsi="宋体"/>
                <w:szCs w:val="21"/>
              </w:rPr>
              <w:t xml:space="preserve">墅</w:t>
            </w:r>
            <w:r>
              <w:rPr>
                <w:rFonts w:hint="eastAsia" w:ascii="宋体" w:hAnsi="宋体"/>
                <w:szCs w:val="21"/>
              </w:rPr>
              <w:t xml:space="preserve">湖校区</w:t>
            </w:r>
            <w:r/>
          </w:p>
          <w:p>
            <w:pPr>
              <w:jc w:val="left"/>
              <w:spacing w:line="360" w:lineRule="auto"/>
              <w:rPr>
                <w:rFonts w:hint="eastAsia" w:ascii="宋体" w:hAnsi="宋体"/>
                <w:szCs w:val="21"/>
              </w:rPr>
            </w:pPr>
            <w:r>
              <w:rPr>
                <w:rFonts w:hint="eastAsia" w:ascii="宋体" w:hAnsi="宋体"/>
                <w:szCs w:val="21"/>
              </w:rPr>
              <w:t xml:space="preserve">联系人：凌敏</w:t>
            </w:r>
            <w:r/>
          </w:p>
          <w:p>
            <w:pPr>
              <w:jc w:val="left"/>
              <w:spacing w:line="360" w:lineRule="auto"/>
              <w:rPr>
                <w:rFonts w:hint="eastAsia" w:ascii="宋体" w:hAnsi="宋体"/>
                <w:szCs w:val="21"/>
              </w:rPr>
            </w:pPr>
            <w:r>
              <w:rPr>
                <w:rFonts w:hint="eastAsia" w:ascii="宋体" w:hAnsi="宋体"/>
                <w:szCs w:val="21"/>
              </w:rPr>
              <w:t xml:space="preserve">联系电话：1</w:t>
            </w:r>
            <w:r>
              <w:rPr>
                <w:rFonts w:ascii="宋体" w:hAnsi="宋体"/>
                <w:szCs w:val="21"/>
              </w:rPr>
              <w:t xml:space="preserve">8862300687</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具备【输变电工程专业承包三级】（含）以上资质或【建筑机电安装工程专业承包二级】（含）以上资质或【电力工程施工总承包三级】（含）以上资质，且具备电力承装（修、试）五级（含）及</w:t>
            </w:r>
            <w:r>
              <w:rPr>
                <w:rFonts w:hint="eastAsia" w:ascii="宋体" w:hAnsi="宋体"/>
              </w:rPr>
              <w:t xml:space="preserve">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（3）拟选派项目经理资质等级：机电工程注册建造师二级（含）以上；《建筑施工企业项目负责人安全生产考核合格证书》(B类)；项目经理无在建工程承诺书以及响应单位为其缴纳的近三个月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 w:val="21"/>
                <w:szCs w:val="21"/>
              </w:rPr>
            </w:pPr>
            <w:r>
              <w:rPr>
                <w:rFonts w:hint="eastAsia" w:ascii="宋体" w:hAnsi="宋体"/>
                <w:sz w:val="21"/>
                <w:szCs w:val="21"/>
              </w:rPr>
            </w:r>
            <w:r>
              <w:rPr>
                <w:rFonts w:ascii="FangSong" w:hAnsi="FangSong" w:eastAsia="FangSong" w:cs="FangSong"/>
                <w:color w:val="000000"/>
                <w:sz w:val="21"/>
                <w:szCs w:val="21"/>
              </w:rPr>
              <w:t xml:space="preserve">金额为合同总价的10%</w:t>
            </w:r>
            <w:r>
              <w:rPr>
                <w:sz w:val="21"/>
                <w:szCs w:val="21"/>
              </w:rPr>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时间：2026年03月25日09：30（北京时间）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w:t>
            </w:r>
            <w:r>
              <w:rPr>
                <w:rFonts w:hint="eastAsia"/>
              </w:rPr>
              <w:fldChar w:fldCharType="begin"/>
            </w:r>
            <w:r>
              <w:instrText xml:space="preserve"> HYPERLINK "http://jszfcg.jsczt.cn/" </w:instrText>
            </w:r>
            <w:r>
              <w:rPr>
                <w:rFonts w:hint="eastAsia"/>
              </w:rPr>
              <w:fldChar w:fldCharType="separate"/>
            </w:r>
            <w:r>
              <w:rPr>
                <w:rStyle w:val="801"/>
                <w:rFonts w:hint="eastAsia" w:ascii="宋体" w:hAnsi="宋体" w:cs="宋体"/>
                <w:color w:val="auto"/>
                <w:szCs w:val="21"/>
              </w:rPr>
              <w:t xml:space="preserve">http://jszfcg.jsczt.cn/</w:t>
            </w:r>
            <w:r>
              <w:rPr>
                <w:rStyle w:val="801"/>
                <w:rFonts w:hint="eastAsia" w:ascii="宋体" w:hAnsi="宋体" w:cs="宋体"/>
                <w:color w:val="auto"/>
                <w:szCs w:val="21"/>
              </w:rPr>
              <w:fldChar w:fldCharType="end"/>
            </w:r>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2026年03月25日09：30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w:t>
            </w:r>
            <w:r>
              <w:rPr>
                <w:rFonts w:hint="eastAsia" w:ascii="宋体" w:hAnsi="宋体"/>
                <w:szCs w:val="21"/>
              </w:rPr>
              <w:t xml:space="preserve">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w:t>
            </w:r>
            <w:r>
              <w:rPr>
                <w:rFonts w:hint="eastAsia" w:ascii="宋体" w:hAnsi="宋体" w:cs="宋体"/>
                <w:szCs w:val="21"/>
              </w:rPr>
              <w:t xml:space="preserve">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w:t>
            </w:r>
            <w:r>
              <w:rPr>
                <w:rFonts w:hint="eastAsia" w:ascii="宋体" w:hAnsi="宋体"/>
                <w:szCs w:val="21"/>
              </w:rPr>
              <w:t xml:space="preserve">苏财购〔2020〕</w:t>
            </w:r>
            <w:r>
              <w:rPr>
                <w:rFonts w:hint="eastAsia" w:ascii="宋体" w:hAnsi="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w:t>
            </w:r>
            <w:r>
              <w:rPr>
                <w:rFonts w:hint="eastAsia" w:ascii="宋体" w:hAnsi="宋体" w:cs="宋体"/>
                <w:szCs w:val="21"/>
              </w:rPr>
              <w:t xml:space="preserve">、吕永中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本项目所产生的</w:t>
            </w:r>
            <w:r>
              <w:rPr>
                <w:rFonts w:hint="eastAsia" w:ascii="宋体" w:hAnsi="宋体" w:cs="宋体"/>
                <w:bCs/>
                <w:szCs w:val="21"/>
              </w:rPr>
              <w:t xml:space="preserve">成交</w:t>
            </w:r>
            <w:r>
              <w:rPr>
                <w:rFonts w:hint="eastAsia" w:ascii="宋体" w:hAnsi="宋体" w:cs="宋体"/>
                <w:bCs/>
                <w:szCs w:val="21"/>
                <w:lang w:val="zh-CN"/>
              </w:rPr>
              <w:t xml:space="preserve">服务费均</w:t>
            </w:r>
            <w:r>
              <w:rPr>
                <w:rFonts w:hint="eastAsia" w:ascii="宋体" w:hAnsi="宋体" w:cs="宋体"/>
                <w:bCs/>
                <w:szCs w:val="21"/>
                <w:lang w:val="zh-CN"/>
              </w:rPr>
              <w:t xml:space="preserve">由</w:t>
            </w:r>
            <w:r>
              <w:rPr>
                <w:rFonts w:hint="eastAsia" w:ascii="宋体" w:hAnsi="宋体" w:cs="宋体"/>
                <w:bCs/>
                <w:szCs w:val="21"/>
              </w:rPr>
              <w:t xml:space="preserve">成交</w:t>
            </w:r>
            <w:r>
              <w:rPr>
                <w:rFonts w:hint="eastAsia" w:ascii="宋体" w:hAnsi="宋体" w:cs="宋体"/>
                <w:bCs/>
                <w:szCs w:val="21"/>
              </w:rPr>
              <w:t xml:space="preserve">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hint="eastAsia"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p>
            <w:pPr>
              <w:spacing w:line="360" w:lineRule="auto"/>
              <w:rPr>
                <w:rFonts w:hint="eastAsia" w:ascii="宋体" w:hAnsi="宋体"/>
                <w:b/>
                <w:szCs w:val="21"/>
              </w:rPr>
            </w:pPr>
            <w:r>
              <w:rPr>
                <w:rFonts w:hint="eastAsia" w:ascii="宋体" w:hAnsi="宋体" w:cs="宋体"/>
                <w:b/>
                <w:szCs w:val="21"/>
                <w:u w:val="single"/>
              </w:rPr>
              <w:t xml:space="preserve">本项目代理费为人民币8600元整（</w:t>
            </w:r>
            <w:r>
              <w:rPr>
                <w:rFonts w:hint="eastAsia" w:ascii="宋体" w:hAnsi="宋体" w:cs="宋体"/>
                <w:b/>
                <w:szCs w:val="21"/>
                <w:u w:val="single"/>
              </w:rPr>
              <w:t xml:space="preserve">含专家</w:t>
            </w:r>
            <w:r>
              <w:rPr>
                <w:rFonts w:hint="eastAsia" w:ascii="宋体" w:hAnsi="宋体" w:cs="宋体"/>
                <w:b/>
                <w:szCs w:val="21"/>
                <w:u w:val="single"/>
              </w:rPr>
              <w:t xml:space="preserve">评审费）。</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工程量清单及图纸资料，请自行去百度</w:t>
            </w:r>
            <w:r>
              <w:rPr>
                <w:rFonts w:hint="eastAsia"/>
              </w:rPr>
              <w:t xml:space="preserve">网盘下载</w:t>
            </w:r>
            <w:r>
              <w:rPr>
                <w:rFonts w:hint="eastAsia"/>
              </w:rPr>
              <w:t xml:space="preserve">（百度</w:t>
            </w:r>
            <w:r>
              <w:rPr>
                <w:rFonts w:hint="eastAsia"/>
              </w:rPr>
              <w:t xml:space="preserve">网盘下载</w:t>
            </w:r>
            <w:r>
              <w:rPr>
                <w:rFonts w:hint="eastAsia"/>
              </w:rPr>
              <w:t xml:space="preserve">地址：</w:t>
            </w:r>
            <w:r/>
          </w:p>
          <w:p>
            <w:pPr>
              <w:spacing w:line="360" w:lineRule="auto"/>
            </w:pPr>
            <w:r>
              <w:rPr>
                <w:rFonts w:hint="eastAsia"/>
              </w:rPr>
              <w:t xml:space="preserve">链接</w:t>
            </w:r>
            <w:r>
              <w:rPr>
                <w:rFonts w:hint="eastAsia"/>
              </w:rPr>
              <w:t xml:space="preserve">: https://pan.baidu.com/s/1ttmRXHC9W0YxQkwVb_9HBg?</w:t>
            </w:r>
            <w:r/>
          </w:p>
          <w:p>
            <w:pPr>
              <w:spacing w:line="360" w:lineRule="auto"/>
              <w:rPr>
                <w:rFonts w:hint="eastAsia" w:ascii="宋体" w:hAnsi="宋体"/>
                <w:szCs w:val="21"/>
              </w:rPr>
            </w:pPr>
            <w:r>
              <w:rPr>
                <w:rFonts w:hint="eastAsia"/>
              </w:rPr>
              <w:t xml:space="preserve">提取码</w:t>
            </w:r>
            <w:r>
              <w:rPr>
                <w:rFonts w:hint="eastAsia"/>
              </w:rPr>
              <w:t xml:space="preserve">: 6vvf</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w:t>
            </w:r>
            <w:r>
              <w:rPr>
                <w:rFonts w:hint="eastAsia"/>
              </w:rPr>
              <w:t xml:space="preserve">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802"/>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66"/>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苏州大学独</w:t>
            </w:r>
            <w:r>
              <w:rPr>
                <w:rFonts w:hint="eastAsia" w:ascii="宋体" w:hAnsi="宋体"/>
                <w:szCs w:val="21"/>
                <w:u w:val="single"/>
              </w:rPr>
              <w:t xml:space="preserve">墅</w:t>
            </w:r>
            <w:r>
              <w:rPr>
                <w:rFonts w:hint="eastAsia" w:ascii="宋体" w:hAnsi="宋体"/>
                <w:szCs w:val="21"/>
                <w:u w:val="single"/>
              </w:rPr>
              <w:t xml:space="preserve">湖校区学生宿舍（四批）供电工程</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”系统（网址：http://jszfcg.jsczt.cn/）获取采购文件，并于2026-03-25日上午09：30（北京时间）前递交响应文件。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JSZC-320500-SZXY-C2026-0007</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hint="eastAsia" w:ascii="宋体" w:hAnsi="宋体" w:cs="宋体"/>
          <w:color w:val="000000"/>
        </w:rPr>
        <w:t xml:space="preserve">叁佰玖拾捌万元</w:t>
      </w:r>
      <w:r>
        <w:rPr>
          <w:rFonts w:ascii="宋体" w:hAnsi="宋体" w:cs="宋体"/>
          <w:color w:val="000000"/>
        </w:rPr>
        <w:t xml:space="preserve">整（¥</w:t>
      </w:r>
      <w:r>
        <w:rPr>
          <w:rFonts w:hint="eastAsia" w:ascii="宋体" w:hAnsi="宋体" w:cs="宋体"/>
          <w:color w:val="000000"/>
        </w:rPr>
        <w:t xml:space="preserve">3980000</w:t>
      </w:r>
      <w:r>
        <w:rPr>
          <w:rFonts w:ascii="宋体" w:hAnsi="宋体" w:cs="宋体"/>
          <w:color w:val="000000"/>
        </w:rPr>
        <w:t xml:space="preserve">.00元）</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最高限价：人民币</w:t>
      </w:r>
      <w:r>
        <w:rPr>
          <w:rFonts w:hint="eastAsia" w:ascii="宋体" w:hAnsi="宋体" w:cs="宋体"/>
          <w:color w:val="000000"/>
        </w:rPr>
        <w:t xml:space="preserve">叁佰玖拾柒万贰仟陆佰陆拾贰元捌角陆分</w:t>
      </w:r>
      <w:r>
        <w:rPr>
          <w:rFonts w:ascii="宋体" w:hAnsi="宋体" w:cs="宋体"/>
          <w:color w:val="000000"/>
        </w:rPr>
        <w:t xml:space="preserve">（¥</w:t>
      </w:r>
      <w:r>
        <w:rPr>
          <w:rFonts w:hint="eastAsia" w:ascii="宋体" w:hAnsi="宋体" w:cs="宋体"/>
          <w:color w:val="000000"/>
        </w:rPr>
        <w:t xml:space="preserve">3972662.86</w:t>
      </w:r>
      <w:r>
        <w:rPr>
          <w:rFonts w:ascii="宋体" w:hAnsi="宋体" w:cs="宋体"/>
          <w:color w:val="000000"/>
        </w:rPr>
        <w:t xml:space="preserve">元）</w:t>
      </w:r>
      <w:r/>
    </w:p>
    <w:p>
      <w:pPr>
        <w:ind w:firstLine="420"/>
        <w:spacing w:line="360" w:lineRule="auto"/>
        <w:rPr>
          <w:rFonts w:hint="eastAsia" w:ascii="宋体" w:hAnsi="宋体" w:cs="宋体"/>
        </w:rPr>
      </w:pPr>
      <w:r>
        <w:rPr>
          <w:rFonts w:ascii="宋体" w:hAnsi="宋体" w:cs="宋体"/>
          <w:color w:val="000000"/>
        </w:rPr>
        <w:t xml:space="preserve">  注：响应报价（包括最后报价）超采购预算或最高限价者不成交</w:t>
      </w:r>
      <w:r>
        <w:rPr>
          <w:rFonts w:hint="eastAsia" w:ascii="宋体" w:hAnsi="宋体" w:cs="宋体"/>
          <w:szCs w:val="21"/>
        </w:rPr>
        <w:t xml:space="preserve">）</w:t>
      </w:r>
      <w:r>
        <w:rPr>
          <w:rFonts w:hint="eastAsia" w:ascii="宋体" w:hAnsi="宋体"/>
          <w:szCs w:val="21"/>
        </w:rPr>
        <w:t xml:space="preserve">，超过预算金额为无效响应。</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供电工程，新建变电所容量为2*1600KVA,采用二路20KV电源供电,由唐仲英医学研究院大楼动力中心总变电所I、II段供电。第一路电源由总变电所高压柜AH18引来,第二路电源由总变电所高压柜AH28引来。</w:t>
      </w:r>
      <w:r/>
    </w:p>
    <w:p>
      <w:pPr>
        <w:ind w:firstLine="420"/>
        <w:spacing w:line="360" w:lineRule="auto"/>
        <w:rPr>
          <w:rFonts w:hint="eastAsia" w:ascii="宋体" w:hAnsi="宋体" w:cs="宋体"/>
          <w:szCs w:val="21"/>
        </w:rPr>
      </w:pPr>
      <w:r>
        <w:rPr>
          <w:rFonts w:hint="eastAsia" w:ascii="宋体" w:hAnsi="宋体" w:cs="宋体"/>
          <w:szCs w:val="21"/>
        </w:rPr>
        <w:t xml:space="preserve">5.2与苏州大学能源管理平台的对接要求</w:t>
      </w:r>
      <w:r/>
    </w:p>
    <w:p>
      <w:pPr>
        <w:ind w:firstLine="420"/>
        <w:spacing w:line="360" w:lineRule="auto"/>
        <w:rPr>
          <w:rFonts w:hint="eastAsia" w:ascii="宋体" w:hAnsi="宋体" w:cs="宋体"/>
          <w:szCs w:val="21"/>
        </w:rPr>
      </w:pPr>
      <w:r>
        <w:rPr>
          <w:rFonts w:hint="eastAsia" w:ascii="宋体" w:hAnsi="宋体" w:cs="宋体"/>
          <w:szCs w:val="21"/>
        </w:rPr>
        <w:t xml:space="preserve">5.2.1 变电所电能监测管理后台需满足遥测、遥信、遥控、遥视功能，可融入苏州大学能源中心管理平台。</w:t>
      </w:r>
      <w:r/>
    </w:p>
    <w:p>
      <w:pPr>
        <w:ind w:firstLine="420"/>
        <w:spacing w:line="360" w:lineRule="auto"/>
        <w:rPr>
          <w:rFonts w:hint="eastAsia" w:ascii="宋体" w:hAnsi="宋体" w:cs="宋体"/>
          <w:szCs w:val="21"/>
        </w:rPr>
      </w:pPr>
      <w:r>
        <w:rPr>
          <w:rFonts w:hint="eastAsia" w:ascii="宋体" w:hAnsi="宋体" w:cs="宋体"/>
          <w:szCs w:val="21"/>
        </w:rPr>
        <w:t xml:space="preserve">5.2.2 变电所电能监测管理后台需要实现云端和就地双重处理，满足平台的就地(异地)登录、操作和运行数据的第三方转发。</w:t>
      </w:r>
      <w:r/>
    </w:p>
    <w:p>
      <w:pPr>
        <w:ind w:firstLine="420"/>
        <w:spacing w:line="360" w:lineRule="auto"/>
        <w:rPr>
          <w:rFonts w:hint="eastAsia" w:ascii="宋体" w:hAnsi="宋体" w:cs="宋体"/>
          <w:szCs w:val="21"/>
        </w:rPr>
      </w:pPr>
      <w:r>
        <w:rPr>
          <w:rFonts w:hint="eastAsia" w:ascii="宋体" w:hAnsi="宋体" w:cs="宋体"/>
          <w:szCs w:val="21"/>
        </w:rPr>
        <w:t xml:space="preserve">5.2.3 变电所的实时视频数据需同步融入苏州大学能源管理中心管理平台。</w:t>
      </w:r>
      <w:r/>
    </w:p>
    <w:p>
      <w:pPr>
        <w:ind w:firstLine="420"/>
        <w:spacing w:line="360" w:lineRule="auto"/>
        <w:rPr>
          <w:rFonts w:hint="eastAsia" w:ascii="宋体" w:hAnsi="宋体" w:cs="宋体"/>
          <w:sz w:val="21"/>
          <w:szCs w:val="21"/>
        </w:rPr>
      </w:pPr>
      <w:r>
        <w:rPr>
          <w:rFonts w:hint="eastAsia" w:ascii="宋体" w:hAnsi="宋体" w:cs="宋体"/>
          <w:szCs w:val="21"/>
        </w:rPr>
        <w:t xml:space="preserve">5.2.4 变电所电能监测管理后台可实现就地（异地）对所内低压总开关及分路馈线开关的分合闸控</w:t>
      </w:r>
      <w:r>
        <w:rPr>
          <w:rFonts w:hint="eastAsia" w:ascii="宋体" w:hAnsi="宋体" w:cs="宋体"/>
          <w:sz w:val="21"/>
          <w:szCs w:val="21"/>
        </w:rPr>
        <w:t xml:space="preserve">制。</w:t>
      </w:r>
      <w:r>
        <w:rPr>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5.2.5 </w:t>
      </w:r>
      <w:r>
        <w:rPr>
          <w:rFonts w:ascii="宋体" w:hAnsi="宋体" w:eastAsia="宋体" w:cs="宋体"/>
          <w:color w:val="000000"/>
          <w:sz w:val="21"/>
          <w:szCs w:val="21"/>
        </w:rPr>
        <w:t xml:space="preserve">低压柜内所装断路器应具备通讯功能，同时安装电动操作机构实现远程操控，且均应具备分励脱扣线圈及辅助触点</w:t>
      </w:r>
      <w:r>
        <w:rPr>
          <w:rFonts w:hint="eastAsia" w:ascii="宋体" w:hAnsi="宋体" w:eastAsia="宋体" w:cs="宋体"/>
          <w:sz w:val="21"/>
          <w:szCs w:val="21"/>
        </w:rPr>
        <w:t xml:space="preserve">。</w:t>
      </w:r>
      <w:r>
        <w:rPr>
          <w:rFonts w:ascii="宋体" w:hAnsi="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5.2.6 电力多功能仪表需具备开关量输入(断路器开关量需接入)、开关量输出功能。</w:t>
      </w:r>
      <w:r/>
    </w:p>
    <w:p>
      <w:pPr>
        <w:ind w:firstLine="420"/>
        <w:spacing w:line="360" w:lineRule="auto"/>
        <w:rPr>
          <w:rFonts w:hint="eastAsia" w:ascii="宋体" w:hAnsi="宋体" w:cs="宋体"/>
          <w:szCs w:val="21"/>
        </w:rPr>
      </w:pPr>
      <w:r>
        <w:rPr>
          <w:rFonts w:hint="eastAsia" w:ascii="宋体" w:hAnsi="宋体" w:cs="宋体"/>
          <w:szCs w:val="21"/>
        </w:rPr>
        <w:t xml:space="preserve">5.2.7 电力多功能仪表工作电源需取自断路器上口。</w:t>
      </w:r>
      <w:r/>
    </w:p>
    <w:p>
      <w:pPr>
        <w:ind w:firstLine="420"/>
        <w:spacing w:line="360" w:lineRule="auto"/>
        <w:rPr>
          <w:rFonts w:hint="eastAsia" w:ascii="宋体" w:hAnsi="宋体" w:cs="宋体"/>
          <w:szCs w:val="21"/>
        </w:rPr>
      </w:pPr>
      <w:r>
        <w:rPr>
          <w:rFonts w:hint="eastAsia" w:ascii="宋体" w:hAnsi="宋体" w:cs="宋体"/>
          <w:szCs w:val="21"/>
        </w:rPr>
        <w:t xml:space="preserve">可以实现电力参数、烟禁、</w:t>
      </w:r>
      <w:r>
        <w:rPr>
          <w:rFonts w:hint="eastAsia" w:ascii="宋体" w:hAnsi="宋体" w:cs="宋体"/>
          <w:szCs w:val="21"/>
        </w:rPr>
        <w:t xml:space="preserve">水禁等</w:t>
      </w:r>
      <w:r>
        <w:rPr>
          <w:rFonts w:hint="eastAsia" w:ascii="宋体" w:hAnsi="宋体" w:cs="宋体"/>
          <w:szCs w:val="21"/>
        </w:rPr>
        <w:t xml:space="preserve">实时传输，变电所视频实时查看，参数包括但不限于电流、电压、用电量等。如有疑问可以现场查看。</w:t>
      </w:r>
      <w:r/>
    </w:p>
    <w:p>
      <w:pPr>
        <w:ind w:firstLine="420"/>
        <w:spacing w:line="360" w:lineRule="auto"/>
        <w:rPr>
          <w:rFonts w:hint="eastAsia" w:ascii="宋体" w:hAnsi="宋体" w:cs="宋体"/>
          <w:szCs w:val="21"/>
        </w:rPr>
      </w:pPr>
      <w:r>
        <w:rPr>
          <w:rFonts w:hint="eastAsia" w:ascii="宋体" w:hAnsi="宋体" w:cs="宋体"/>
          <w:szCs w:val="21"/>
        </w:rPr>
        <w:t xml:space="preserve">6.发包范围：苏州大学独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供电工程等，具体以图纸、工程量清单为准。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7.工期要求：施工总工期为35日历天（具体开工日期以采购人通知为准）。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8.质量要求</w:t>
      </w:r>
      <w:r>
        <w:rPr>
          <w:rFonts w:hint="eastAsia" w:hAnsi="宋体" w:cs="宋体"/>
          <w:szCs w:val="21"/>
        </w:rPr>
        <w:t xml:space="preserve">：合格。</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具备【输变电工程专业承包三级】（含）以上资质或【建筑机电安装工程专业承包二级】（含）以上资质或【电力工程施工总承包三级】（含）以上资质，且具备电力承装（修、试）五级（含）及以上资质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（2）拟选派项目经理资质等级：</w:t>
      </w:r>
      <w:r>
        <w:rPr>
          <w:rFonts w:hint="eastAsia" w:ascii="宋体" w:hAnsi="宋体" w:cs="Arial"/>
          <w:szCs w:val="21"/>
        </w:rPr>
        <w:t xml:space="preserve">机电工程注册建造师二级（含）以上；《建筑施工企业项目负责人安全生产考核合格证书》(B类)；提供项目经理无在建工程承诺书以及响应单位为其缴纳的近三个月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1.时间：2026-03-09 00:00 - 2026-03-13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1.截止时间：2026-03-25 09:30</w:t>
      </w:r>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highlight w:val="none"/>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0"/>
        <w:jc w:val="left"/>
        <w:spacing w:line="360" w:lineRule="auto"/>
        <w:rPr>
          <w:rFonts w:hint="eastAsia" w:ascii="宋体" w:hAnsi="宋体" w:cs="Arial"/>
        </w:rPr>
      </w:pPr>
      <w:r>
        <w:rPr>
          <w:rFonts w:hint="eastAsia" w:ascii="宋体" w:hAnsi="宋体" w:cs="Arial"/>
          <w:szCs w:val="21"/>
          <w:highlight w:val="none"/>
        </w:rPr>
      </w:r>
      <w:r>
        <w:rPr>
          <w:rFonts w:hint="eastAsia" w:ascii="宋体" w:hAnsi="宋体" w:cs="Arial"/>
          <w:szCs w:val="21"/>
          <w:highlight w:val="none"/>
        </w:rP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75"/>
        <w:ind w:firstLine="420"/>
        <w:spacing w:line="360" w:lineRule="auto"/>
        <w:rPr>
          <w:rFonts w:hint="eastAsia" w:ascii="宋体" w:hAnsi="宋体" w:cs="宋体"/>
          <w:color w:val="000000" w:themeColor="text1"/>
          <w:sz w:val="21"/>
          <w:szCs w:val="21"/>
        </w:rPr>
      </w:pPr>
      <w:r>
        <w:rPr>
          <w:rFonts w:hint="eastAsia" w:ascii="仿宋" w:hAnsi="仿宋" w:eastAsia="仿宋" w:cs="仿宋"/>
          <w:color w:val="333333"/>
          <w:sz w:val="21"/>
          <w:szCs w:val="21"/>
          <w:shd w:val="clear" w:color="auto" w:fill="ffffff"/>
        </w:rPr>
        <w:t xml:space="preserve">1.</w:t>
      </w:r>
      <w:r>
        <w:rPr>
          <w:rFonts w:ascii="仿宋" w:hAnsi="仿宋" w:eastAsia="仿宋" w:cs="仿宋"/>
          <w:color w:val="333333"/>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2026-03-25 09:30（北京时间）</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2.地点：</w:t>
      </w:r>
      <w:r>
        <w:rPr>
          <w:rFonts w:hint="eastAsia" w:ascii="宋体" w:hAnsi="宋体" w:cs="宋体"/>
          <w:color w:val="000000" w:themeColor="text1"/>
          <w:szCs w:val="21"/>
        </w:rPr>
        <w:t xml:space="preserve">苏州市市辖区政府采购不见面虚拟开标室7</w:t>
      </w:r>
      <w:r>
        <w:rPr>
          <w:rFonts w:hint="eastAsia" w:ascii="仿宋" w:hAnsi="仿宋" w:eastAsia="仿宋" w:cs="仿宋"/>
          <w:color w:val="333333"/>
          <w:szCs w:val="21"/>
          <w:shd w:val="clear" w:color="auto" w:fill="ffffff"/>
        </w:rPr>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”系统下的政务CA证书全省通用。苏州现场办理地址：苏州市高新区邓尉路105号狮山科技馆1楼服务大厅，咨询电话：0512-69820834。</w:t>
      </w:r>
      <w:r>
        <w:rPr>
          <w:rFonts w:hint="eastAsia" w:ascii="宋体" w:hAnsi="宋体" w:cs="宋体"/>
          <w:color w:val="000000" w:themeColor="text1"/>
          <w:sz w:val="21"/>
          <w:szCs w:val="21"/>
        </w:rPr>
        <w:t xml:space="preserve">834。</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电子签章技术咨询服务电话：15380932027、15371015030 、13675197356、13675197221</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”平台技术咨询电话： 0519-86722802、13914088964、18261002950</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775"/>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w:t>
      </w:r>
      <w:r>
        <w:rPr>
          <w:rFonts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CA证书解密电子响应文件，如在系统规定的解密时间（响应文件提交截止时间后 30 分钟)内未能完成解密的视为放弃参与本项目。</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刘达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61"/>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hint="eastAsia" w:ascii="宋体" w:hAnsi="宋体" w:cs="宋体"/>
          <w:sz w:val="24"/>
        </w:rPr>
      </w:pPr>
      <w:r>
        <w:rPr>
          <w:rFonts w:hint="eastAsia" w:ascii="宋体" w:hAnsi="宋体"/>
          <w:szCs w:val="21"/>
        </w:rPr>
        <w:t xml:space="preserve">2026年03月18日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供电工程，具体以图纸、工程量清单说明为准（其他详见磋商文件）。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4、工期要求：施工总工期为35日历天；（具体开工日期以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【输变电工程专业承包三级】（含）以上资质或【建筑机电安装工程专业承包二级】（含）以上资质或【电力工程施工总承包三级】（含）以上资质，且具备电力承装（修、试）五级（含）及以上资质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6.3.2拟选派项目经理资质等级：</w:t>
      </w:r>
      <w:r>
        <w:rPr>
          <w:rFonts w:hint="eastAsia" w:ascii="宋体" w:hAnsi="宋体" w:cs="Arial"/>
          <w:szCs w:val="21"/>
        </w:rPr>
        <w:t xml:space="preserve">机电工程注册建造师二级(含)以上证书并具备项目经理安全生产考核合格证（B类），项目经理无在建工程承诺书以及响应单位为其缴纳的近三个月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w:t>
      </w:r>
      <w:r>
        <w:rPr>
          <w:rFonts w:hint="eastAsia" w:ascii="宋体" w:hAnsi="宋体"/>
          <w:bCs/>
          <w:szCs w:val="21"/>
        </w:rPr>
        <w:t xml:space="preserve">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62"/>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(3)国家或省级、行业建设主管部门颁发的计价办法；</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(4)企业定额，国家或省级、行业建设主管部门颁发的计价定额；</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(5)磋商采购文件、招标采购工程量清单及其补充通知、答疑纪要；</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(6)建设工程设计文件及相关资料；</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(7)施工现场情况、工程特点及拟定的投标施工组织设计或施工方案；</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(8)与建设项目相关的标准、规范等技术资料；</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72"/>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2"/>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75"/>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804"/>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w:t>
      </w:r>
      <w:r>
        <w:rPr>
          <w:rFonts w:hint="eastAsia" w:ascii="宋体" w:hAnsi="宋体"/>
          <w:szCs w:val="21"/>
        </w:rPr>
        <w:t xml:space="preserve">微企业</w:t>
      </w:r>
      <w:r>
        <w:rPr>
          <w:rFonts w:hint="eastAsia" w:ascii="宋体" w:hAnsi="宋体"/>
          <w:szCs w:val="21"/>
        </w:rPr>
        <w:t xml:space="preserve">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4"/>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hint="eastAsia" w:ascii="宋体" w:hAnsi="宋体"/>
          <w:szCs w:val="21"/>
        </w:rPr>
        <w:t xml:space="preserve">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27.4评审合格不满三家或进入二次报价的不满三家或二次报价在采购最高限价内不满三家的，磋商采购失败。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72"/>
        <w:ind w:firstLine="0"/>
        <w:spacing w:line="360" w:lineRule="auto"/>
        <w:rPr>
          <w:rFonts w:hint="eastAsia" w:ascii="宋体" w:hAnsi="宋体" w:eastAsia="宋体"/>
          <w:b/>
        </w:rPr>
      </w:pPr>
      <w:r>
        <w:rPr>
          <w:rFonts w:hint="eastAsia" w:ascii="宋体" w:hAnsi="宋体" w:eastAsia="宋体"/>
          <w:b/>
        </w:rPr>
        <w:t xml:space="preserve">说明：</w:t>
      </w:r>
      <w:r/>
    </w:p>
    <w:p>
      <w:pPr>
        <w:pStyle w:val="804"/>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4"/>
      </w:pPr>
      <w:r/>
      <w:r/>
    </w:p>
    <w:p>
      <w:pPr>
        <w:pStyle w:val="804"/>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79"/>
        <w:spacing w:line="360" w:lineRule="auto"/>
        <w:rPr>
          <w:rFonts w:hint="eastAsia" w:hAnsi="宋体"/>
          <w:b/>
          <w:bCs/>
          <w:sz w:val="24"/>
        </w:rPr>
      </w:pPr>
      <w:r>
        <w:rPr>
          <w:rFonts w:hint="eastAsia" w:hAnsi="宋体"/>
          <w:b/>
          <w:sz w:val="24"/>
        </w:rPr>
        <w:t xml:space="preserve">2、磋商响应函</w:t>
      </w:r>
      <w:r/>
    </w:p>
    <w:p>
      <w:pPr>
        <w:pStyle w:val="779"/>
        <w:ind w:firstLine="422"/>
        <w:jc w:val="center"/>
        <w:spacing w:line="360" w:lineRule="auto"/>
        <w:rPr>
          <w:rFonts w:hint="eastAsia" w:hAnsi="宋体"/>
          <w:b/>
          <w:szCs w:val="21"/>
        </w:rPr>
      </w:pPr>
      <w:r>
        <w:rPr>
          <w:rFonts w:hint="eastAsia" w:hAnsi="宋体"/>
          <w:b/>
          <w:szCs w:val="21"/>
        </w:rPr>
        <w:t xml:space="preserve">磋商响应函</w:t>
      </w:r>
      <w:r/>
    </w:p>
    <w:p>
      <w:pPr>
        <w:pStyle w:val="779"/>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68"/>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68"/>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68"/>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68"/>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68"/>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68"/>
        <w:ind w:firstLine="420"/>
        <w:spacing w:line="360" w:lineRule="auto"/>
        <w:rPr>
          <w:rFonts w:hint="eastAsia"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68"/>
        <w:ind w:firstLine="420"/>
        <w:spacing w:line="360" w:lineRule="auto"/>
        <w:rPr>
          <w:rFonts w:hint="eastAsia"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68"/>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68"/>
        <w:ind w:firstLine="420"/>
        <w:spacing w:line="360" w:lineRule="auto"/>
        <w:rPr>
          <w:rFonts w:hint="eastAsia"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68"/>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68"/>
        <w:ind w:firstLine="420"/>
        <w:spacing w:line="360" w:lineRule="auto"/>
        <w:rPr>
          <w:rFonts w:hint="eastAsia" w:hAnsi="宋体"/>
          <w:szCs w:val="21"/>
        </w:rPr>
      </w:pPr>
      <w:r>
        <w:rPr>
          <w:rFonts w:hint="eastAsia" w:hAnsi="宋体"/>
          <w:szCs w:val="21"/>
        </w:rPr>
      </w:r>
      <w:r/>
    </w:p>
    <w:p>
      <w:pPr>
        <w:pStyle w:val="968"/>
        <w:ind w:firstLine="420"/>
        <w:spacing w:line="360" w:lineRule="auto"/>
        <w:rPr>
          <w:rFonts w:hint="eastAsia" w:hAnsi="宋体"/>
          <w:szCs w:val="21"/>
        </w:rPr>
      </w:pPr>
      <w:r>
        <w:rPr>
          <w:rFonts w:hint="eastAsia" w:hAnsi="宋体"/>
          <w:szCs w:val="21"/>
        </w:rPr>
      </w:r>
      <w:r/>
    </w:p>
    <w:p>
      <w:pPr>
        <w:pStyle w:val="968"/>
        <w:ind w:firstLine="420"/>
        <w:spacing w:line="360" w:lineRule="auto"/>
        <w:rPr>
          <w:rFonts w:hint="eastAsia" w:hAnsi="宋体"/>
          <w:szCs w:val="21"/>
        </w:rPr>
      </w:pPr>
      <w:r>
        <w:rPr>
          <w:rFonts w:hint="eastAsia" w:hAnsi="宋体"/>
          <w:szCs w:val="21"/>
        </w:rPr>
        <w:t xml:space="preserve">供应商：（公章）</w:t>
      </w:r>
      <w:r/>
    </w:p>
    <w:p>
      <w:pPr>
        <w:pStyle w:val="968"/>
        <w:ind w:firstLine="420"/>
        <w:spacing w:line="360" w:lineRule="auto"/>
        <w:rPr>
          <w:rFonts w:hint="eastAsia" w:hAnsi="宋体"/>
          <w:szCs w:val="21"/>
        </w:rPr>
      </w:pPr>
      <w:r>
        <w:rPr>
          <w:rFonts w:hint="eastAsia" w:hAnsi="宋体"/>
          <w:szCs w:val="21"/>
        </w:rPr>
        <w:t xml:space="preserve">法定代表人或委托代理人：（签字或盖章）</w:t>
      </w:r>
      <w:r/>
    </w:p>
    <w:p>
      <w:pPr>
        <w:pStyle w:val="968"/>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2"/>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72"/>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事务所有限公司组织实施的编号</w:t>
      </w:r>
      <w:r>
        <w:rPr>
          <w:rFonts w:hint="eastAsia" w:ascii="宋体" w:hAnsi="宋体" w:eastAsia="宋体"/>
          <w:sz w:val="21"/>
          <w:szCs w:val="21"/>
          <w:u w:val="single"/>
        </w:rPr>
        <w:t xml:space="preserve">JSZC-320500-SZXY-C2026-0007</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4"/>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4"/>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4"/>
      </w:p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4"/>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79"/>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04"/>
      </w:pPr>
      <w:r/>
      <w:r/>
    </w:p>
    <w:p>
      <w:r/>
      <w:r/>
    </w:p>
    <w:p>
      <w:pPr>
        <w:pStyle w:val="804"/>
      </w:pPr>
      <w:r/>
      <w:r/>
    </w:p>
    <w:p>
      <w:r/>
      <w:r/>
    </w:p>
    <w:p>
      <w:pPr>
        <w:pStyle w:val="804"/>
      </w:pPr>
      <w:r/>
      <w:r/>
    </w:p>
    <w:p>
      <w:r/>
      <w:r/>
    </w:p>
    <w:p>
      <w:pPr>
        <w:pStyle w:val="804"/>
      </w:pPr>
      <w:r/>
      <w:r/>
    </w:p>
    <w:p>
      <w:r/>
      <w:r/>
    </w:p>
    <w:p>
      <w:pPr>
        <w:pStyle w:val="804"/>
      </w:pPr>
      <w:r/>
      <w:r/>
    </w:p>
    <w:p>
      <w:r/>
      <w:r/>
    </w:p>
    <w:p>
      <w:pPr>
        <w:pStyle w:val="804"/>
      </w:p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7、增加投标单</w:t>
      </w:r>
      <w:r>
        <w:rPr>
          <w:rFonts w:hint="eastAsia" w:ascii="宋体" w:hAnsi="宋体" w:eastAsia="宋体" w:cs="宋体"/>
          <w:b/>
          <w:bCs/>
          <w:szCs w:val="24"/>
        </w:rPr>
        <w:t xml:space="preserve">位拟</w:t>
      </w:r>
      <w:r>
        <w:rPr>
          <w:rFonts w:hint="eastAsia" w:ascii="宋体" w:hAnsi="宋体" w:eastAsia="宋体" w:cs="宋体"/>
          <w:b/>
          <w:bCs/>
          <w:szCs w:val="24"/>
        </w:rPr>
        <w:t xml:space="preserve">使用品牌表（包含：</w:t>
      </w:r>
      <w:r>
        <w:rPr>
          <w:rFonts w:hint="eastAsia" w:ascii="宋体" w:hAnsi="宋体" w:eastAsia="宋体" w:cs="宋体"/>
          <w:b/>
          <w:bCs/>
          <w:szCs w:val="24"/>
        </w:rPr>
        <w:t xml:space="preserve">高压高压</w:t>
      </w:r>
      <w:r>
        <w:rPr>
          <w:rFonts w:hint="eastAsia" w:ascii="宋体" w:hAnsi="宋体" w:eastAsia="宋体" w:cs="宋体"/>
          <w:b/>
          <w:bCs/>
          <w:szCs w:val="24"/>
        </w:rPr>
        <w:t xml:space="preserve">成套配电柜、低压开关柜、变电所电力监控系统、低压框架断路器、低压塑壳断路器、电力电缆、电容器、有源滤波器、多功能仪表）</w:t>
      </w:r>
      <w:r/>
    </w:p>
    <w:p>
      <w:pPr>
        <w:rPr>
          <w:rFonts w:hint="eastAsia" w:ascii="宋体" w:hAnsi="宋体" w:cs="宋体"/>
          <w:b/>
          <w:bCs/>
        </w:rPr>
        <w:outlineLvl w:val="1"/>
      </w:pPr>
      <w:r>
        <w:rPr>
          <w:rFonts w:hint="eastAsia" w:ascii="宋体" w:hAnsi="宋体" w:cs="宋体"/>
          <w:b/>
          <w:bCs/>
        </w:rPr>
        <w:br w:type="page" w:clear="all"/>
      </w:r>
      <w:r/>
    </w:p>
    <w:p>
      <w:pPr>
        <w:pStyle w:val="772"/>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72"/>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4"/>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0" w:name="_Toc453492243"/>
      <w:r/>
      <w:bookmarkStart w:id="1" w:name="_Toc373488731"/>
      <w:r>
        <w:rPr>
          <w:rFonts w:hint="eastAsia"/>
          <w:b/>
          <w:sz w:val="24"/>
        </w:rPr>
        <w:t xml:space="preserve">类似业绩一览表</w:t>
      </w:r>
      <w:bookmarkEnd w:id="0"/>
      <w:r/>
      <w:bookmarkEnd w:id="1"/>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10、项目经理无在建工程承诺书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项目经理无在建工程承诺书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r/>
      <w:r/>
    </w:p>
    <w:p>
      <w:pPr>
        <w:pStyle w:val="804"/>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72"/>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72"/>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JSZC-320500-SZXY-C2026-0007</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72"/>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79"/>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1.苏州大学独</w:t>
      </w:r>
      <w:r>
        <w:rPr>
          <w:rFonts w:hint="eastAsia" w:ascii="宋体" w:hAnsi="宋体" w:cs="宋体"/>
          <w:szCs w:val="21"/>
        </w:rPr>
        <w:t xml:space="preserve">墅</w:t>
      </w:r>
      <w:r>
        <w:rPr>
          <w:rFonts w:hint="eastAsia" w:ascii="宋体" w:hAnsi="宋体" w:cs="宋体"/>
          <w:szCs w:val="21"/>
        </w:rPr>
        <w:t xml:space="preserve">湖校区学生宿舍（四批）供电工程，属于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2.苏州大学独</w:t>
      </w:r>
      <w:r>
        <w:rPr>
          <w:rFonts w:hint="eastAsia" w:ascii="宋体" w:hAnsi="宋体" w:cs="宋体"/>
          <w:szCs w:val="21"/>
        </w:rPr>
        <w:t xml:space="preserve">墅</w:t>
      </w:r>
      <w:r>
        <w:rPr>
          <w:rFonts w:hint="eastAsia" w:ascii="宋体" w:hAnsi="宋体" w:cs="宋体"/>
          <w:szCs w:val="21"/>
        </w:rPr>
        <w:t xml:space="preserve">湖校区学生宿舍（四批）供电工程，属于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804"/>
        <w:ind w:firstLine="0"/>
        <w:rPr>
          <w:rFonts w:hint="eastAsia" w:hAnsi="宋体" w:cs="宋体"/>
          <w:szCs w:val="21"/>
        </w:rPr>
      </w:pPr>
      <w:r>
        <w:rPr>
          <w:rFonts w:hint="eastAsia" w:hAnsi="宋体" w:cs="宋体"/>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93"/>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93"/>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93"/>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93"/>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93"/>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76"/>
        <w:ind w:firstLine="210"/>
        <w:rPr>
          <w:rFonts w:hint="eastAsia" w:ascii="宋体" w:hAnsi="宋体" w:cs="宋体"/>
          <w:szCs w:val="21"/>
        </w:rPr>
      </w:pPr>
      <w:r>
        <w:rPr>
          <w:rFonts w:hint="eastAsia" w:ascii="宋体" w:hAnsi="宋体" w:cs="宋体"/>
          <w:szCs w:val="21"/>
        </w:rPr>
        <w:t xml:space="preserve">日期：   年    月    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72"/>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93"/>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72"/>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4"/>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62"/>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4"/>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事务所有限公司受苏州大学的委托，就其所需采购的</w:t>
      </w:r>
      <w:r>
        <w:rPr>
          <w:rFonts w:hint="eastAsia" w:ascii="宋体" w:hAnsi="宋体" w:eastAsia="宋体"/>
          <w:sz w:val="21"/>
          <w:szCs w:val="21"/>
        </w:rPr>
        <w:t xml:space="preserve">苏州大学独</w:t>
      </w:r>
      <w:r>
        <w:rPr>
          <w:rFonts w:hint="eastAsia" w:ascii="宋体" w:hAnsi="宋体" w:eastAsia="宋体"/>
          <w:sz w:val="21"/>
          <w:szCs w:val="21"/>
        </w:rPr>
        <w:t xml:space="preserve">墅</w:t>
      </w:r>
      <w:r>
        <w:rPr>
          <w:rFonts w:hint="eastAsia" w:ascii="宋体" w:hAnsi="宋体" w:eastAsia="宋体"/>
          <w:sz w:val="21"/>
          <w:szCs w:val="21"/>
        </w:rPr>
        <w:t xml:space="preserve">湖校区学生</w:t>
      </w:r>
      <w:r>
        <w:rPr>
          <w:rFonts w:hint="eastAsia" w:ascii="宋体" w:hAnsi="宋体" w:eastAsia="宋体" w:cs="宋体"/>
          <w:sz w:val="21"/>
          <w:szCs w:val="21"/>
        </w:rPr>
        <w:t xml:space="preserve">宿舍（四批）供电</w:t>
      </w:r>
      <w:r>
        <w:rPr>
          <w:rFonts w:hint="eastAsia" w:ascii="宋体" w:hAnsi="宋体" w:eastAsia="宋体"/>
          <w:sz w:val="21"/>
          <w:szCs w:val="21"/>
        </w:rPr>
        <w:t xml:space="preserve">工程</w:t>
      </w:r>
      <w:r>
        <w:rPr>
          <w:rFonts w:hint="eastAsia" w:ascii="宋体" w:hAnsi="宋体" w:eastAsia="宋体" w:cs="宋体"/>
          <w:sz w:val="21"/>
          <w:szCs w:val="21"/>
        </w:rPr>
        <w:t xml:space="preserve">采用竞争性磋商方式进行采购，欢迎有资格的供应商前来参加本次磋商采购活动。</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JSZC-320500-SZXY-C2026-0007</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湖校区学生宿舍（四批）供电工程</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2、采购预算金额：人民币叁佰玖拾捌万元整（¥3980000.00元）</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最高限价：人民币叁佰玖拾柒万贰仟陆佰陆拾贰元捌角陆分（¥3972662.86元）</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注：响应报价（包括最后报价）超采购预算或最高限价者不成交。</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4、工期要求：施工总工期为35日历天（具体开工日期以采购人通知为准）</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湖校区学生宿舍（四批）供电工程，具体以图纸、工程量清单为准（其他详见磋商文件）。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（1）《建设工程工程量清单计价规范GB50854-2013》；</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（2）苏州市建设局文件</w:t>
      </w:r>
      <w:r>
        <w:rPr>
          <w:rFonts w:hint="eastAsia" w:ascii="宋体" w:hAnsi="宋体" w:eastAsia="宋体" w:cs="宋体"/>
          <w:sz w:val="21"/>
          <w:szCs w:val="21"/>
        </w:rPr>
        <w:t xml:space="preserve">苏住建价</w:t>
      </w:r>
      <w:r>
        <w:rPr>
          <w:rFonts w:hint="eastAsia" w:ascii="宋体" w:hAnsi="宋体" w:eastAsia="宋体" w:cs="宋体"/>
          <w:sz w:val="21"/>
          <w:szCs w:val="21"/>
        </w:rPr>
        <w:t xml:space="preserve">[2016]3号文，《江苏省建设工程费用定额(2014年)》；</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（3）《江苏省建筑与装饰工程计价定额（2014）》；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（4）《2013江苏省市政工程计价定额（2014）》；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（5）《江苏省安装工程计价定额（2014）》；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（7）采购单位提供的其他资料；</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（8）江苏省、苏州市建设行政主管部门最新相关文件规定；</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1.与苏州大学能源管理平台的对接要求</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（1）变电所电能监测管理后台需满足遥测、遥信、遥控、遥视功能，可融入苏州大学能源中心管理平台。</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（2）变电所电能监测管理后台需要实现云端和就地双重处理，满足平台的就地(异地)登录、操作和运行数据的第三方转发。</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（3）变电所的实时视频数据需同步融入苏州大学能源管理中心管理平台。</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 变电所电能监测管理后台可实现就地（异地）对所内低压总开关及分路馈线开关的分合闸控制。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（5）低压柜内所装断路器需具备分</w:t>
      </w:r>
      <w:r>
        <w:rPr>
          <w:rFonts w:hint="eastAsia" w:ascii="宋体" w:hAnsi="宋体" w:eastAsia="宋体" w:cs="宋体"/>
          <w:sz w:val="21"/>
          <w:szCs w:val="21"/>
        </w:rPr>
        <w:t xml:space="preserve">励</w:t>
      </w:r>
      <w:r>
        <w:rPr>
          <w:rFonts w:hint="eastAsia" w:ascii="宋体" w:hAnsi="宋体" w:eastAsia="宋体" w:cs="宋体"/>
          <w:sz w:val="21"/>
          <w:szCs w:val="21"/>
        </w:rPr>
        <w:t xml:space="preserve">脱口线圈及辅助触点，满足消防</w:t>
      </w:r>
      <w:r>
        <w:rPr>
          <w:rFonts w:hint="eastAsia" w:ascii="宋体" w:hAnsi="宋体" w:eastAsia="宋体" w:cs="宋体"/>
          <w:sz w:val="21"/>
          <w:szCs w:val="21"/>
        </w:rPr>
        <w:t xml:space="preserve">联动强切</w:t>
      </w:r>
      <w:r>
        <w:rPr>
          <w:rFonts w:hint="eastAsia" w:ascii="宋体" w:hAnsi="宋体" w:eastAsia="宋体" w:cs="宋体"/>
          <w:sz w:val="21"/>
          <w:szCs w:val="21"/>
        </w:rPr>
        <w:t xml:space="preserve">。</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（6）电力多功能仪表需具备开关量输入(断路器开关量需接入)、开关量输出功能。</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（7）电力多功能仪表工作电源需取自断路器上口。</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可以实现电力参数、烟禁、</w:t>
      </w:r>
      <w:r>
        <w:rPr>
          <w:rFonts w:hint="eastAsia" w:ascii="宋体" w:hAnsi="宋体" w:eastAsia="宋体" w:cs="宋体"/>
          <w:sz w:val="21"/>
          <w:szCs w:val="21"/>
        </w:rPr>
        <w:t xml:space="preserve">水禁等</w:t>
      </w:r>
      <w:r>
        <w:rPr>
          <w:rFonts w:hint="eastAsia" w:ascii="宋体" w:hAnsi="宋体" w:eastAsia="宋体" w:cs="宋体"/>
          <w:sz w:val="21"/>
          <w:szCs w:val="21"/>
        </w:rPr>
        <w:t xml:space="preserve">实时传输，变电所视频实时查看，参数包括但不限于电流、电压、用电量等。如有疑问可以现场查看。</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2、响应人必须承诺磋商文件中提出的全部技术规格与要求，如果以其中某些条款不响应时，应在文件中逐条列出，未列出的视同响应。</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3、本工程追加费用不得超过原合同金额的10%。</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4、因承包方自身原因而导致的工程变更，承包方无权要求追加合同价款及工期延长。</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5、工程竣工验收结束后，承包方应该做到工完场清，如果施工便道等没有清理，则发包方有权委托其他单位拆除清理，具体费用从承包方工程款中扣除，若发包方要求保留，则不予扣除承包方费用。</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6、凡</w:t>
      </w:r>
      <w:r>
        <w:rPr>
          <w:rFonts w:hint="eastAsia" w:ascii="宋体" w:hAnsi="宋体" w:eastAsia="宋体" w:cs="宋体"/>
          <w:sz w:val="21"/>
          <w:szCs w:val="21"/>
        </w:rPr>
        <w:t xml:space="preserve">涉及磋商</w:t>
      </w:r>
      <w:r>
        <w:rPr>
          <w:rFonts w:hint="eastAsia" w:ascii="宋体" w:hAnsi="宋体" w:eastAsia="宋体" w:cs="宋体"/>
          <w:sz w:val="21"/>
          <w:szCs w:val="21"/>
        </w:rPr>
        <w:t xml:space="preserve">文件的补充说明和修改，均以苏州市政府采购网上最后发布的公告为准。</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湖校区学生宿舍（四批）供电工程</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湖校区学生宿舍（四批）供电工程</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工程地点：苏州大学独</w:t>
      </w:r>
      <w:r>
        <w:rPr>
          <w:rFonts w:hint="eastAsia" w:ascii="宋体" w:hAnsi="宋体" w:cs="宋体"/>
          <w:sz w:val="22"/>
        </w:rPr>
        <w:t xml:space="preserve">墅</w:t>
      </w:r>
      <w:r>
        <w:rPr>
          <w:rFonts w:hint="eastAsia" w:ascii="宋体" w:hAnsi="宋体" w:cs="宋体"/>
          <w:sz w:val="22"/>
        </w:rPr>
        <w:t xml:space="preserve">湖校区</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工程内容：详见工程量清单、图纸</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工程立项批准文号：苏大办复〔2026〕12号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资金来源：在省公建中心独</w:t>
      </w:r>
      <w:r>
        <w:rPr>
          <w:rFonts w:hint="eastAsia" w:ascii="宋体" w:hAnsi="宋体" w:cs="宋体"/>
          <w:sz w:val="22"/>
        </w:rPr>
        <w:t xml:space="preserve">墅</w:t>
      </w:r>
      <w:r>
        <w:rPr>
          <w:rFonts w:hint="eastAsia" w:ascii="宋体" w:hAnsi="宋体" w:cs="宋体"/>
          <w:sz w:val="22"/>
        </w:rPr>
        <w:t xml:space="preserve">湖校区学生宿舍（四批）项目经费中列支</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承包范围：详见工程量清单、图纸</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45天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sz w:val="22"/>
          <w:u w:val="single"/>
        </w:rPr>
        <w:t xml:space="preserve"> /元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76"/>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76"/>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71"/>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姓名：凌敏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职务：项目经理</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w:t>
      </w:r>
      <w:r>
        <w:rPr>
          <w:rFonts w:hint="eastAsia" w:ascii="宋体" w:hAnsi="宋体" w:cs="宋体"/>
          <w:sz w:val="22"/>
        </w:rPr>
        <w:t xml:space="preserve">座标</w:t>
      </w:r>
      <w:r>
        <w:rPr>
          <w:rFonts w:hint="eastAsia" w:ascii="宋体" w:hAnsi="宋体" w:cs="宋体"/>
          <w:sz w:val="22"/>
        </w:rPr>
        <w:t xml:space="preserve">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w:t>
      </w:r>
      <w:r>
        <w:rPr>
          <w:rFonts w:hint="eastAsia" w:ascii="宋体" w:hAnsi="宋体" w:cs="宋体"/>
          <w:sz w:val="22"/>
          <w:u w:val="single"/>
        </w:rPr>
        <w:t xml:space="preserve">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w:t>
      </w:r>
      <w:r>
        <w:rPr>
          <w:rFonts w:hint="eastAsia" w:ascii="宋体" w:hAnsi="宋体" w:cs="宋体"/>
          <w:sz w:val="22"/>
          <w:u w:val="single"/>
        </w:rPr>
        <w:t xml:space="preserve">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凌</w:t>
      </w:r>
      <w:r>
        <w:rPr>
          <w:rFonts w:hint="eastAsia" w:ascii="宋体" w:hAnsi="宋体" w:cs="宋体"/>
          <w:bCs/>
          <w:sz w:val="22"/>
          <w:u w:val="single"/>
        </w:rPr>
        <w:t xml:space="preserve">敏</w:t>
      </w:r>
      <w:r>
        <w:rPr>
          <w:rFonts w:hint="eastAsia" w:ascii="宋体" w:hAnsi="宋体" w:cs="宋体"/>
          <w:bCs/>
          <w:sz w:val="22"/>
        </w:rPr>
        <w:t xml:space="preserve">负责</w:t>
      </w:r>
      <w:r>
        <w:rPr>
          <w:rFonts w:hint="eastAsia" w:ascii="宋体" w:hAnsi="宋体" w:cs="宋体"/>
          <w:bCs/>
          <w:sz w:val="22"/>
        </w:rPr>
        <w:t xml:space="preserve">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w:t>
      </w:r>
      <w:r>
        <w:rPr>
          <w:rFonts w:hint="eastAsia" w:ascii="宋体" w:hAnsi="宋体" w:cs="宋体"/>
          <w:bCs/>
          <w:sz w:val="22"/>
        </w:rPr>
        <w:t xml:space="preserve">知当地</w:t>
      </w:r>
      <w:r>
        <w:rPr>
          <w:rFonts w:hint="eastAsia" w:ascii="宋体" w:hAnsi="宋体" w:cs="宋体"/>
          <w:bCs/>
          <w:sz w:val="22"/>
        </w:rPr>
        <w:t xml:space="preserve">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w:t>
      </w:r>
      <w:r>
        <w:rPr>
          <w:rFonts w:hint="eastAsia" w:ascii="宋体" w:hAnsi="宋体" w:cs="宋体"/>
          <w:bCs/>
          <w:sz w:val="22"/>
        </w:rPr>
        <w:t xml:space="preserve">它责任</w:t>
      </w:r>
      <w:r>
        <w:rPr>
          <w:rFonts w:hint="eastAsia" w:ascii="宋体" w:hAnsi="宋体" w:cs="宋体"/>
          <w:bCs/>
          <w:sz w:val="22"/>
        </w:rPr>
        <w:t xml:space="preserve">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15.4施工期间，承包方应设有专职安监人员。承包方指派项目经理</w:t>
      </w:r>
      <w:r>
        <w:rPr>
          <w:rFonts w:hint="eastAsia" w:ascii="宋体" w:hAnsi="宋体" w:cs="宋体"/>
          <w:bCs/>
          <w:sz w:val="22"/>
          <w:u w:val="single"/>
        </w:rPr>
        <w:t xml:space="preserve">       </w:t>
      </w:r>
      <w:r>
        <w:rPr>
          <w:rFonts w:hint="eastAsia" w:ascii="宋体" w:hAnsi="宋体" w:cs="宋体"/>
          <w:bCs/>
          <w:sz w:val="22"/>
        </w:rPr>
        <w:t xml:space="preserve">作为安全工作联系</w:t>
      </w:r>
      <w:r>
        <w:rPr>
          <w:rFonts w:hint="eastAsia" w:ascii="宋体" w:hAnsi="宋体" w:cs="宋体"/>
          <w:bCs/>
          <w:sz w:val="22"/>
        </w:rPr>
        <w:t xml:space="preserve">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w:t>
      </w:r>
      <w:r>
        <w:rPr>
          <w:rFonts w:hint="eastAsia" w:ascii="宋体" w:hAnsi="宋体" w:cs="宋体"/>
          <w:bCs/>
          <w:sz w:val="22"/>
        </w:rPr>
        <w:t xml:space="preserve">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w:t>
      </w:r>
      <w:r>
        <w:rPr>
          <w:rFonts w:hint="eastAsia" w:ascii="宋体" w:hAnsi="宋体" w:cs="宋体"/>
          <w:bCs/>
          <w:sz w:val="22"/>
        </w:rPr>
        <w:t xml:space="preserve">天承担</w:t>
      </w:r>
      <w:r>
        <w:rPr>
          <w:rFonts w:hint="eastAsia" w:ascii="宋体" w:hAnsi="宋体" w:cs="宋体"/>
          <w:bCs/>
          <w:sz w:val="22"/>
        </w:rPr>
        <w:t xml:space="preserve">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w:t>
      </w:r>
      <w:r>
        <w:rPr>
          <w:rFonts w:hint="eastAsia" w:ascii="宋体" w:hAnsi="宋体" w:cs="宋体"/>
          <w:bCs/>
          <w:sz w:val="22"/>
        </w:rPr>
        <w:t xml:space="preserve">则综合</w:t>
      </w:r>
      <w:r>
        <w:rPr>
          <w:rFonts w:hint="eastAsia" w:ascii="宋体" w:hAnsi="宋体" w:cs="宋体"/>
          <w:bCs/>
          <w:sz w:val="22"/>
        </w:rPr>
        <w:t xml:space="preserve">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w:t>
      </w:r>
      <w:r>
        <w:rPr>
          <w:rFonts w:hint="eastAsia" w:ascii="宋体" w:hAnsi="宋体" w:cs="宋体"/>
          <w:bCs/>
          <w:sz w:val="22"/>
        </w:rPr>
        <w:t xml:space="preserve">外成交下浮率下浮</w:t>
      </w:r>
      <w:r>
        <w:rPr>
          <w:rFonts w:hint="eastAsia" w:ascii="宋体" w:hAnsi="宋体" w:cs="宋体"/>
          <w:bCs/>
          <w:sz w:val="22"/>
        </w:rPr>
        <w:t xml:space="preserve">【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w:t>
      </w:r>
      <w:r>
        <w:rPr>
          <w:rFonts w:hint="eastAsia" w:ascii="宋体" w:hAnsi="宋体" w:cs="宋体"/>
          <w:bCs/>
          <w:sz w:val="22"/>
        </w:rPr>
        <w:t xml:space="preserve">下浮率</w:t>
      </w:r>
      <w:r>
        <w:rPr>
          <w:rFonts w:hint="eastAsia" w:ascii="宋体" w:hAnsi="宋体" w:cs="宋体"/>
          <w:bCs/>
          <w:sz w:val="22"/>
        </w:rPr>
        <w:t xml:space="preserve">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w:t>
      </w:r>
      <w:r>
        <w:rPr>
          <w:rFonts w:hint="eastAsia" w:ascii="宋体" w:hAnsi="宋体" w:cs="宋体"/>
          <w:bCs/>
          <w:sz w:val="22"/>
        </w:rPr>
        <w:t xml:space="preserve">方批准</w:t>
      </w:r>
      <w:r>
        <w:rPr>
          <w:rFonts w:hint="eastAsia" w:ascii="宋体" w:hAnsi="宋体" w:cs="宋体"/>
          <w:bCs/>
          <w:sz w:val="22"/>
        </w:rPr>
        <w:t xml:space="preserve">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w:t>
      </w:r>
      <w:r>
        <w:rPr>
          <w:rFonts w:hint="eastAsia" w:ascii="宋体" w:hAnsi="宋体" w:cs="宋体"/>
          <w:bCs/>
          <w:sz w:val="22"/>
        </w:rPr>
        <w:t xml:space="preserve">按发承包</w:t>
      </w:r>
      <w:r>
        <w:rPr>
          <w:rFonts w:hint="eastAsia" w:ascii="宋体" w:hAnsi="宋体" w:cs="宋体"/>
          <w:bCs/>
          <w:sz w:val="22"/>
        </w:rPr>
        <w:t xml:space="preserve">双方在合同中约定应</w:t>
      </w:r>
      <w:r>
        <w:rPr>
          <w:rFonts w:hint="eastAsia" w:ascii="宋体" w:hAnsi="宋体" w:cs="宋体"/>
          <w:bCs/>
          <w:sz w:val="22"/>
        </w:rPr>
        <w:t xml:space="preserve">予计量且实际</w:t>
      </w:r>
      <w:r>
        <w:rPr>
          <w:rFonts w:hint="eastAsia" w:ascii="宋体" w:hAnsi="宋体" w:cs="宋体"/>
          <w:bCs/>
          <w:sz w:val="22"/>
        </w:rPr>
        <w:t xml:space="preserve">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施工结束，竣工验收合格且施工单位提交结算和竣工资料后，支付至合同价（不含暂列金）的60%，结算审计后支付至审定价的97%</w:t>
      </w:r>
      <w:r>
        <w:rPr>
          <w:rFonts w:ascii="宋体" w:hAnsi="宋体" w:cs="宋体"/>
          <w:bCs/>
          <w:sz w:val="22"/>
        </w:rPr>
        <w:t xml:space="preserve">。</w:t>
      </w:r>
      <w:r/>
    </w:p>
    <w:p>
      <w:pPr>
        <w:ind w:firstLine="440"/>
        <w:jc w:val="left"/>
        <w:spacing w:line="360" w:lineRule="auto"/>
        <w:rPr>
          <w:rFonts w:hint="eastAsia" w:ascii="宋体" w:hAnsi="宋体" w:cs="宋体"/>
          <w:bCs/>
          <w:sz w:val="22"/>
        </w:rPr>
      </w:pPr>
      <w:r>
        <w:rPr>
          <w:rFonts w:ascii="宋体" w:hAnsi="宋体" w:cs="宋体"/>
          <w:bCs/>
          <w:sz w:val="22"/>
        </w:rPr>
        <w:t xml:space="preserve">22.2</w:t>
      </w:r>
      <w:r>
        <w:rPr>
          <w:rFonts w:hint="eastAsia" w:ascii="宋体" w:hAnsi="宋体" w:cs="宋体"/>
          <w:bCs/>
          <w:sz w:val="22"/>
        </w:rPr>
        <w:t xml:space="preserve">缺陷责任期满后，若无质量问题，付清余款（审定价的3%，不计利息）</w:t>
      </w:r>
      <w:r>
        <w:rPr>
          <w:rFonts w:ascii="宋体" w:hAnsi="宋体" w:cs="宋体"/>
          <w:bCs/>
          <w:sz w:val="22"/>
        </w:rPr>
        <w:t xml:space="preserve">。</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w:t>
      </w:r>
      <w:r>
        <w:rPr>
          <w:rFonts w:hint="eastAsia" w:ascii="宋体" w:hAnsi="宋体" w:cs="宋体"/>
          <w:bCs/>
          <w:sz w:val="22"/>
        </w:rPr>
        <w:t xml:space="preserve">作出</w:t>
      </w:r>
      <w:r>
        <w:rPr>
          <w:rFonts w:hint="eastAsia" w:ascii="宋体" w:hAnsi="宋体" w:cs="宋体"/>
          <w:bCs/>
          <w:sz w:val="22"/>
        </w:rPr>
        <w:t xml:space="preserve">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26.2发生变更、签证、施工条件变化等，要由发包人签字确认并加盖苏州大学基本建设处</w:t>
      </w:r>
      <w:r>
        <w:rPr>
          <w:rFonts w:hint="eastAsia" w:ascii="宋体" w:hAnsi="宋体" w:cs="宋体"/>
          <w:sz w:val="22"/>
          <w:szCs w:val="22"/>
        </w:rPr>
        <w:t xml:space="preserve">处</w:t>
      </w:r>
      <w:r>
        <w:rPr>
          <w:rFonts w:hint="eastAsia" w:ascii="宋体" w:hAnsi="宋体" w:cs="宋体"/>
          <w:bCs/>
          <w:szCs w:val="21"/>
        </w:rPr>
        <w:t xml:space="preserve">章为有效；由于设计变更、现场签证等引起的新的工程量清单项目或清单项目工程数量的增减，其综合单价由承包人提出，经发包人签字确认并加盖苏州大学基本建设处</w:t>
      </w:r>
      <w:r>
        <w:rPr>
          <w:rFonts w:hint="eastAsia" w:ascii="宋体" w:hAnsi="宋体" w:cs="宋体"/>
          <w:sz w:val="22"/>
          <w:szCs w:val="22"/>
        </w:rPr>
        <w:t xml:space="preserve">处</w:t>
      </w:r>
      <w:r>
        <w:rPr>
          <w:rFonts w:hint="eastAsia" w:ascii="宋体" w:hAnsi="宋体" w:cs="宋体"/>
          <w:bCs/>
          <w:szCs w:val="21"/>
        </w:rPr>
        <w:t xml:space="preserve">章</w:t>
      </w:r>
      <w:r>
        <w:rPr>
          <w:rFonts w:hint="eastAsia" w:ascii="宋体" w:hAnsi="宋体" w:cs="宋体"/>
          <w:bCs/>
          <w:szCs w:val="21"/>
        </w:rPr>
        <w:t xml:space="preserve">章</w:t>
      </w:r>
      <w:r>
        <w:rPr>
          <w:rFonts w:hint="eastAsia" w:ascii="宋体" w:hAnsi="宋体" w:cs="宋体"/>
          <w:bCs/>
          <w:szCs w:val="21"/>
        </w:rPr>
        <w:t xml:space="preserve">后，作为竣工结算依据；未认可的由审计单位确认，按成交</w:t>
      </w:r>
      <w:r>
        <w:rPr>
          <w:rFonts w:hint="eastAsia" w:ascii="宋体" w:hAnsi="宋体" w:cs="宋体"/>
          <w:bCs/>
          <w:szCs w:val="21"/>
        </w:rPr>
        <w:t xml:space="preserve">下浮率下浮</w:t>
      </w:r>
      <w:r>
        <w:rPr>
          <w:rFonts w:hint="eastAsia" w:ascii="宋体" w:hAnsi="宋体" w:cs="宋体"/>
          <w:bCs/>
          <w:szCs w:val="21"/>
        </w:rPr>
        <w:t xml:space="preserve">。</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26.2.1发生单项变更、签证、施工条件变化等概算小于5万元的项目，由项目负责人和科长审签后盖苏州大学基本建设处章，报送分管处长审批。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26.2.2发生单项变更、签证、施工条件变化等概算达5-20万元的项目，由项目负责人、科长审签后盖苏州大学基本建设处章，基本建设处处</w:t>
      </w:r>
      <w:r>
        <w:rPr>
          <w:rFonts w:hint="eastAsia" w:ascii="宋体" w:hAnsi="宋体" w:cs="宋体"/>
          <w:bCs/>
          <w:sz w:val="22"/>
        </w:rPr>
        <w:t xml:space="preserve">务</w:t>
      </w:r>
      <w:r>
        <w:rPr>
          <w:rFonts w:hint="eastAsia" w:ascii="宋体" w:hAnsi="宋体" w:cs="宋体"/>
          <w:bCs/>
          <w:sz w:val="22"/>
        </w:rPr>
        <w:t xml:space="preserve">会研究形成会议纪要，处长审批。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26.2.3发生单项变更、签证、施工条件变化等概算达20-50万元的项目，由项目负责人、科长、分管处长审签后盖苏州大学基本建设处章，由基本建设与维修改造工程管理委员会研究形成会议纪要后，分管校领导签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w:t>
      </w:r>
      <w:r>
        <w:rPr>
          <w:rFonts w:ascii="宋体" w:hAnsi="宋体" w:cs="宋体"/>
          <w:bCs/>
          <w:sz w:val="22"/>
        </w:rPr>
        <w:t xml:space="preserve">6.2.4 </w:t>
      </w:r>
      <w:r>
        <w:rPr>
          <w:rFonts w:hint="eastAsia" w:ascii="宋体" w:hAnsi="宋体" w:cs="宋体"/>
          <w:bCs/>
          <w:sz w:val="22"/>
        </w:rPr>
        <w:t xml:space="preserve">发生单项变更、签证、施工条件变化等概算大于5</w:t>
      </w:r>
      <w:r>
        <w:rPr>
          <w:rFonts w:ascii="宋体" w:hAnsi="宋体" w:cs="宋体"/>
          <w:bCs/>
          <w:sz w:val="22"/>
        </w:rPr>
        <w:t xml:space="preserve">0</w:t>
      </w:r>
      <w:r>
        <w:rPr>
          <w:rFonts w:hint="eastAsia" w:ascii="宋体" w:hAnsi="宋体" w:cs="宋体"/>
          <w:bCs/>
          <w:sz w:val="22"/>
        </w:rPr>
        <w:t xml:space="preserve">万元的项目，由项目负责人、科长、分管处长审签后盖苏州大学基本建设处章，</w:t>
      </w:r>
      <w:r>
        <w:rPr>
          <w:rFonts w:ascii="宋体" w:hAnsi="宋体" w:cs="宋体"/>
          <w:bCs/>
          <w:sz w:val="22"/>
        </w:rPr>
        <w:t xml:space="preserve">由基本建设与维修改造工程管理委员会研究形成会议纪要后，由校长办公会或校党委常委会会议决策，校长或校长委托分管校领导签批。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28.3承包人必须在竣工验收合格后3个月内，提交结算报告，因承包人原因未在规定时间内提</w:t>
      </w:r>
      <w:r>
        <w:rPr>
          <w:rFonts w:hint="eastAsia" w:ascii="宋体" w:hAnsi="宋体" w:cs="宋体"/>
          <w:bCs/>
          <w:sz w:val="22"/>
        </w:rPr>
        <w:t xml:space="preserve">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w:t>
      </w:r>
      <w:r>
        <w:rPr>
          <w:rFonts w:hint="eastAsia" w:ascii="宋体" w:hAnsi="宋体" w:cs="宋体"/>
          <w:bCs/>
          <w:sz w:val="22"/>
        </w:rPr>
        <w:t xml:space="preserve">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苏州大学独</w:t>
      </w:r>
      <w:r>
        <w:rPr>
          <w:rFonts w:hint="eastAsia" w:ascii="宋体" w:hAnsi="宋体" w:cs="宋体"/>
          <w:bCs/>
          <w:spacing w:val="-6"/>
          <w:szCs w:val="21"/>
          <w:u w:val="single"/>
        </w:rPr>
        <w:t xml:space="preserve">墅</w:t>
      </w:r>
      <w:r>
        <w:rPr>
          <w:rFonts w:hint="eastAsia" w:ascii="宋体" w:hAnsi="宋体" w:cs="宋体"/>
          <w:bCs/>
          <w:spacing w:val="-6"/>
          <w:szCs w:val="21"/>
          <w:u w:val="single"/>
        </w:rPr>
        <w:t xml:space="preserve">湖校区学生宿舍</w:t>
      </w:r>
      <w:r>
        <w:rPr>
          <w:rFonts w:hint="eastAsia" w:ascii="宋体" w:hAnsi="宋体" w:cs="宋体"/>
          <w:szCs w:val="21"/>
        </w:rPr>
        <w:t xml:space="preserve">（四批）</w:t>
      </w:r>
      <w:r>
        <w:rPr>
          <w:rFonts w:hint="eastAsia" w:ascii="宋体" w:hAnsi="宋体" w:cs="宋体"/>
          <w:bCs/>
          <w:spacing w:val="-6"/>
          <w:szCs w:val="21"/>
          <w:u w:val="single"/>
        </w:rPr>
        <w:t xml:space="preserve">供电工程</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u w:val="single"/>
        </w:rPr>
        <w:t xml:space="preserve">（不少于12个月，按实际质保期填写）</w:t>
      </w:r>
      <w:r>
        <w:rPr>
          <w:rFonts w:hint="eastAsia" w:ascii="宋体" w:hAnsi="宋体" w:cs="宋体"/>
          <w:sz w:val="22"/>
        </w:rPr>
        <w:t xml:space="preserve">个</w:t>
      </w:r>
      <w:r>
        <w:rPr>
          <w:rFonts w:hint="eastAsia" w:ascii="宋体" w:hAnsi="宋体" w:cs="宋体"/>
          <w:sz w:val="22"/>
        </w:rPr>
        <w:t xml:space="preserve">月，缺陷责任期自工程通过竣工验收之日起计算。单位工程先于全部工程进行验收，单位工程缺陷责任期自单位工程验收合格之</w:t>
      </w:r>
      <w:r>
        <w:rPr>
          <w:rFonts w:hint="eastAsia" w:ascii="宋体" w:hAnsi="宋体" w:cs="宋体"/>
          <w:sz w:val="22"/>
        </w:rPr>
        <w:t xml:space="preserve">日起算。缺陷责任期终止后，发包人应退还剩余的质量保证金。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tbl>
      <w:tblPr>
        <w:tblW w:w="0" w:type="auto"/>
        <w:tblLayout w:type="fixed"/>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rPr>
            </w:pPr>
            <w:r>
              <w:rPr>
                <w:rFonts w:hint="eastAsia" w:ascii="宋体" w:hAnsi="宋体" w:cs="宋体"/>
                <w:sz w:val="22"/>
              </w:rPr>
            </w:r>
            <w:r/>
          </w:p>
        </w:tc>
      </w:tr>
    </w:tbl>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75"/>
      </w:pPr>
      <w:r/>
      <w:r/>
    </w:p>
    <w:p>
      <w:pPr>
        <w:pStyle w:val="775"/>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苏州大学独</w:t>
      </w:r>
      <w:r>
        <w:rPr>
          <w:rFonts w:hint="eastAsia" w:ascii="宋体" w:hAnsi="宋体" w:cs="宋体"/>
          <w:szCs w:val="21"/>
          <w:u w:val="single"/>
        </w:rPr>
        <w:t xml:space="preserve">墅</w:t>
      </w:r>
      <w:r>
        <w:rPr>
          <w:rFonts w:hint="eastAsia" w:ascii="宋体" w:hAnsi="宋体" w:cs="宋体"/>
          <w:szCs w:val="21"/>
          <w:u w:val="single"/>
        </w:rPr>
        <w:t xml:space="preserve">湖校区学生宿舍（四批）供电工程</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苏州大学独</w:t>
      </w:r>
      <w:r>
        <w:rPr>
          <w:rFonts w:hint="eastAsia" w:ascii="宋体" w:hAnsi="宋体" w:cs="宋体"/>
          <w:szCs w:val="21"/>
          <w:u w:val="single"/>
        </w:rPr>
        <w:t xml:space="preserve">墅</w:t>
      </w:r>
      <w:r>
        <w:rPr>
          <w:rFonts w:hint="eastAsia" w:ascii="宋体" w:hAnsi="宋体" w:cs="宋体"/>
          <w:szCs w:val="21"/>
          <w:u w:val="single"/>
        </w:rPr>
        <w:t xml:space="preserve">湖校区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04"/>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w:t>
      </w:r>
      <w:r/>
    </w:p>
    <w:p>
      <w:pPr>
        <w:ind w:firstLine="420"/>
        <w:spacing w:line="360" w:lineRule="auto"/>
        <w:rPr>
          <w:rFonts w:hint="eastAsia" w:ascii="宋体" w:hAnsi="宋体" w:cs="宋体"/>
          <w:szCs w:val="21"/>
        </w:rPr>
      </w:pPr>
      <w:r>
        <w:rPr>
          <w:rFonts w:hint="eastAsia" w:ascii="宋体" w:hAnsi="宋体" w:cs="宋体"/>
          <w:szCs w:val="21"/>
        </w:rPr>
        <w:t xml:space="preserve">与苏州大学能源管理平台的对接要求</w:t>
      </w:r>
      <w:r/>
    </w:p>
    <w:p>
      <w:pPr>
        <w:ind w:firstLine="420"/>
        <w:spacing w:line="360" w:lineRule="auto"/>
        <w:rPr>
          <w:rFonts w:hint="eastAsia" w:ascii="宋体" w:hAnsi="宋体" w:cs="宋体"/>
          <w:szCs w:val="21"/>
        </w:rPr>
      </w:pPr>
      <w:r>
        <w:rPr>
          <w:rFonts w:hint="eastAsia" w:ascii="宋体" w:hAnsi="宋体" w:cs="宋体"/>
          <w:szCs w:val="21"/>
        </w:rPr>
        <w:t xml:space="preserve">1.变电所电能监测管理后台需满足遥测、遥信、遥控、遥视功能，可融入苏州大学能源中心管理平台。</w:t>
      </w:r>
      <w:r/>
    </w:p>
    <w:p>
      <w:pPr>
        <w:ind w:firstLine="420"/>
        <w:spacing w:line="360" w:lineRule="auto"/>
        <w:rPr>
          <w:rFonts w:hint="eastAsia" w:ascii="宋体" w:hAnsi="宋体" w:cs="宋体"/>
          <w:szCs w:val="21"/>
        </w:rPr>
      </w:pPr>
      <w:r>
        <w:rPr>
          <w:rFonts w:hint="eastAsia" w:ascii="宋体" w:hAnsi="宋体" w:cs="宋体"/>
          <w:szCs w:val="21"/>
        </w:rPr>
        <w:t xml:space="preserve">2.变电所电能监测管理后台需要实现云端和就地双重处理，满足平台的就地(异地)登录、操作和运行数据的第三方转发。</w:t>
      </w:r>
      <w:r/>
    </w:p>
    <w:p>
      <w:pPr>
        <w:ind w:firstLine="420"/>
        <w:spacing w:line="360" w:lineRule="auto"/>
        <w:rPr>
          <w:rFonts w:hint="eastAsia" w:ascii="宋体" w:hAnsi="宋体" w:cs="宋体"/>
          <w:szCs w:val="21"/>
        </w:rPr>
      </w:pPr>
      <w:r>
        <w:rPr>
          <w:rFonts w:hint="eastAsia" w:ascii="宋体" w:hAnsi="宋体" w:cs="宋体"/>
          <w:szCs w:val="21"/>
        </w:rPr>
        <w:t xml:space="preserve">3.变电所的实时视频数据需同步融入苏州大学能源管理中心管理平台。</w:t>
      </w:r>
      <w:r/>
    </w:p>
    <w:p>
      <w:pPr>
        <w:ind w:firstLine="420"/>
        <w:spacing w:line="360" w:lineRule="auto"/>
        <w:rPr>
          <w:rFonts w:hint="eastAsia" w:ascii="宋体" w:hAnsi="宋体" w:cs="宋体"/>
          <w:szCs w:val="21"/>
        </w:rPr>
      </w:pPr>
      <w:r>
        <w:rPr>
          <w:rFonts w:hint="eastAsia" w:ascii="宋体" w:hAnsi="宋体" w:cs="宋体"/>
          <w:szCs w:val="21"/>
        </w:rPr>
        <w:t xml:space="preserve">4.变电所电能监测管理后台可实现就地（异地）对所内低压总开关及分路馈线开关的分合闸控制。</w:t>
      </w:r>
      <w:r/>
    </w:p>
    <w:p>
      <w:pPr>
        <w:ind w:firstLine="420"/>
        <w:spacing w:line="360" w:lineRule="auto"/>
        <w:rPr>
          <w:rFonts w:hint="eastAsia" w:ascii="宋体" w:hAnsi="宋体" w:cs="宋体"/>
          <w:szCs w:val="21"/>
        </w:rPr>
      </w:pPr>
      <w:r>
        <w:rPr>
          <w:rFonts w:hint="eastAsia" w:ascii="宋体" w:hAnsi="宋体" w:cs="宋体"/>
          <w:szCs w:val="21"/>
        </w:rPr>
        <w:t xml:space="preserve">5.低压柜内所装断路器需具备分</w:t>
      </w:r>
      <w:r>
        <w:rPr>
          <w:rFonts w:hint="eastAsia" w:ascii="宋体" w:hAnsi="宋体" w:cs="宋体"/>
          <w:szCs w:val="21"/>
        </w:rPr>
        <w:t xml:space="preserve">励</w:t>
      </w:r>
      <w:r>
        <w:rPr>
          <w:rFonts w:hint="eastAsia" w:ascii="宋体" w:hAnsi="宋体" w:cs="宋体"/>
          <w:szCs w:val="21"/>
        </w:rPr>
        <w:t xml:space="preserve">脱口线圈及辅助触点，满足消防</w:t>
      </w:r>
      <w:r>
        <w:rPr>
          <w:rFonts w:hint="eastAsia" w:ascii="宋体" w:hAnsi="宋体" w:cs="宋体"/>
          <w:szCs w:val="21"/>
        </w:rPr>
        <w:t xml:space="preserve">联动强切</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6.电力多功能仪表需具备开关量输入(断路器开关量需接入)、开关量输出功能。</w:t>
      </w:r>
      <w:r/>
    </w:p>
    <w:p>
      <w:pPr>
        <w:ind w:firstLine="420"/>
        <w:spacing w:line="360" w:lineRule="auto"/>
        <w:rPr>
          <w:rFonts w:hint="eastAsia" w:ascii="宋体" w:hAnsi="宋体" w:cs="宋体"/>
          <w:szCs w:val="21"/>
        </w:rPr>
      </w:pPr>
      <w:r>
        <w:rPr>
          <w:rFonts w:hint="eastAsia" w:ascii="宋体" w:hAnsi="宋体" w:cs="宋体"/>
          <w:szCs w:val="21"/>
        </w:rPr>
        <w:t xml:space="preserve">7.电力多功能仪表工作电源需取自断路器上口。</w:t>
      </w:r>
      <w:r/>
    </w:p>
    <w:p>
      <w:pPr>
        <w:ind w:firstLine="420"/>
        <w:spacing w:line="360" w:lineRule="auto"/>
        <w:rPr>
          <w:rFonts w:hint="eastAsia" w:ascii="宋体" w:hAnsi="宋体" w:cs="宋体"/>
          <w:b/>
          <w:bCs/>
          <w:szCs w:val="21"/>
        </w:rPr>
      </w:pPr>
      <w:r>
        <w:rPr>
          <w:rFonts w:hint="eastAsia" w:ascii="宋体" w:hAnsi="宋体" w:cs="宋体"/>
          <w:szCs w:val="21"/>
        </w:rPr>
        <w:t xml:space="preserve">可以实现电力参数、烟禁、</w:t>
      </w:r>
      <w:r>
        <w:rPr>
          <w:rFonts w:hint="eastAsia" w:ascii="宋体" w:hAnsi="宋体" w:cs="宋体"/>
          <w:szCs w:val="21"/>
        </w:rPr>
        <w:t xml:space="preserve">水禁等</w:t>
      </w:r>
      <w:r>
        <w:rPr>
          <w:rFonts w:hint="eastAsia" w:ascii="宋体" w:hAnsi="宋体" w:cs="宋体"/>
          <w:szCs w:val="21"/>
        </w:rPr>
        <w:t xml:space="preserve">实时传输，变电所视频实时查看，参数包括但不限于电流、电压、用电量等。如有疑问可以现场查看。</w:t>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t xml:space="preserve">三、工程量清单（</w:t>
      </w:r>
      <w:r>
        <w:rPr>
          <w:rFonts w:hint="eastAsia" w:ascii="宋体" w:hAnsi="宋体"/>
          <w:bCs/>
          <w:szCs w:val="21"/>
        </w:rPr>
        <w:t xml:space="preserve">见如下</w:t>
      </w:r>
      <w:r>
        <w:rPr>
          <w:rFonts w:hint="eastAsia" w:ascii="宋体" w:hAnsi="宋体"/>
          <w:bCs/>
          <w:szCs w:val="21"/>
        </w:rPr>
        <w:t xml:space="preserve">描述）</w:t>
      </w:r>
      <w:r/>
    </w:p>
    <w:p>
      <w:pPr>
        <w:ind w:firstLine="420"/>
        <w:jc w:val="left"/>
        <w:spacing w:line="360" w:lineRule="auto"/>
        <w:rPr>
          <w:rFonts w:hint="eastAsia" w:ascii="宋体" w:hAnsi="宋体" w:cs="宋体"/>
          <w:szCs w:val="21"/>
        </w:rPr>
      </w:pPr>
      <w:r>
        <w:rPr>
          <w:rFonts w:hint="eastAsia" w:ascii="宋体" w:hAnsi="宋体" w:cs="宋体"/>
          <w:szCs w:val="21"/>
        </w:rPr>
        <w:t xml:space="preserve">清单或图纸请自行至百度</w:t>
      </w:r>
      <w:r>
        <w:rPr>
          <w:rFonts w:hint="eastAsia" w:ascii="宋体" w:hAnsi="宋体" w:cs="宋体"/>
          <w:szCs w:val="21"/>
        </w:rPr>
        <w:t xml:space="preserve">网盘下载</w:t>
      </w:r>
      <w:r>
        <w:rPr>
          <w:rFonts w:hint="eastAsia" w:ascii="宋体" w:hAnsi="宋体" w:cs="宋体"/>
          <w:szCs w:val="21"/>
        </w:rPr>
        <w:t xml:space="preserve">，下载链接： </w:t>
      </w:r>
      <w:r/>
    </w:p>
    <w:p>
      <w:pPr>
        <w:ind w:firstLine="420"/>
        <w:jc w:val="left"/>
        <w:spacing w:line="360" w:lineRule="auto"/>
        <w:rPr>
          <w:rFonts w:hint="eastAsia" w:ascii="宋体" w:hAnsi="宋体" w:cs="宋体"/>
          <w:szCs w:val="21"/>
        </w:rPr>
      </w:pPr>
      <w:r>
        <w:rPr>
          <w:rFonts w:hint="eastAsia" w:ascii="宋体" w:hAnsi="宋体" w:cs="宋体"/>
          <w:szCs w:val="21"/>
        </w:rPr>
        <w:t xml:space="preserve">https://pan.baidu.com/s/1ThV-KSFD5jiZZpP4SWKqsQ</w:t>
      </w:r>
      <w:r/>
    </w:p>
    <w:p>
      <w:pPr>
        <w:ind w:firstLine="420"/>
        <w:jc w:val="left"/>
        <w:spacing w:line="360" w:lineRule="auto"/>
        <w:rPr>
          <w:rFonts w:hint="eastAsia" w:ascii="宋体" w:hAnsi="宋体" w:cs="宋体"/>
          <w:szCs w:val="21"/>
        </w:rPr>
      </w:pPr>
      <w:r>
        <w:rPr>
          <w:rFonts w:hint="eastAsia" w:ascii="宋体" w:hAnsi="宋体" w:cs="宋体"/>
          <w:szCs w:val="21"/>
        </w:rPr>
        <w:t xml:space="preserve">提取码: 6vvf</w:t>
      </w:r>
      <w:r/>
    </w:p>
    <w:p>
      <w:pPr>
        <w:spacing w:line="276" w:lineRule="auto"/>
        <w:rPr>
          <w:rFonts w:hint="eastAsia" w:ascii="宋体" w:hAnsi="宋体"/>
        </w:rPr>
      </w:pPr>
      <w:r>
        <w:rPr>
          <w:rFonts w:hint="eastAsia" w:ascii="宋体" w:hAnsi="宋体"/>
        </w:rPr>
      </w:r>
      <w:r/>
    </w:p>
    <w:p>
      <w:pPr>
        <w:spacing w:line="276" w:lineRule="auto"/>
        <w:rPr>
          <w:rFonts w:hint="eastAsia" w:ascii="宋体" w:hAnsi="宋体"/>
        </w:rPr>
      </w:pPr>
      <w:r>
        <w:rPr>
          <w:rFonts w:hint="eastAsia" w:ascii="宋体" w:hAnsi="宋体"/>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第一步：无效响应报价的磋商响应文件不得成交。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第二步：价格分采用低价优先法计算，即满足采购文件要求且最后磋商报价最低的最后磋商报价为磋商基准价，其价格分为满分。其他响应单位的价格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w:t>
      </w:r>
      <w:r>
        <w:rPr>
          <w:rFonts w:hint="eastAsia" w:ascii="宋体" w:hAnsi="宋体" w:cs="宋体"/>
          <w:szCs w:val="21"/>
        </w:rPr>
        <w:t xml:space="preserve">价格权</w:t>
      </w:r>
      <w:r>
        <w:rPr>
          <w:rFonts w:hint="eastAsia" w:ascii="宋体" w:hAnsi="宋体" w:cs="宋体"/>
          <w:szCs w:val="21"/>
        </w:rPr>
        <w:t xml:space="preserve">值（35%）*100，小数点后保留两位。</w:t>
      </w:r>
      <w:r/>
    </w:p>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t xml:space="preserve">（二）施工组织设计（5</w:t>
      </w:r>
      <w:r>
        <w:rPr>
          <w:rFonts w:ascii="宋体" w:hAnsi="宋体" w:cs="宋体"/>
          <w:b/>
          <w:bCs/>
          <w:szCs w:val="21"/>
        </w:rPr>
        <w:t xml:space="preserve">5</w:t>
      </w:r>
      <w:r>
        <w:rPr>
          <w:rFonts w:hint="eastAsia" w:ascii="宋体" w:hAnsi="宋体" w:cs="宋体"/>
          <w:b/>
          <w:bCs/>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1、现场情况及项目理解（</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针对项目内容、现场及项目实际情况、实施范围、重难点部分的分析与应对措施进行综合评分。分析和对策完美贴合项目且操作性强的，得9分；分析和对策较为完整，核心要点无缺失，与项目实际情况匹配度较高的，得6分；分析和对策不够完整、较为简单，操作性一般的，得4分；分析和对策的不够完整、不完全合理，可操作性较差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2、项目实施方案（</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项目总体部署及施工方案进行综合评分。总体部署规划完整、契合项目、统筹协调性强，施工方案科学合理、可实施性强的，得9分；总体部署覆盖主要实施阶段、基本符合项目目标要求、资源配合基本合理，施工方案基本完整、可实施性较强的，得6分；总体</w:t>
      </w:r>
      <w:r>
        <w:rPr>
          <w:rFonts w:hint="eastAsia" w:ascii="宋体" w:hAnsi="宋体" w:cs="宋体"/>
          <w:szCs w:val="21"/>
        </w:rPr>
        <w:t xml:space="preserve">部署仅</w:t>
      </w:r>
      <w:r>
        <w:rPr>
          <w:rFonts w:hint="eastAsia" w:ascii="宋体" w:hAnsi="宋体" w:cs="宋体"/>
          <w:szCs w:val="21"/>
        </w:rPr>
        <w:t xml:space="preserve">对项目核心实施阶段进行了简单规划，施工方案科学性一般、可实施性一般的，得4分；方案缺失，科学性差、实施性差的，得1分；未提供不得分。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3、项目进度计划（</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项目进度计划进行综合评分。进度计划详尽，项目实施进度、时间点、关键节点等设置清晰准确的，得9分；进度计划覆盖项目主要实施阶段，项目实施进度、时间点、关键点等设置较准确的，得6分；进度计划仅对项目核心阶段进行了简单划分，项目实施进度、时间点、关键点等设置较模糊的，得4分；进度计划简单粗糙，无法体现对项目进度的规划思路，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4、质量保障方案（</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根据响应单位提供的质量保障方案进行综合评分。项目质量保障方案、质量目标、保障措施等细致全面、科学合理、可行性强的，得9分；项目质量保障方案、质量目标、保障措施等较为</w:t>
      </w:r>
      <w:r>
        <w:rPr>
          <w:rFonts w:hint="eastAsia" w:ascii="宋体" w:hAnsi="宋体" w:cs="宋体"/>
          <w:szCs w:val="21"/>
        </w:rPr>
        <w:t xml:space="preserve">完整,</w:t>
      </w:r>
      <w:r>
        <w:rPr>
          <w:rFonts w:hint="eastAsia" w:ascii="宋体" w:hAnsi="宋体" w:cs="宋体"/>
          <w:szCs w:val="21"/>
        </w:rPr>
        <w:t xml:space="preserve">有一定的科学性、具备一定的可行性的，得6分；项目质量保障方案、质量目标、保障措施等不够完整，科学性、可行性较一般的，得4分；内容简单，描述不清楚的得1分；未提供不得分。</w:t>
      </w:r>
      <w:r/>
    </w:p>
    <w:p>
      <w:pPr>
        <w:numPr>
          <w:ilvl w:val="0"/>
          <w:numId w:val="4"/>
        </w:num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安全文明实施措施（</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根据响应单位提供的安全文明施工措施进行综合评分。安全文明施工措施覆盖项目全流程、扬尘污</w:t>
      </w:r>
      <w:r>
        <w:rPr>
          <w:rFonts w:hint="eastAsia" w:ascii="宋体" w:hAnsi="宋体" w:cs="宋体"/>
          <w:szCs w:val="21"/>
        </w:rPr>
        <w:t xml:space="preserve">染防治及环境保护精准有效、风险分析与应对措施科学合理、问题沟通和解决机制高效便捷的，得9分；措施较全面合理、操作性较强、</w:t>
      </w:r>
      <w:r>
        <w:rPr>
          <w:rFonts w:hint="eastAsia" w:ascii="宋体" w:hAnsi="宋体" w:cs="宋体"/>
          <w:szCs w:val="21"/>
        </w:rPr>
        <w:t xml:space="preserve">考虑较</w:t>
      </w:r>
      <w:r>
        <w:rPr>
          <w:rFonts w:hint="eastAsia" w:ascii="宋体" w:hAnsi="宋体" w:cs="宋体"/>
          <w:szCs w:val="21"/>
        </w:rPr>
        <w:t xml:space="preserve">周全、能满足项目实施需要的，得6分；措施较单一，操作性一般的，得4分；措施简单，操作性差，保护环境效果极其有限的，得1分；未提供不得分。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6、变电所电力监控系统方案（1</w:t>
      </w:r>
      <w:r>
        <w:rPr>
          <w:rFonts w:ascii="宋体" w:hAnsi="宋体" w:cs="宋体"/>
          <w:szCs w:val="21"/>
        </w:rPr>
        <w:t xml:space="preserve">0</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详细阐述变电所监控系统建设方案，包括但不限于硬件施工以及与学校现有能源系统对接方案。方案细致全面、科学合理、可行性强的得</w:t>
      </w:r>
      <w:r>
        <w:rPr>
          <w:rFonts w:ascii="宋体" w:hAnsi="宋体" w:cs="宋体"/>
          <w:szCs w:val="21"/>
        </w:rPr>
        <w:t xml:space="preserve">10</w:t>
      </w:r>
      <w:r>
        <w:rPr>
          <w:rFonts w:hint="eastAsia" w:ascii="宋体" w:hAnsi="宋体" w:cs="宋体"/>
          <w:szCs w:val="21"/>
        </w:rPr>
        <w:t xml:space="preserve">分；方案较为</w:t>
      </w:r>
      <w:r>
        <w:rPr>
          <w:rFonts w:hint="eastAsia" w:ascii="宋体" w:hAnsi="宋体" w:cs="宋体"/>
          <w:szCs w:val="21"/>
        </w:rPr>
        <w:t xml:space="preserve">完整,</w:t>
      </w:r>
      <w:r>
        <w:rPr>
          <w:rFonts w:hint="eastAsia" w:ascii="宋体" w:hAnsi="宋体" w:cs="宋体"/>
          <w:szCs w:val="21"/>
        </w:rPr>
        <w:t xml:space="preserve">有一定的科学性、具备一定的可行性的得6分；方案不完整、科学性一般、可行性较一般的得3分；内容简单，描述不清楚的得1分；其他情况不得分。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（三）综合实力（1</w:t>
      </w:r>
      <w:r>
        <w:rPr>
          <w:rFonts w:ascii="宋体" w:hAnsi="宋体" w:cs="宋体"/>
          <w:b/>
          <w:bCs/>
          <w:szCs w:val="21"/>
        </w:rPr>
        <w:t xml:space="preserve">0</w:t>
      </w:r>
      <w:r>
        <w:rPr>
          <w:rFonts w:hint="eastAsia" w:ascii="宋体" w:hAnsi="宋体" w:cs="宋体"/>
          <w:b/>
          <w:bCs/>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1、项目班子团队中配置安全员、施工员、质量员，资料员每有一项得0.5分，最高2分。（提供人员职称证证书、岗位证书原件扫描件和响应单位为其缴纳的近3个月</w:t>
      </w:r>
      <w:r>
        <w:rPr>
          <w:rFonts w:hint="eastAsia" w:ascii="宋体" w:hAnsi="宋体" w:cs="宋体"/>
          <w:szCs w:val="21"/>
        </w:rPr>
        <w:t xml:space="preserve">社保证明</w:t>
      </w:r>
      <w:r>
        <w:rPr>
          <w:rFonts w:hint="eastAsia" w:ascii="宋体" w:hAnsi="宋体" w:cs="宋体"/>
          <w:szCs w:val="21"/>
        </w:rPr>
        <w:t xml:space="preserve">，不提供或提供不全的不得分）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2、拟投入本项目组成人员具有中级及以上职称的，有一人得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分。（提供相应证书原件扫描件及响应单位为其缴纳的近3个月</w:t>
      </w:r>
      <w:r>
        <w:rPr>
          <w:rFonts w:hint="eastAsia" w:ascii="宋体" w:hAnsi="宋体" w:cs="宋体"/>
          <w:szCs w:val="21"/>
        </w:rPr>
        <w:t xml:space="preserve">社保证明</w:t>
      </w:r>
      <w:r>
        <w:rPr>
          <w:rFonts w:hint="eastAsia" w:ascii="宋体" w:hAnsi="宋体" w:cs="宋体"/>
          <w:szCs w:val="21"/>
        </w:rPr>
        <w:t xml:space="preserve">，不提供或提供不全的不得分）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3、响应单位2023年1月1日至今承担过类似的电力工程，每提供一个业绩得2分，最高得6分。（时间以竣工验收证明上的验收时间为准。类似工程业绩证明材料需提供中标通知书、施工合同和竣工验收证明原件扫描件，未提供或提供不全不得分）</w:t>
      </w:r>
      <w:r/>
    </w:p>
    <w:p>
      <w:pPr>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1、报价超过采购预算或最高限价的将不进入综合评审程序，也</w:t>
      </w:r>
      <w:r>
        <w:rPr>
          <w:rFonts w:hint="eastAsia" w:ascii="宋体" w:hAnsi="宋体" w:cs="宋体"/>
          <w:b/>
          <w:sz w:val="22"/>
          <w:szCs w:val="22"/>
        </w:rPr>
        <w:t xml:space="preserve">不</w:t>
      </w:r>
      <w:r>
        <w:rPr>
          <w:rFonts w:hint="eastAsia" w:ascii="宋体" w:hAnsi="宋体" w:cs="宋体"/>
          <w:b/>
          <w:sz w:val="22"/>
          <w:szCs w:val="22"/>
        </w:rPr>
        <w:t xml:space="preserve">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w:t>
      </w:r>
      <w:r>
        <w:rPr>
          <w:rFonts w:hint="eastAsia" w:ascii="宋体" w:hAnsi="宋体" w:cs="宋体"/>
          <w:b/>
          <w:sz w:val="22"/>
          <w:szCs w:val="22"/>
        </w:rPr>
        <w:t xml:space="preserve">作出</w:t>
      </w:r>
      <w:r>
        <w:rPr>
          <w:rFonts w:hint="eastAsia" w:ascii="宋体" w:hAnsi="宋体" w:cs="宋体"/>
          <w:b/>
          <w:sz w:val="22"/>
          <w:szCs w:val="22"/>
        </w:rPr>
        <w:t xml:space="preserve">相应说明，供评委评判，否则视为不具备相关项得分的条件。</w:t>
      </w:r>
      <w:r/>
    </w:p>
    <w:p>
      <w:pPr>
        <w:pStyle w:val="804"/>
        <w:rPr>
          <w:rFonts w:hint="eastAsia" w:hAnsi="宋体" w:cs="宋体"/>
          <w:spacing w:val="6"/>
          <w:szCs w:val="21"/>
        </w:rPr>
      </w:pPr>
      <w:r>
        <w:rPr>
          <w:rFonts w:hint="eastAsia" w:hAnsi="宋体" w:cs="宋体"/>
          <w:spacing w:val="6"/>
          <w:szCs w:val="21"/>
        </w:rPr>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FangSong">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framePr w:wrap="around" w:vAnchor="text" w:hAnchor="margin" w:xAlign="center" w:y="1"/>
    </w:pPr>
    <w:r>
      <w:fldChar w:fldCharType="begin"/>
    </w:r>
    <w:r>
      <w:rPr>
        <w:rStyle w:val="798"/>
      </w:rPr>
      <w:instrText xml:space="preserve"> PAGE  </w:instrText>
    </w:r>
    <w:r>
      <w:fldChar w:fldCharType="separate"/>
    </w:r>
    <w:r>
      <w:rPr>
        <w:rStyle w:val="798"/>
      </w:rPr>
      <w:t xml:space="preserve">- 0 -</w:t>
    </w:r>
    <w:r>
      <w:fldChar w:fldCharType="end"/>
    </w:r>
    <w:r/>
  </w:p>
  <w:p>
    <w:pPr>
      <w:pStyle w:val="7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38</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left" w:pos="612" w:leader="none"/>
      </w:tabs>
      <w:pBdr>
        <w:bottom w:val="none" w:color="auto" w:sz="0" w:space="0"/>
      </w:pBdr>
    </w:pPr>
    <w:r>
      <w:rPr>
        <w:rFonts w:hint="eastAsia"/>
      </w:rPr>
      <w:t xml:space="preserve">苏州新</w:t>
    </w:r>
    <w:r>
      <w:rPr>
        <w:rFonts w:hint="eastAsia"/>
      </w:rPr>
      <w:t xml:space="preserve">一造价师价格</w:t>
    </w:r>
    <w:r>
      <w:rPr>
        <w:rFonts w:hint="eastAsia"/>
      </w:rPr>
      <w:t xml:space="preserve">事务所有限公司</w:t>
    </w:r>
    <w:r>
      <w:rPr>
        <w:rFonts w:hint="eastAsia"/>
      </w:rPr>
      <w:t xml:space="preserve">                                          </w:t>
    </w:r>
    <w:r>
      <w:rPr>
        <w:rFonts w:hint="eastAsia" w:ascii="Arial" w:hAnsi="Arial" w:cs="Arial"/>
        <w:color w:val="000000"/>
        <w:highlight w:val="white"/>
      </w:rPr>
      <w:t xml:space="preserve">JSZC-320500-SZXY-C2026-0007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qFormat/>
    <w:pPr>
      <w:jc w:val="both"/>
      <w:widowControl w:val="off"/>
    </w:pPr>
    <w:rPr>
      <w:sz w:val="21"/>
      <w:szCs w:val="24"/>
    </w:rPr>
  </w:style>
  <w:style w:type="paragraph" w:styleId="759">
    <w:name w:val="Heading 1"/>
    <w:basedOn w:val="758"/>
    <w:next w:val="758"/>
    <w:link w:val="83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39"/>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qFormat/>
    <w:pPr>
      <w:jc w:val="left"/>
      <w:keepLines/>
      <w:keepNext/>
      <w:outlineLvl w:val="2"/>
    </w:pPr>
    <w:rPr>
      <w:rFonts w:ascii="Calibri" w:hAnsi="Calibri" w:eastAsia="楷体_GB2312"/>
      <w:b/>
      <w:sz w:val="28"/>
      <w:szCs w:val="20"/>
    </w:rPr>
  </w:style>
  <w:style w:type="paragraph" w:styleId="762">
    <w:name w:val="Heading 4"/>
    <w:basedOn w:val="758"/>
    <w:next w:val="758"/>
    <w:qFormat/>
    <w:pPr>
      <w:keepLines/>
      <w:keepNext/>
      <w:spacing w:before="280" w:after="290" w:line="376" w:lineRule="auto"/>
      <w:outlineLvl w:val="3"/>
    </w:pPr>
    <w:rPr>
      <w:rFonts w:ascii="Arial" w:hAnsi="Arial" w:eastAsia="黑体"/>
      <w:b/>
      <w:bCs/>
      <w:sz w:val="28"/>
      <w:szCs w:val="28"/>
    </w:rPr>
  </w:style>
  <w:style w:type="paragraph" w:styleId="763">
    <w:name w:val="Heading 5"/>
    <w:basedOn w:val="758"/>
    <w:next w:val="758"/>
    <w:link w:val="842"/>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43"/>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45"/>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46"/>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toc 7"/>
    <w:basedOn w:val="758"/>
    <w:next w:val="758"/>
    <w:uiPriority w:val="39"/>
    <w:unhideWhenUsed/>
    <w:qFormat/>
    <w:pPr>
      <w:ind w:left="1701"/>
      <w:spacing w:after="57"/>
    </w:pPr>
  </w:style>
  <w:style w:type="paragraph" w:styleId="772">
    <w:name w:val="Normal Indent"/>
    <w:basedOn w:val="758"/>
    <w:next w:val="758"/>
    <w:qFormat/>
    <w:pPr>
      <w:ind w:firstLine="420"/>
      <w:jc w:val="left"/>
    </w:pPr>
    <w:rPr>
      <w:rFonts w:ascii="Calibri" w:hAnsi="Calibri" w:eastAsia="楷体_GB2312"/>
      <w:sz w:val="24"/>
      <w:szCs w:val="20"/>
    </w:rPr>
  </w:style>
  <w:style w:type="paragraph" w:styleId="773">
    <w:name w:val="Caption"/>
    <w:basedOn w:val="758"/>
    <w:next w:val="758"/>
    <w:uiPriority w:val="35"/>
    <w:semiHidden/>
    <w:unhideWhenUsed/>
    <w:qFormat/>
    <w:pPr>
      <w:spacing w:line="276" w:lineRule="auto"/>
    </w:pPr>
    <w:rPr>
      <w:b/>
      <w:bCs/>
      <w:color w:val="5b9bd5" w:themeColor="accent1"/>
      <w:sz w:val="18"/>
      <w:szCs w:val="18"/>
    </w:rPr>
  </w:style>
  <w:style w:type="paragraph" w:styleId="774">
    <w:name w:val="annotation text"/>
    <w:basedOn w:val="758"/>
    <w:link w:val="972"/>
    <w:qFormat/>
    <w:pPr>
      <w:jc w:val="left"/>
    </w:pPr>
  </w:style>
  <w:style w:type="paragraph" w:styleId="775">
    <w:name w:val="Body Text"/>
    <w:basedOn w:val="758"/>
    <w:link w:val="978"/>
    <w:qFormat/>
    <w:pPr>
      <w:spacing w:line="400" w:lineRule="exact"/>
    </w:pPr>
    <w:rPr>
      <w:rFonts w:ascii="楷体_GB2312"/>
      <w:sz w:val="28"/>
    </w:rPr>
  </w:style>
  <w:style w:type="paragraph" w:styleId="776">
    <w:name w:val="Body Text Indent"/>
    <w:basedOn w:val="758"/>
    <w:qFormat/>
    <w:pPr>
      <w:ind w:left="420"/>
      <w:spacing w:after="120"/>
    </w:pPr>
    <w:rPr>
      <w:rFonts w:ascii="Calibri" w:hAnsi="Calibri"/>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Plain Text"/>
    <w:basedOn w:val="758"/>
    <w:qFormat/>
    <w:rPr>
      <w:rFonts w:ascii="宋体" w:hAnsi="Courier New"/>
    </w:rPr>
  </w:style>
  <w:style w:type="paragraph" w:styleId="780">
    <w:name w:val="toc 8"/>
    <w:basedOn w:val="758"/>
    <w:next w:val="758"/>
    <w:uiPriority w:val="39"/>
    <w:unhideWhenUsed/>
    <w:qFormat/>
    <w:pPr>
      <w:ind w:left="1984"/>
      <w:spacing w:after="57"/>
    </w:pPr>
  </w:style>
  <w:style w:type="paragraph" w:styleId="781">
    <w:name w:val="endnote text"/>
    <w:basedOn w:val="758"/>
    <w:link w:val="964"/>
    <w:uiPriority w:val="99"/>
    <w:semiHidden/>
    <w:unhideWhenUsed/>
    <w:qFormat/>
    <w:rPr>
      <w:sz w:val="20"/>
    </w:rPr>
  </w:style>
  <w:style w:type="paragraph" w:styleId="782">
    <w:name w:val="Balloon Text"/>
    <w:basedOn w:val="758"/>
    <w:link w:val="977"/>
    <w:uiPriority w:val="99"/>
    <w:semiHidden/>
    <w:unhideWhenUsed/>
    <w:qFormat/>
    <w:rPr>
      <w:sz w:val="18"/>
      <w:szCs w:val="18"/>
    </w:rPr>
  </w:style>
  <w:style w:type="paragraph" w:styleId="783">
    <w:name w:val="Footer"/>
    <w:basedOn w:val="758"/>
    <w:unhideWhenUsed/>
    <w:qFormat/>
    <w:pPr>
      <w:jc w:val="left"/>
      <w:tabs>
        <w:tab w:val="center" w:pos="4153" w:leader="none"/>
        <w:tab w:val="right" w:pos="8306" w:leader="none"/>
      </w:tabs>
    </w:pPr>
    <w:rPr>
      <w:sz w:val="18"/>
      <w:szCs w:val="18"/>
    </w:rPr>
  </w:style>
  <w:style w:type="paragraph" w:styleId="784">
    <w:name w:val="Header"/>
    <w:basedOn w:val="758"/>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8"/>
    <w:next w:val="758"/>
    <w:qFormat/>
    <w:pPr>
      <w:jc w:val="left"/>
    </w:pPr>
    <w:rPr>
      <w:rFonts w:eastAsia="楷体_GB2312"/>
      <w:sz w:val="24"/>
    </w:rPr>
  </w:style>
  <w:style w:type="paragraph" w:styleId="786">
    <w:name w:val="toc 4"/>
    <w:basedOn w:val="758"/>
    <w:next w:val="758"/>
    <w:uiPriority w:val="39"/>
    <w:unhideWhenUsed/>
    <w:qFormat/>
    <w:pPr>
      <w:ind w:left="850"/>
      <w:spacing w:after="57"/>
    </w:pPr>
  </w:style>
  <w:style w:type="paragraph" w:styleId="787">
    <w:name w:val="Subtitle"/>
    <w:basedOn w:val="758"/>
    <w:next w:val="758"/>
    <w:link w:val="849"/>
    <w:uiPriority w:val="11"/>
    <w:qFormat/>
    <w:pPr>
      <w:spacing w:before="200" w:after="200"/>
    </w:pPr>
    <w:rPr>
      <w:sz w:val="24"/>
    </w:rPr>
  </w:style>
  <w:style w:type="paragraph" w:styleId="788">
    <w:name w:val="footnote text"/>
    <w:basedOn w:val="758"/>
    <w:link w:val="963"/>
    <w:uiPriority w:val="99"/>
    <w:semiHidden/>
    <w:unhideWhenUsed/>
    <w:qFormat/>
    <w:pPr>
      <w:spacing w:after="40"/>
    </w:pPr>
    <w:rPr>
      <w:sz w:val="18"/>
    </w:rPr>
  </w:style>
  <w:style w:type="paragraph" w:styleId="789">
    <w:name w:val="toc 6"/>
    <w:basedOn w:val="758"/>
    <w:next w:val="758"/>
    <w:uiPriority w:val="39"/>
    <w:unhideWhenUsed/>
    <w:qFormat/>
    <w:pPr>
      <w:ind w:left="1417"/>
      <w:spacing w:after="57"/>
    </w:pPr>
  </w:style>
  <w:style w:type="paragraph" w:styleId="790">
    <w:name w:val="table of figures"/>
    <w:basedOn w:val="758"/>
    <w:next w:val="758"/>
    <w:uiPriority w:val="99"/>
    <w:unhideWhenUsed/>
    <w:qFormat/>
  </w:style>
  <w:style w:type="paragraph" w:styleId="791">
    <w:name w:val="toc 2"/>
    <w:basedOn w:val="758"/>
    <w:next w:val="758"/>
    <w:uiPriority w:val="39"/>
    <w:unhideWhenUsed/>
    <w:qFormat/>
    <w:pPr>
      <w:ind w:left="283"/>
      <w:spacing w:after="57"/>
    </w:pPr>
  </w:style>
  <w:style w:type="paragraph" w:styleId="792">
    <w:name w:val="toc 9"/>
    <w:basedOn w:val="758"/>
    <w:next w:val="758"/>
    <w:uiPriority w:val="39"/>
    <w:unhideWhenUsed/>
    <w:qFormat/>
    <w:pPr>
      <w:ind w:left="2268"/>
      <w:spacing w:after="57"/>
    </w:pPr>
  </w:style>
  <w:style w:type="paragraph" w:styleId="793">
    <w:name w:val="Normal (Web)"/>
    <w:basedOn w:val="758"/>
    <w:qFormat/>
    <w:pPr>
      <w:jc w:val="left"/>
      <w:spacing w:before="100" w:beforeAutospacing="1" w:after="100" w:afterAutospacing="1"/>
      <w:widowControl/>
    </w:pPr>
    <w:rPr>
      <w:rFonts w:ascii="宋体" w:hAnsi="宋体" w:cs="宋体"/>
      <w:sz w:val="24"/>
    </w:rPr>
  </w:style>
  <w:style w:type="paragraph" w:styleId="794">
    <w:name w:val="Title"/>
    <w:basedOn w:val="758"/>
    <w:next w:val="758"/>
    <w:link w:val="848"/>
    <w:uiPriority w:val="10"/>
    <w:qFormat/>
    <w:pPr>
      <w:contextualSpacing/>
      <w:spacing w:before="300" w:after="200"/>
    </w:pPr>
    <w:rPr>
      <w:sz w:val="48"/>
      <w:szCs w:val="48"/>
    </w:rPr>
  </w:style>
  <w:style w:type="paragraph" w:styleId="795">
    <w:name w:val="annotation subject"/>
    <w:basedOn w:val="774"/>
    <w:next w:val="774"/>
    <w:link w:val="973"/>
    <w:qFormat/>
    <w:rPr>
      <w:b/>
      <w:bCs/>
    </w:rPr>
  </w:style>
  <w:style w:type="table" w:styleId="796">
    <w:name w:val="Table Grid"/>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endnote reference"/>
    <w:basedOn w:val="768"/>
    <w:uiPriority w:val="99"/>
    <w:semiHidden/>
    <w:unhideWhenUsed/>
    <w:qFormat/>
    <w:rPr>
      <w:vertAlign w:val="superscript"/>
    </w:rPr>
  </w:style>
  <w:style w:type="character" w:styleId="798">
    <w:name w:val="page number"/>
    <w:qFormat/>
    <w:rPr>
      <w:rFonts w:ascii="Calibri" w:hAnsi="Calibri" w:eastAsia="宋体" w:cs="Times New Roman"/>
    </w:rPr>
  </w:style>
  <w:style w:type="character" w:styleId="799">
    <w:name w:val="FollowedHyperlink"/>
    <w:basedOn w:val="768"/>
    <w:qFormat/>
    <w:rPr>
      <w:color w:val="333333"/>
      <w:u w:val="none"/>
    </w:rPr>
  </w:style>
  <w:style w:type="character" w:styleId="800">
    <w:name w:val="Emphasis"/>
    <w:basedOn w:val="768"/>
    <w:qFormat/>
  </w:style>
  <w:style w:type="character" w:styleId="801">
    <w:name w:val="Hyperlink"/>
    <w:basedOn w:val="768"/>
    <w:qFormat/>
    <w:rPr>
      <w:color w:val="333333"/>
      <w:u w:val="none"/>
    </w:rPr>
  </w:style>
  <w:style w:type="character" w:styleId="802">
    <w:name w:val="annotation reference"/>
    <w:qFormat/>
    <w:rPr>
      <w:rFonts w:ascii="Calibri" w:hAnsi="Calibri" w:eastAsia="宋体" w:cs="Times New Roman"/>
      <w:sz w:val="21"/>
      <w:szCs w:val="21"/>
    </w:rPr>
  </w:style>
  <w:style w:type="character" w:styleId="803">
    <w:name w:val="footnote reference"/>
    <w:basedOn w:val="768"/>
    <w:uiPriority w:val="99"/>
    <w:unhideWhenUsed/>
    <w:qFormat/>
    <w:rPr>
      <w:vertAlign w:val="superscript"/>
    </w:rPr>
  </w:style>
  <w:style w:type="paragraph" w:styleId="804" w:customStyle="1">
    <w:name w:val="段"/>
    <w:next w:val="758"/>
    <w:qFormat/>
    <w:pPr>
      <w:ind w:firstLine="200"/>
      <w:jc w:val="both"/>
    </w:pPr>
    <w:rPr>
      <w:rFonts w:ascii="宋体"/>
      <w:sz w:val="21"/>
    </w:rPr>
  </w:style>
  <w:style w:type="character" w:styleId="805" w:customStyle="1">
    <w:name w:val="Heading 1 Char"/>
    <w:basedOn w:val="768"/>
    <w:uiPriority w:val="9"/>
    <w:qFormat/>
    <w:rPr>
      <w:rFonts w:ascii="Arial" w:hAnsi="Arial" w:eastAsia="Arial" w:cs="Arial"/>
      <w:sz w:val="40"/>
      <w:szCs w:val="40"/>
    </w:rPr>
  </w:style>
  <w:style w:type="character" w:styleId="806" w:customStyle="1">
    <w:name w:val="Heading 2 Char"/>
    <w:basedOn w:val="768"/>
    <w:uiPriority w:val="9"/>
    <w:qFormat/>
    <w:rPr>
      <w:rFonts w:ascii="Arial" w:hAnsi="Arial" w:eastAsia="Arial" w:cs="Arial"/>
      <w:sz w:val="34"/>
    </w:rPr>
  </w:style>
  <w:style w:type="character" w:styleId="807" w:customStyle="1">
    <w:name w:val="Heading 5 Char"/>
    <w:basedOn w:val="768"/>
    <w:uiPriority w:val="9"/>
    <w:qFormat/>
    <w:rPr>
      <w:rFonts w:ascii="Arial" w:hAnsi="Arial" w:eastAsia="Arial" w:cs="Arial"/>
      <w:b/>
      <w:bCs/>
      <w:sz w:val="24"/>
      <w:szCs w:val="24"/>
    </w:rPr>
  </w:style>
  <w:style w:type="character" w:styleId="808" w:customStyle="1">
    <w:name w:val="Heading 6 Char"/>
    <w:basedOn w:val="768"/>
    <w:uiPriority w:val="9"/>
    <w:qFormat/>
    <w:rPr>
      <w:rFonts w:ascii="Arial" w:hAnsi="Arial" w:eastAsia="Arial" w:cs="Arial"/>
      <w:b/>
      <w:bCs/>
      <w:sz w:val="22"/>
      <w:szCs w:val="22"/>
    </w:rPr>
  </w:style>
  <w:style w:type="character" w:styleId="809" w:customStyle="1">
    <w:name w:val="Heading 7 Char"/>
    <w:basedOn w:val="768"/>
    <w:uiPriority w:val="9"/>
    <w:qFormat/>
    <w:rPr>
      <w:rFonts w:ascii="Arial" w:hAnsi="Arial" w:eastAsia="Arial" w:cs="Arial"/>
      <w:b/>
      <w:bCs/>
      <w:i/>
      <w:iCs/>
      <w:sz w:val="22"/>
      <w:szCs w:val="22"/>
    </w:rPr>
  </w:style>
  <w:style w:type="character" w:styleId="810" w:customStyle="1">
    <w:name w:val="Heading 8 Char"/>
    <w:basedOn w:val="768"/>
    <w:uiPriority w:val="9"/>
    <w:qFormat/>
    <w:rPr>
      <w:rFonts w:ascii="Arial" w:hAnsi="Arial" w:eastAsia="Arial" w:cs="Arial"/>
      <w:i/>
      <w:iCs/>
      <w:sz w:val="22"/>
      <w:szCs w:val="22"/>
    </w:rPr>
  </w:style>
  <w:style w:type="character" w:styleId="811" w:customStyle="1">
    <w:name w:val="Heading 9 Char"/>
    <w:basedOn w:val="768"/>
    <w:uiPriority w:val="9"/>
    <w:qFormat/>
    <w:rPr>
      <w:rFonts w:ascii="Arial" w:hAnsi="Arial" w:eastAsia="Arial" w:cs="Arial"/>
      <w:i/>
      <w:iCs/>
      <w:sz w:val="21"/>
      <w:szCs w:val="21"/>
    </w:rPr>
  </w:style>
  <w:style w:type="character" w:styleId="812" w:customStyle="1">
    <w:name w:val="Title Char"/>
    <w:basedOn w:val="768"/>
    <w:uiPriority w:val="10"/>
    <w:qFormat/>
    <w:rPr>
      <w:sz w:val="48"/>
      <w:szCs w:val="48"/>
    </w:rPr>
  </w:style>
  <w:style w:type="character" w:styleId="813" w:customStyle="1">
    <w:name w:val="Subtitle Char"/>
    <w:basedOn w:val="768"/>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table" w:styleId="816" w:customStyle="1">
    <w:name w:val="无格式表格 11"/>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
    <w:uiPriority w:val="39"/>
    <w:unhideWhenUsed/>
    <w:qFormat/>
  </w:style>
  <w:style w:type="character" w:styleId="838" w:customStyle="1">
    <w:name w:val="标题 1 字符"/>
    <w:basedOn w:val="768"/>
    <w:link w:val="759"/>
    <w:uiPriority w:val="9"/>
    <w:qFormat/>
    <w:rPr>
      <w:rFonts w:ascii="Arial" w:hAnsi="Arial" w:eastAsia="Arial" w:cs="Arial"/>
      <w:sz w:val="40"/>
      <w:szCs w:val="40"/>
    </w:rPr>
  </w:style>
  <w:style w:type="character" w:styleId="839" w:customStyle="1">
    <w:name w:val="标题 2 字符"/>
    <w:basedOn w:val="768"/>
    <w:link w:val="760"/>
    <w:uiPriority w:val="9"/>
    <w:qFormat/>
    <w:rPr>
      <w:rFonts w:ascii="Arial" w:hAnsi="Arial" w:eastAsia="Arial" w:cs="Arial"/>
      <w:sz w:val="34"/>
    </w:rPr>
  </w:style>
  <w:style w:type="character" w:styleId="840" w:customStyle="1">
    <w:name w:val="Heading 3 Char"/>
    <w:basedOn w:val="768"/>
    <w:uiPriority w:val="9"/>
    <w:qFormat/>
    <w:rPr>
      <w:rFonts w:ascii="Arial" w:hAnsi="Arial" w:eastAsia="Arial" w:cs="Arial"/>
      <w:sz w:val="30"/>
      <w:szCs w:val="30"/>
    </w:rPr>
  </w:style>
  <w:style w:type="character" w:styleId="841" w:customStyle="1">
    <w:name w:val="Heading 4 Char"/>
    <w:basedOn w:val="768"/>
    <w:uiPriority w:val="9"/>
    <w:qFormat/>
    <w:rPr>
      <w:rFonts w:ascii="Arial" w:hAnsi="Arial" w:eastAsia="Arial" w:cs="Arial"/>
      <w:b/>
      <w:bCs/>
      <w:sz w:val="26"/>
      <w:szCs w:val="26"/>
    </w:rPr>
  </w:style>
  <w:style w:type="character" w:styleId="842" w:customStyle="1">
    <w:name w:val="标题 5 字符"/>
    <w:basedOn w:val="768"/>
    <w:link w:val="763"/>
    <w:uiPriority w:val="9"/>
    <w:qFormat/>
    <w:rPr>
      <w:rFonts w:ascii="Arial" w:hAnsi="Arial" w:eastAsia="Arial" w:cs="Arial"/>
      <w:b/>
      <w:bCs/>
      <w:sz w:val="24"/>
      <w:szCs w:val="24"/>
    </w:rPr>
  </w:style>
  <w:style w:type="character" w:styleId="843" w:customStyle="1">
    <w:name w:val="标题 6 字符"/>
    <w:basedOn w:val="768"/>
    <w:link w:val="764"/>
    <w:uiPriority w:val="9"/>
    <w:qFormat/>
    <w:rPr>
      <w:rFonts w:ascii="Arial" w:hAnsi="Arial" w:eastAsia="Arial" w:cs="Arial"/>
      <w:b/>
      <w:bCs/>
      <w:sz w:val="22"/>
      <w:szCs w:val="22"/>
    </w:rPr>
  </w:style>
  <w:style w:type="character" w:styleId="844" w:customStyle="1">
    <w:name w:val="标题 7 字符"/>
    <w:basedOn w:val="768"/>
    <w:link w:val="765"/>
    <w:uiPriority w:val="9"/>
    <w:qFormat/>
    <w:rPr>
      <w:rFonts w:ascii="Arial" w:hAnsi="Arial" w:eastAsia="Arial" w:cs="Arial"/>
      <w:b/>
      <w:bCs/>
      <w:i/>
      <w:iCs/>
      <w:sz w:val="22"/>
      <w:szCs w:val="22"/>
    </w:rPr>
  </w:style>
  <w:style w:type="character" w:styleId="845" w:customStyle="1">
    <w:name w:val="标题 8 字符"/>
    <w:basedOn w:val="768"/>
    <w:link w:val="766"/>
    <w:uiPriority w:val="9"/>
    <w:qFormat/>
    <w:rPr>
      <w:rFonts w:ascii="Arial" w:hAnsi="Arial" w:eastAsia="Arial" w:cs="Arial"/>
      <w:i/>
      <w:iCs/>
      <w:sz w:val="22"/>
      <w:szCs w:val="22"/>
    </w:rPr>
  </w:style>
  <w:style w:type="character" w:styleId="846" w:customStyle="1">
    <w:name w:val="标题 9 字符"/>
    <w:basedOn w:val="768"/>
    <w:link w:val="767"/>
    <w:uiPriority w:val="9"/>
    <w:qFormat/>
    <w:rPr>
      <w:rFonts w:ascii="Arial" w:hAnsi="Arial" w:eastAsia="Arial" w:cs="Arial"/>
      <w:i/>
      <w:iCs/>
      <w:sz w:val="21"/>
      <w:szCs w:val="21"/>
    </w:rPr>
  </w:style>
  <w:style w:type="paragraph" w:styleId="847">
    <w:name w:val="No Spacing"/>
    <w:uiPriority w:val="1"/>
    <w:qFormat/>
  </w:style>
  <w:style w:type="character" w:styleId="848" w:customStyle="1">
    <w:name w:val="标题 字符"/>
    <w:basedOn w:val="768"/>
    <w:link w:val="794"/>
    <w:uiPriority w:val="10"/>
    <w:qFormat/>
    <w:rPr>
      <w:sz w:val="48"/>
      <w:szCs w:val="48"/>
    </w:rPr>
  </w:style>
  <w:style w:type="character" w:styleId="849" w:customStyle="1">
    <w:name w:val="副标题 字符"/>
    <w:basedOn w:val="768"/>
    <w:link w:val="787"/>
    <w:uiPriority w:val="11"/>
    <w:qFormat/>
    <w:rPr>
      <w:sz w:val="24"/>
      <w:szCs w:val="24"/>
    </w:rPr>
  </w:style>
  <w:style w:type="paragraph" w:styleId="850">
    <w:name w:val="Quote"/>
    <w:basedOn w:val="758"/>
    <w:next w:val="758"/>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58"/>
    <w:next w:val="75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68"/>
    <w:uiPriority w:val="99"/>
    <w:qFormat/>
  </w:style>
  <w:style w:type="character" w:styleId="855" w:customStyle="1">
    <w:name w:val="Footer Char"/>
    <w:basedOn w:val="768"/>
    <w:uiPriority w:val="99"/>
    <w:qFormat/>
  </w:style>
  <w:style w:type="character" w:styleId="856" w:customStyle="1">
    <w:name w:val="Caption Char"/>
    <w:uiPriority w:val="99"/>
    <w:qFormat/>
  </w:style>
  <w:style w:type="table" w:styleId="857" w:customStyle="1">
    <w:name w:val="Table Grid Light"/>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8" w:customStyle="1">
    <w:name w:val="Grid Table 1 Light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basedOn w:val="7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Grid Table 3 - Accent 1"/>
    <w:basedOn w:val="7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basedOn w:val="7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7" w:customStyle="1">
    <w:name w:val="Grid Table 4 - Accent 2"/>
    <w:basedOn w:val="7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8" w:customStyle="1">
    <w:name w:val="Grid Table 4 - Accent 3"/>
    <w:basedOn w:val="7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6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0" w:customStyle="1">
    <w:name w:val="Grid Table 4 - Accent 5"/>
    <w:basedOn w:val="7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3"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7"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Grid Table 6 Colorful - Accent 1"/>
    <w:basedOn w:val="76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9" w:customStyle="1">
    <w:name w:val="Grid Table 6 Colorful - Accent 2"/>
    <w:basedOn w:val="7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0" w:customStyle="1">
    <w:name w:val="Grid Table 6 Colorful - Accent 3"/>
    <w:basedOn w:val="7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1" w:customStyle="1">
    <w:name w:val="Grid Table 6 Colorful - Accent 4"/>
    <w:basedOn w:val="7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2" w:customStyle="1">
    <w:name w:val="Grid Table 6 Colorful - Accent 5"/>
    <w:basedOn w:val="7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6 Colorful - Accent 6"/>
    <w:basedOn w:val="7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4" w:customStyle="1">
    <w:name w:val="Grid Table 7 Colorful - Accent 1"/>
    <w:basedOn w:val="76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6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6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basedOn w:val="7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6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6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 Accent 1"/>
    <w:basedOn w:val="7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7" w:customStyle="1">
    <w:name w:val="List Table 2 - Accent 2"/>
    <w:basedOn w:val="7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6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0" w:customStyle="1">
    <w:name w:val="List Table 2 - Accent 5"/>
    <w:basedOn w:val="7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1" w:customStyle="1">
    <w:name w:val="List Table 2 - Accent 6"/>
    <w:basedOn w:val="7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 Accent 1"/>
    <w:basedOn w:val="7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3" w:customStyle="1">
    <w:name w:val="List Table 3 - Accent 2"/>
    <w:basedOn w:val="7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6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8" w:customStyle="1">
    <w:name w:val="List Table 4 - Accent 1"/>
    <w:basedOn w:val="7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4 - Accent 2"/>
    <w:basedOn w:val="7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6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3" w:customStyle="1">
    <w:name w:val="List Table 4 - Accent 6"/>
    <w:basedOn w:val="7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List Table 5 Dark - Accent 1"/>
    <w:basedOn w:val="7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5" w:customStyle="1">
    <w:name w:val="List Table 5 Dark - Accent 2"/>
    <w:basedOn w:val="76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6" w:customStyle="1">
    <w:name w:val="List Table 5 Dark - Accent 3"/>
    <w:basedOn w:val="7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7" w:customStyle="1">
    <w:name w:val="List Table 5 Dark - Accent 4"/>
    <w:basedOn w:val="76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8" w:customStyle="1">
    <w:name w:val="List Table 5 Dark - Accent 5"/>
    <w:basedOn w:val="76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9" w:customStyle="1">
    <w:name w:val="List Table 5 Dark - Accent 6"/>
    <w:basedOn w:val="7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0" w:customStyle="1">
    <w:name w:val="List Table 6 Colorful - Accent 1"/>
    <w:basedOn w:val="76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1" w:customStyle="1">
    <w:name w:val="List Table 6 Colorful - Accent 2"/>
    <w:basedOn w:val="76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2" w:customStyle="1">
    <w:name w:val="List Table 6 Colorful - Accent 3"/>
    <w:basedOn w:val="7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3" w:customStyle="1">
    <w:name w:val="List Table 6 Colorful - Accent 4"/>
    <w:basedOn w:val="76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4" w:customStyle="1">
    <w:name w:val="List Table 6 Colorful - Accent 5"/>
    <w:basedOn w:val="76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5" w:customStyle="1">
    <w:name w:val="List Table 6 Colorful - Accent 6"/>
    <w:basedOn w:val="7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6" w:customStyle="1">
    <w:name w:val="List Table 7 Colorful - Accent 1"/>
    <w:basedOn w:val="76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6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6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6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6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6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4"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5"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7"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basedOn w:val="76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1" w:customStyle="1">
    <w:name w:val="Bordered &amp; Lined - Accent 2"/>
    <w:basedOn w:val="7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2" w:customStyle="1">
    <w:name w:val="Bordered &amp; Lined - Accent 3"/>
    <w:basedOn w:val="7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6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4" w:customStyle="1">
    <w:name w:val="Bordered &amp; Lined - Accent 5"/>
    <w:basedOn w:val="76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6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9" w:customStyle="1">
    <w:name w:val="Bordered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1" w:customStyle="1">
    <w:name w:val="Bordered - Accent 5"/>
    <w:basedOn w:val="7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2" w:customStyle="1">
    <w:name w:val="Bordered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脚注文本 字符"/>
    <w:link w:val="788"/>
    <w:uiPriority w:val="99"/>
    <w:qFormat/>
    <w:rPr>
      <w:sz w:val="18"/>
    </w:rPr>
  </w:style>
  <w:style w:type="character" w:styleId="964" w:customStyle="1">
    <w:name w:val="尾注文本 字符"/>
    <w:link w:val="781"/>
    <w:uiPriority w:val="99"/>
    <w:qFormat/>
    <w:rPr>
      <w:sz w:val="20"/>
    </w:rPr>
  </w:style>
  <w:style w:type="paragraph" w:styleId="965" w:customStyle="1">
    <w:name w:val="TOC 标题11"/>
    <w:uiPriority w:val="39"/>
    <w:unhideWhenUsed/>
    <w:qFormat/>
  </w:style>
  <w:style w:type="character" w:styleId="966" w:customStyle="1">
    <w:name w:val="正文1"/>
    <w:qFormat/>
    <w:rPr>
      <w:rFonts w:ascii="Calibri" w:hAnsi="Calibri" w:eastAsia="宋体" w:cs="Times New Roman"/>
    </w:rPr>
  </w:style>
  <w:style w:type="paragraph" w:styleId="967" w:customStyle="1">
    <w:name w:val="首行缩进"/>
    <w:basedOn w:val="758"/>
    <w:qFormat/>
    <w:pPr>
      <w:ind w:firstLine="480"/>
    </w:pPr>
    <w:rPr>
      <w:szCs w:val="20"/>
      <w:lang w:val="zh-CN"/>
    </w:rPr>
  </w:style>
  <w:style w:type="paragraph" w:styleId="968" w:customStyle="1">
    <w:name w:val="纯文本1"/>
    <w:basedOn w:val="758"/>
    <w:qFormat/>
    <w:rPr>
      <w:rFonts w:ascii="宋体" w:hAnsi="Courier New"/>
    </w:rPr>
  </w:style>
  <w:style w:type="paragraph" w:styleId="969">
    <w:name w:val="List Paragraph"/>
    <w:basedOn w:val="758"/>
    <w:uiPriority w:val="34"/>
    <w:qFormat/>
    <w:pPr>
      <w:ind w:firstLine="420"/>
    </w:pPr>
    <w:rPr>
      <w:rFonts w:ascii="Calibri" w:hAnsi="Calibri" w:eastAsia="楷体_GB2312"/>
      <w:sz w:val="26"/>
      <w:szCs w:val="20"/>
    </w:rPr>
  </w:style>
  <w:style w:type="character" w:styleId="970" w:customStyle="1">
    <w:name w:val="font01"/>
    <w:qFormat/>
    <w:rPr>
      <w:rFonts w:hint="eastAsia" w:ascii="宋体" w:hAnsi="宋体" w:eastAsia="宋体" w:cs="宋体"/>
      <w:color w:val="000000"/>
      <w:sz w:val="24"/>
      <w:szCs w:val="24"/>
      <w:u w:val="none"/>
    </w:rPr>
  </w:style>
  <w:style w:type="paragraph" w:styleId="971" w:customStyle="1">
    <w:name w:val="Default"/>
    <w:qFormat/>
    <w:pPr>
      <w:widowControl w:val="off"/>
    </w:pPr>
    <w:rPr>
      <w:rFonts w:ascii="宋体" w:hAnsi="Calibri" w:cs="宋体"/>
      <w:color w:val="000000"/>
      <w:sz w:val="24"/>
      <w:szCs w:val="24"/>
    </w:rPr>
  </w:style>
  <w:style w:type="character" w:styleId="972" w:customStyle="1">
    <w:name w:val="批注文字 字符"/>
    <w:basedOn w:val="768"/>
    <w:link w:val="774"/>
    <w:qFormat/>
    <w:rPr>
      <w:sz w:val="21"/>
      <w:szCs w:val="24"/>
    </w:rPr>
  </w:style>
  <w:style w:type="character" w:styleId="973" w:customStyle="1">
    <w:name w:val="批注主题 字符"/>
    <w:basedOn w:val="972"/>
    <w:link w:val="795"/>
    <w:qFormat/>
    <w:rPr>
      <w:b/>
      <w:bCs/>
      <w:sz w:val="21"/>
      <w:szCs w:val="24"/>
    </w:rPr>
  </w:style>
  <w:style w:type="paragraph" w:styleId="974" w:customStyle="1">
    <w:name w:val="修订1"/>
    <w:hidden/>
    <w:uiPriority w:val="99"/>
    <w:unhideWhenUsed/>
    <w:qFormat/>
    <w:rPr>
      <w:sz w:val="21"/>
      <w:szCs w:val="24"/>
    </w:rPr>
  </w:style>
  <w:style w:type="paragraph" w:styleId="975" w:customStyle="1">
    <w:name w:val="修订2"/>
    <w:hidden/>
    <w:uiPriority w:val="99"/>
    <w:unhideWhenUsed/>
    <w:qFormat/>
    <w:rPr>
      <w:sz w:val="21"/>
      <w:szCs w:val="24"/>
    </w:rPr>
  </w:style>
  <w:style w:type="character" w:styleId="976" w:customStyle="1">
    <w:name w:val="cf01"/>
    <w:basedOn w:val="768"/>
    <w:qFormat/>
    <w:rPr>
      <w:rFonts w:hint="eastAsia" w:ascii="Microsoft YaHei UI" w:hAnsi="Microsoft YaHei UI" w:eastAsia="Microsoft YaHei UI"/>
      <w:sz w:val="18"/>
      <w:szCs w:val="18"/>
    </w:rPr>
  </w:style>
  <w:style w:type="character" w:styleId="977" w:customStyle="1">
    <w:name w:val="批注框文本 字符"/>
    <w:basedOn w:val="768"/>
    <w:link w:val="782"/>
    <w:uiPriority w:val="99"/>
    <w:semiHidden/>
    <w:qFormat/>
    <w:rPr>
      <w:sz w:val="18"/>
      <w:szCs w:val="18"/>
    </w:rPr>
  </w:style>
  <w:style w:type="character" w:styleId="978" w:customStyle="1">
    <w:name w:val="正文文本 字符"/>
    <w:basedOn w:val="768"/>
    <w:link w:val="775"/>
    <w:rPr>
      <w:rFonts w:ascii="楷体_GB2312"/>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11</cp:revision>
  <dcterms:created xsi:type="dcterms:W3CDTF">2026-03-04T08:18:00Z</dcterms:created>
  <dcterms:modified xsi:type="dcterms:W3CDTF">2026-03-19T06:26:19Z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D74AA60C73B4476A9F62A5615647F0FE_13</vt:lpwstr>
  </property>
  <property fmtid="{D5CDD505-2E9C-101B-9397-08002B2CF9AE}" pid="4" name="KSOTemplateDocerSaveRecord">
    <vt:lpwstr>eyJoZGlkIjoiNjUyNWYzODI3N2QwZjdmZjhjM2M1YmM5NjU2YjI0NjMiLCJ1c2VySWQiOiI2OTc0NzYwNDUifQ==</vt:lpwstr>
  </property>
</Properties>
</file>