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AD64CF">
      <w:pPr>
        <w:widowControl/>
        <w:spacing w:line="360" w:lineRule="auto"/>
        <w:jc w:val="center"/>
        <w:rPr>
          <w:rFonts w:hint="eastAsia" w:asciiTheme="minorEastAsia" w:hAnsiTheme="minorEastAsia" w:eastAsiaTheme="minorEastAsia"/>
          <w:b/>
          <w:bCs/>
          <w:sz w:val="36"/>
          <w:szCs w:val="36"/>
        </w:rPr>
      </w:pPr>
    </w:p>
    <w:p w14:paraId="28E58D7F">
      <w:pPr>
        <w:widowControl/>
        <w:shd w:val="clear" w:color="auto" w:fill="FFFFFF"/>
        <w:spacing w:line="360" w:lineRule="auto"/>
        <w:jc w:val="center"/>
        <w:rPr>
          <w:rFonts w:hint="eastAsia" w:asciiTheme="minorEastAsia" w:hAnsiTheme="minorEastAsia" w:eastAsiaTheme="minorEastAsia"/>
          <w:b/>
          <w:color w:val="auto"/>
          <w:sz w:val="48"/>
          <w:szCs w:val="48"/>
          <w:highlight w:val="none"/>
          <w:lang w:val="zh-CN"/>
        </w:rPr>
      </w:pPr>
      <w:r>
        <w:rPr>
          <w:rFonts w:hint="eastAsia" w:cs="黑体" w:asciiTheme="minorEastAsia" w:hAnsiTheme="minorEastAsia" w:eastAsiaTheme="minorEastAsia"/>
          <w:b/>
          <w:bCs/>
          <w:color w:val="auto"/>
          <w:sz w:val="48"/>
          <w:szCs w:val="48"/>
          <w:highlight w:val="none"/>
          <w:lang w:eastAsia="zh-CN"/>
        </w:rPr>
        <w:t>浦口经济开发区工业废水处理厂污泥处置项目</w:t>
      </w:r>
    </w:p>
    <w:p w14:paraId="508097D1">
      <w:pPr>
        <w:widowControl/>
        <w:spacing w:line="360" w:lineRule="auto"/>
        <w:jc w:val="both"/>
        <w:rPr>
          <w:rFonts w:hint="eastAsia" w:asciiTheme="minorEastAsia" w:hAnsiTheme="minorEastAsia" w:eastAsiaTheme="minorEastAsia"/>
          <w:b/>
          <w:color w:val="auto"/>
          <w:sz w:val="36"/>
          <w:szCs w:val="36"/>
          <w:highlight w:val="none"/>
        </w:rPr>
      </w:pPr>
    </w:p>
    <w:p w14:paraId="189A3B55">
      <w:pPr>
        <w:widowControl/>
        <w:spacing w:line="360" w:lineRule="auto"/>
        <w:jc w:val="both"/>
        <w:rPr>
          <w:rFonts w:hint="eastAsia" w:asciiTheme="minorEastAsia" w:hAnsiTheme="minorEastAsia" w:eastAsiaTheme="minorEastAsia"/>
          <w:b/>
          <w:color w:val="auto"/>
          <w:sz w:val="36"/>
          <w:szCs w:val="36"/>
          <w:highlight w:val="none"/>
        </w:rPr>
      </w:pPr>
    </w:p>
    <w:p w14:paraId="189FA2DF">
      <w:pPr>
        <w:widowControl/>
        <w:spacing w:line="360" w:lineRule="auto"/>
        <w:jc w:val="center"/>
        <w:rPr>
          <w:rFonts w:hint="eastAsia" w:asciiTheme="minorEastAsia" w:hAnsiTheme="minorEastAsia" w:eastAsiaTheme="minorEastAsia"/>
          <w:b/>
          <w:color w:val="auto"/>
          <w:sz w:val="72"/>
          <w:szCs w:val="72"/>
          <w:highlight w:val="none"/>
        </w:rPr>
      </w:pPr>
      <w:r>
        <w:rPr>
          <w:rFonts w:hint="eastAsia" w:asciiTheme="minorEastAsia" w:hAnsiTheme="minorEastAsia" w:eastAsiaTheme="minorEastAsia"/>
          <w:b/>
          <w:color w:val="auto"/>
          <w:sz w:val="72"/>
          <w:szCs w:val="72"/>
          <w:highlight w:val="none"/>
        </w:rPr>
        <w:t>公开</w:t>
      </w:r>
      <w:r>
        <w:rPr>
          <w:rFonts w:hint="eastAsia" w:asciiTheme="minorEastAsia" w:hAnsiTheme="minorEastAsia" w:eastAsiaTheme="minorEastAsia"/>
          <w:b/>
          <w:color w:val="auto"/>
          <w:sz w:val="72"/>
          <w:szCs w:val="72"/>
          <w:highlight w:val="none"/>
          <w:lang w:val="en-US" w:eastAsia="zh-CN"/>
        </w:rPr>
        <w:t>招标</w:t>
      </w:r>
      <w:r>
        <w:rPr>
          <w:rFonts w:hint="eastAsia" w:asciiTheme="minorEastAsia" w:hAnsiTheme="minorEastAsia" w:eastAsiaTheme="minorEastAsia"/>
          <w:b/>
          <w:color w:val="auto"/>
          <w:sz w:val="72"/>
          <w:szCs w:val="72"/>
          <w:highlight w:val="none"/>
        </w:rPr>
        <w:t>文件</w:t>
      </w:r>
      <w:bookmarkStart w:id="102" w:name="_GoBack"/>
      <w:bookmarkEnd w:id="102"/>
    </w:p>
    <w:p w14:paraId="203A8D20">
      <w:pPr>
        <w:widowControl/>
        <w:spacing w:line="360" w:lineRule="auto"/>
        <w:jc w:val="center"/>
        <w:rPr>
          <w:rFonts w:hint="eastAsia" w:asciiTheme="minorEastAsia" w:hAnsiTheme="minorEastAsia" w:eastAsiaTheme="minorEastAsia"/>
          <w:b/>
          <w:color w:val="auto"/>
          <w:sz w:val="36"/>
          <w:szCs w:val="36"/>
          <w:highlight w:val="none"/>
        </w:rPr>
      </w:pPr>
    </w:p>
    <w:p w14:paraId="366376F1">
      <w:pPr>
        <w:widowControl/>
        <w:spacing w:line="360" w:lineRule="auto"/>
        <w:jc w:val="center"/>
        <w:rPr>
          <w:rFonts w:hint="eastAsia" w:asciiTheme="minorEastAsia" w:hAnsiTheme="minorEastAsia" w:eastAsiaTheme="minorEastAsia"/>
          <w:b/>
          <w:color w:val="auto"/>
          <w:sz w:val="36"/>
          <w:szCs w:val="36"/>
          <w:highlight w:val="none"/>
          <w:lang w:eastAsia="zh-CN"/>
        </w:rPr>
      </w:pPr>
      <w:r>
        <w:rPr>
          <w:rFonts w:hint="eastAsia" w:asciiTheme="minorEastAsia" w:hAnsiTheme="minorEastAsia" w:eastAsiaTheme="minorEastAsia"/>
          <w:b/>
          <w:color w:val="auto"/>
          <w:sz w:val="36"/>
          <w:szCs w:val="36"/>
          <w:highlight w:val="none"/>
        </w:rPr>
        <w:t>项目编号：</w:t>
      </w:r>
      <w:r>
        <w:rPr>
          <w:rFonts w:hint="eastAsia" w:asciiTheme="minorEastAsia" w:hAnsiTheme="minorEastAsia" w:eastAsiaTheme="minorEastAsia"/>
          <w:b/>
          <w:color w:val="auto"/>
          <w:sz w:val="36"/>
          <w:szCs w:val="36"/>
          <w:highlight w:val="none"/>
          <w:lang w:eastAsia="zh-CN"/>
        </w:rPr>
        <w:t>JSZC-320111-XMGL-G2026-0002</w:t>
      </w:r>
    </w:p>
    <w:p w14:paraId="4C754F40">
      <w:pPr>
        <w:widowControl/>
        <w:spacing w:line="360" w:lineRule="auto"/>
        <w:jc w:val="center"/>
        <w:rPr>
          <w:rFonts w:hint="eastAsia" w:asciiTheme="minorEastAsia" w:hAnsiTheme="minorEastAsia" w:eastAsiaTheme="minorEastAsia"/>
          <w:b/>
          <w:color w:val="auto"/>
          <w:sz w:val="36"/>
          <w:szCs w:val="36"/>
          <w:highlight w:val="none"/>
        </w:rPr>
      </w:pPr>
    </w:p>
    <w:p w14:paraId="499E4F58">
      <w:pPr>
        <w:widowControl/>
        <w:spacing w:line="360" w:lineRule="auto"/>
        <w:jc w:val="center"/>
        <w:rPr>
          <w:rFonts w:hint="eastAsia" w:asciiTheme="minorEastAsia" w:hAnsiTheme="minorEastAsia" w:eastAsiaTheme="minorEastAsia"/>
          <w:b/>
          <w:color w:val="auto"/>
          <w:sz w:val="36"/>
          <w:szCs w:val="36"/>
          <w:highlight w:val="none"/>
        </w:rPr>
      </w:pPr>
    </w:p>
    <w:p w14:paraId="3236583B">
      <w:pPr>
        <w:widowControl/>
        <w:spacing w:line="360" w:lineRule="auto"/>
        <w:jc w:val="center"/>
        <w:rPr>
          <w:rFonts w:hint="eastAsia" w:asciiTheme="minorEastAsia" w:hAnsiTheme="minorEastAsia" w:eastAsiaTheme="minorEastAsia"/>
          <w:b/>
          <w:color w:val="auto"/>
          <w:sz w:val="36"/>
          <w:szCs w:val="36"/>
          <w:highlight w:val="none"/>
        </w:rPr>
      </w:pPr>
    </w:p>
    <w:p w14:paraId="4105CC9F">
      <w:pPr>
        <w:pStyle w:val="44"/>
        <w:rPr>
          <w:rFonts w:hint="eastAsia" w:asciiTheme="minorEastAsia" w:hAnsiTheme="minorEastAsia" w:eastAsiaTheme="minorEastAsia"/>
          <w:b/>
          <w:color w:val="auto"/>
          <w:sz w:val="36"/>
          <w:szCs w:val="36"/>
          <w:highlight w:val="none"/>
        </w:rPr>
      </w:pPr>
    </w:p>
    <w:p w14:paraId="090219BB">
      <w:pPr>
        <w:rPr>
          <w:rFonts w:hint="eastAsia" w:asciiTheme="minorEastAsia" w:hAnsiTheme="minorEastAsia" w:eastAsiaTheme="minorEastAsia"/>
          <w:b/>
          <w:color w:val="auto"/>
          <w:sz w:val="36"/>
          <w:szCs w:val="36"/>
          <w:highlight w:val="none"/>
        </w:rPr>
      </w:pPr>
    </w:p>
    <w:p w14:paraId="70735BFD">
      <w:pPr>
        <w:pStyle w:val="44"/>
        <w:rPr>
          <w:rFonts w:hint="eastAsia" w:asciiTheme="minorEastAsia" w:hAnsiTheme="minorEastAsia" w:eastAsiaTheme="minorEastAsia"/>
          <w:b/>
          <w:color w:val="auto"/>
          <w:sz w:val="36"/>
          <w:szCs w:val="36"/>
          <w:highlight w:val="none"/>
        </w:rPr>
      </w:pPr>
    </w:p>
    <w:p w14:paraId="508B5B2F">
      <w:pPr>
        <w:rPr>
          <w:rFonts w:hint="eastAsia" w:asciiTheme="minorEastAsia" w:hAnsiTheme="minorEastAsia" w:eastAsiaTheme="minorEastAsia"/>
          <w:b/>
          <w:color w:val="auto"/>
          <w:sz w:val="36"/>
          <w:szCs w:val="36"/>
          <w:highlight w:val="none"/>
        </w:rPr>
      </w:pPr>
    </w:p>
    <w:p w14:paraId="1C655E0A">
      <w:pPr>
        <w:pStyle w:val="44"/>
        <w:rPr>
          <w:rFonts w:hint="eastAsia"/>
          <w:color w:val="auto"/>
          <w:highlight w:val="none"/>
        </w:rPr>
      </w:pPr>
    </w:p>
    <w:p w14:paraId="288FF655">
      <w:pPr>
        <w:widowControl/>
        <w:spacing w:line="360" w:lineRule="auto"/>
        <w:jc w:val="center"/>
        <w:rPr>
          <w:rFonts w:hint="eastAsia" w:cs="宋体" w:asciiTheme="minorEastAsia" w:hAnsiTheme="minorEastAsia" w:eastAsiaTheme="minorEastAsia"/>
          <w:b/>
          <w:bCs/>
          <w:color w:val="auto"/>
          <w:sz w:val="36"/>
          <w:szCs w:val="36"/>
          <w:highlight w:val="none"/>
          <w:lang w:eastAsia="zh-CN"/>
        </w:rPr>
      </w:pPr>
      <w:r>
        <w:rPr>
          <w:rFonts w:hint="eastAsia" w:cs="宋体" w:asciiTheme="minorEastAsia" w:hAnsiTheme="minorEastAsia" w:eastAsiaTheme="minorEastAsia"/>
          <w:b/>
          <w:bCs/>
          <w:color w:val="auto"/>
          <w:sz w:val="36"/>
          <w:szCs w:val="36"/>
          <w:highlight w:val="none"/>
        </w:rPr>
        <w:t>采购人：</w:t>
      </w:r>
      <w:r>
        <w:rPr>
          <w:rFonts w:hint="eastAsia" w:cs="宋体" w:asciiTheme="minorEastAsia" w:hAnsiTheme="minorEastAsia" w:eastAsiaTheme="minorEastAsia"/>
          <w:b/>
          <w:bCs/>
          <w:color w:val="auto"/>
          <w:sz w:val="36"/>
          <w:szCs w:val="36"/>
          <w:highlight w:val="none"/>
          <w:lang w:eastAsia="zh-CN"/>
        </w:rPr>
        <w:t>南京浦口经济开发区管理委员会</w:t>
      </w:r>
    </w:p>
    <w:p w14:paraId="003175E5">
      <w:pPr>
        <w:widowControl/>
        <w:spacing w:line="360" w:lineRule="auto"/>
        <w:jc w:val="center"/>
        <w:rPr>
          <w:rFonts w:hint="eastAsia" w:cs="宋体" w:asciiTheme="minorEastAsia" w:hAnsiTheme="minorEastAsia" w:eastAsiaTheme="minorEastAsia"/>
          <w:b/>
          <w:bCs/>
          <w:color w:val="auto"/>
          <w:sz w:val="36"/>
          <w:szCs w:val="36"/>
          <w:highlight w:val="none"/>
          <w:lang w:eastAsia="zh-CN"/>
        </w:rPr>
      </w:pPr>
      <w:r>
        <w:rPr>
          <w:rFonts w:hint="eastAsia" w:cs="宋体" w:asciiTheme="minorEastAsia" w:hAnsiTheme="minorEastAsia" w:eastAsiaTheme="minorEastAsia"/>
          <w:b/>
          <w:bCs/>
          <w:color w:val="auto"/>
          <w:sz w:val="36"/>
          <w:szCs w:val="36"/>
          <w:highlight w:val="none"/>
        </w:rPr>
        <w:t>采购代理机构：</w:t>
      </w:r>
      <w:r>
        <w:rPr>
          <w:rFonts w:hint="eastAsia" w:cs="宋体" w:asciiTheme="minorEastAsia" w:hAnsiTheme="minorEastAsia" w:eastAsiaTheme="minorEastAsia"/>
          <w:b/>
          <w:bCs/>
          <w:color w:val="auto"/>
          <w:sz w:val="36"/>
          <w:szCs w:val="36"/>
          <w:highlight w:val="none"/>
          <w:lang w:eastAsia="zh-CN"/>
        </w:rPr>
        <w:t>江苏全过程项目管理有限公司</w:t>
      </w:r>
    </w:p>
    <w:p w14:paraId="02710C34">
      <w:pPr>
        <w:widowControl/>
        <w:spacing w:line="360" w:lineRule="auto"/>
        <w:jc w:val="center"/>
        <w:rPr>
          <w:rFonts w:hint="eastAsia" w:cs="宋体" w:asciiTheme="minorEastAsia" w:hAnsiTheme="minorEastAsia" w:eastAsiaTheme="minorEastAsia"/>
          <w:b/>
          <w:bCs/>
          <w:color w:val="auto"/>
          <w:sz w:val="36"/>
          <w:szCs w:val="36"/>
          <w:highlight w:val="none"/>
        </w:rPr>
        <w:sectPr>
          <w:headerReference r:id="rId4" w:type="first"/>
          <w:headerReference r:id="rId3" w:type="default"/>
          <w:footerReference r:id="rId5" w:type="default"/>
          <w:pgSz w:w="11906" w:h="16838"/>
          <w:pgMar w:top="1440" w:right="1080" w:bottom="1440" w:left="1080" w:header="850" w:footer="850" w:gutter="0"/>
          <w:cols w:space="720" w:num="1"/>
          <w:titlePg/>
          <w:docGrid w:linePitch="360" w:charSpace="0"/>
        </w:sectPr>
      </w:pPr>
      <w:r>
        <w:rPr>
          <w:rFonts w:hint="eastAsia" w:ascii="宋体" w:hAnsi="宋体" w:cs="宋体"/>
          <w:b/>
          <w:bCs/>
          <w:color w:val="auto"/>
          <w:sz w:val="32"/>
          <w:szCs w:val="32"/>
          <w:highlight w:val="none"/>
        </w:rPr>
        <w:t>二〇二</w:t>
      </w:r>
      <w:r>
        <w:rPr>
          <w:rFonts w:hint="eastAsia" w:ascii="宋体" w:hAnsi="宋体" w:cs="宋体"/>
          <w:b/>
          <w:bCs/>
          <w:color w:val="auto"/>
          <w:sz w:val="32"/>
          <w:szCs w:val="32"/>
          <w:highlight w:val="none"/>
          <w:lang w:val="en-US" w:eastAsia="zh-CN"/>
        </w:rPr>
        <w:t>六</w:t>
      </w:r>
      <w:r>
        <w:rPr>
          <w:rFonts w:hint="eastAsia" w:ascii="宋体" w:hAnsi="宋体" w:cs="宋体"/>
          <w:b/>
          <w:bCs/>
          <w:color w:val="auto"/>
          <w:sz w:val="32"/>
          <w:szCs w:val="32"/>
          <w:highlight w:val="none"/>
        </w:rPr>
        <w:t>年</w:t>
      </w:r>
      <w:r>
        <w:rPr>
          <w:rFonts w:hint="eastAsia" w:ascii="宋体" w:hAnsi="宋体" w:cs="宋体"/>
          <w:b/>
          <w:bCs/>
          <w:color w:val="auto"/>
          <w:sz w:val="32"/>
          <w:szCs w:val="32"/>
          <w:highlight w:val="none"/>
          <w:lang w:val="en-US" w:eastAsia="zh-CN"/>
        </w:rPr>
        <w:t>三</w:t>
      </w:r>
      <w:r>
        <w:rPr>
          <w:rFonts w:hint="eastAsia" w:ascii="宋体" w:hAnsi="宋体" w:cs="宋体"/>
          <w:b/>
          <w:bCs/>
          <w:color w:val="auto"/>
          <w:sz w:val="32"/>
          <w:szCs w:val="32"/>
          <w:highlight w:val="none"/>
        </w:rPr>
        <w:t>月</w:t>
      </w:r>
    </w:p>
    <w:sdt>
      <w:sdtPr>
        <w:rPr>
          <w:rFonts w:cs="Times New Roman" w:asciiTheme="minorEastAsia" w:hAnsiTheme="minorEastAsia" w:eastAsiaTheme="minorEastAsia"/>
          <w:color w:val="auto"/>
          <w:sz w:val="21"/>
          <w:szCs w:val="24"/>
          <w:highlight w:val="none"/>
          <w:lang w:val="zh-CN"/>
        </w:rPr>
        <w:id w:val="-1426032923"/>
        <w:docPartObj>
          <w:docPartGallery w:val="Table of Contents"/>
          <w:docPartUnique/>
        </w:docPartObj>
      </w:sdtPr>
      <w:sdtEndPr>
        <w:rPr>
          <w:rFonts w:cs="Times New Roman" w:asciiTheme="minorEastAsia" w:hAnsiTheme="minorEastAsia" w:eastAsiaTheme="minorEastAsia"/>
          <w:color w:val="auto"/>
          <w:sz w:val="21"/>
          <w:szCs w:val="24"/>
          <w:highlight w:val="none"/>
          <w:lang w:val="zh-CN"/>
        </w:rPr>
      </w:sdtEndPr>
      <w:sdtContent>
        <w:p w14:paraId="4381CC8D">
          <w:pPr>
            <w:pStyle w:val="373"/>
            <w:spacing w:line="360" w:lineRule="auto"/>
            <w:jc w:val="center"/>
            <w:rPr>
              <w:rFonts w:hint="eastAsia" w:asciiTheme="minorEastAsia" w:hAnsiTheme="minorEastAsia" w:eastAsiaTheme="minorEastAsia"/>
              <w:b/>
              <w:bCs/>
              <w:color w:val="auto"/>
              <w:highlight w:val="none"/>
            </w:rPr>
          </w:pPr>
          <w:r>
            <w:rPr>
              <w:rFonts w:asciiTheme="minorEastAsia" w:hAnsiTheme="minorEastAsia" w:eastAsiaTheme="minorEastAsia"/>
              <w:b/>
              <w:bCs/>
              <w:color w:val="auto"/>
              <w:highlight w:val="none"/>
              <w:lang w:val="zh-CN"/>
            </w:rPr>
            <w:t>目录</w:t>
          </w:r>
        </w:p>
        <w:p w14:paraId="0406A1E5">
          <w:pPr>
            <w:pStyle w:val="32"/>
            <w:tabs>
              <w:tab w:val="right" w:leader="dot" w:pos="9026"/>
            </w:tabs>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TOC \o "1-1" \h \z \u </w:instrText>
          </w:r>
          <w:r>
            <w:rPr>
              <w:rFonts w:hint="eastAsia" w:ascii="宋体" w:hAnsi="宋体" w:cs="宋体"/>
              <w:b/>
              <w:bCs/>
              <w:color w:val="auto"/>
              <w:sz w:val="30"/>
              <w:szCs w:val="30"/>
              <w:highlight w:val="none"/>
            </w:rPr>
            <w:fldChar w:fldCharType="separate"/>
          </w:r>
          <w:r>
            <w:rPr>
              <w:color w:val="auto"/>
              <w:highlight w:val="none"/>
            </w:rPr>
            <w:fldChar w:fldCharType="begin"/>
          </w:r>
          <w:r>
            <w:rPr>
              <w:color w:val="auto"/>
              <w:highlight w:val="none"/>
            </w:rPr>
            <w:instrText xml:space="preserve"> HYPERLINK \l "_Toc17057" \o "#_Toc17057" </w:instrText>
          </w:r>
          <w:r>
            <w:rPr>
              <w:color w:val="auto"/>
              <w:highlight w:val="none"/>
            </w:rPr>
            <w:fldChar w:fldCharType="separate"/>
          </w:r>
          <w:r>
            <w:rPr>
              <w:rFonts w:hint="eastAsia" w:ascii="宋体" w:hAnsi="宋体" w:cs="宋体"/>
              <w:b/>
              <w:bCs/>
              <w:color w:val="auto"/>
              <w:sz w:val="30"/>
              <w:szCs w:val="30"/>
              <w:highlight w:val="none"/>
            </w:rPr>
            <w:t>第一章 采购公告</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_Toc17057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1</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p>
        <w:p w14:paraId="3A1E5BA7">
          <w:pPr>
            <w:pStyle w:val="32"/>
            <w:tabs>
              <w:tab w:val="right" w:leader="dot" w:pos="9026"/>
            </w:tabs>
            <w:spacing w:line="360" w:lineRule="auto"/>
            <w:rPr>
              <w:rFonts w:hint="eastAsia" w:ascii="宋体" w:hAnsi="宋体" w:cs="宋体"/>
              <w:b/>
              <w:bCs/>
              <w:color w:val="auto"/>
              <w:sz w:val="30"/>
              <w:szCs w:val="30"/>
              <w:highlight w:val="none"/>
            </w:rPr>
          </w:pPr>
          <w:r>
            <w:rPr>
              <w:color w:val="auto"/>
              <w:highlight w:val="none"/>
            </w:rPr>
            <w:fldChar w:fldCharType="begin"/>
          </w:r>
          <w:r>
            <w:rPr>
              <w:color w:val="auto"/>
              <w:highlight w:val="none"/>
            </w:rPr>
            <w:instrText xml:space="preserve"> HYPERLINK \l "_Toc4567" \o "#_Toc4567" </w:instrText>
          </w:r>
          <w:r>
            <w:rPr>
              <w:color w:val="auto"/>
              <w:highlight w:val="none"/>
            </w:rPr>
            <w:fldChar w:fldCharType="separate"/>
          </w:r>
          <w:r>
            <w:rPr>
              <w:rFonts w:hint="eastAsia" w:ascii="宋体" w:hAnsi="宋体" w:cs="宋体"/>
              <w:b/>
              <w:bCs/>
              <w:color w:val="auto"/>
              <w:sz w:val="30"/>
              <w:szCs w:val="30"/>
              <w:highlight w:val="none"/>
            </w:rPr>
            <w:t>第二章 投标人须知</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_Toc4567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5</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p>
        <w:p w14:paraId="7DC6547A">
          <w:pPr>
            <w:pStyle w:val="32"/>
            <w:tabs>
              <w:tab w:val="right" w:leader="dot" w:pos="9026"/>
            </w:tabs>
            <w:spacing w:line="360" w:lineRule="auto"/>
            <w:rPr>
              <w:rFonts w:hint="eastAsia" w:ascii="宋体" w:hAnsi="宋体" w:cs="宋体"/>
              <w:b/>
              <w:bCs/>
              <w:color w:val="auto"/>
              <w:sz w:val="30"/>
              <w:szCs w:val="30"/>
              <w:highlight w:val="none"/>
            </w:rPr>
          </w:pPr>
          <w:r>
            <w:rPr>
              <w:color w:val="auto"/>
              <w:highlight w:val="none"/>
            </w:rPr>
            <w:fldChar w:fldCharType="begin"/>
          </w:r>
          <w:r>
            <w:rPr>
              <w:color w:val="auto"/>
              <w:highlight w:val="none"/>
            </w:rPr>
            <w:instrText xml:space="preserve"> HYPERLINK \l "_Toc9379" \o "#_Toc9379" </w:instrText>
          </w:r>
          <w:r>
            <w:rPr>
              <w:color w:val="auto"/>
              <w:highlight w:val="none"/>
            </w:rPr>
            <w:fldChar w:fldCharType="separate"/>
          </w:r>
          <w:r>
            <w:rPr>
              <w:rFonts w:hint="eastAsia" w:ascii="宋体" w:hAnsi="宋体" w:cs="宋体"/>
              <w:b/>
              <w:bCs/>
              <w:color w:val="auto"/>
              <w:sz w:val="30"/>
              <w:szCs w:val="30"/>
              <w:highlight w:val="none"/>
            </w:rPr>
            <w:t>第三章 评标标准</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_Toc9379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15</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p>
        <w:p w14:paraId="0D8B000F">
          <w:pPr>
            <w:pStyle w:val="32"/>
            <w:tabs>
              <w:tab w:val="right" w:leader="dot" w:pos="9026"/>
            </w:tabs>
            <w:spacing w:line="360" w:lineRule="auto"/>
            <w:rPr>
              <w:rFonts w:hint="eastAsia" w:ascii="宋体" w:hAnsi="宋体" w:cs="宋体"/>
              <w:b/>
              <w:bCs/>
              <w:color w:val="auto"/>
              <w:sz w:val="30"/>
              <w:szCs w:val="30"/>
              <w:highlight w:val="none"/>
            </w:rPr>
          </w:pPr>
          <w:r>
            <w:rPr>
              <w:color w:val="auto"/>
              <w:highlight w:val="none"/>
            </w:rPr>
            <w:fldChar w:fldCharType="begin"/>
          </w:r>
          <w:r>
            <w:rPr>
              <w:color w:val="auto"/>
              <w:highlight w:val="none"/>
            </w:rPr>
            <w:instrText xml:space="preserve"> HYPERLINK \l "_Toc29671" \o "#_Toc29671" </w:instrText>
          </w:r>
          <w:r>
            <w:rPr>
              <w:color w:val="auto"/>
              <w:highlight w:val="none"/>
            </w:rPr>
            <w:fldChar w:fldCharType="separate"/>
          </w:r>
          <w:r>
            <w:rPr>
              <w:rFonts w:hint="eastAsia" w:ascii="宋体" w:hAnsi="宋体" w:cs="宋体"/>
              <w:b/>
              <w:bCs/>
              <w:color w:val="auto"/>
              <w:sz w:val="30"/>
              <w:szCs w:val="30"/>
              <w:highlight w:val="none"/>
            </w:rPr>
            <w:t>第四章 采购项目需求</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_Toc29671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17</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p>
        <w:p w14:paraId="446694F3">
          <w:pPr>
            <w:pStyle w:val="32"/>
            <w:tabs>
              <w:tab w:val="right" w:leader="dot" w:pos="9026"/>
            </w:tabs>
            <w:spacing w:line="360" w:lineRule="auto"/>
            <w:rPr>
              <w:rFonts w:hint="eastAsia" w:ascii="宋体" w:hAnsi="宋体" w:cs="宋体"/>
              <w:b/>
              <w:bCs/>
              <w:color w:val="auto"/>
              <w:sz w:val="30"/>
              <w:szCs w:val="30"/>
              <w:highlight w:val="none"/>
            </w:rPr>
          </w:pPr>
          <w:r>
            <w:rPr>
              <w:color w:val="auto"/>
              <w:highlight w:val="none"/>
            </w:rPr>
            <w:fldChar w:fldCharType="begin"/>
          </w:r>
          <w:r>
            <w:rPr>
              <w:color w:val="auto"/>
              <w:highlight w:val="none"/>
            </w:rPr>
            <w:instrText xml:space="preserve"> HYPERLINK \l "_Toc5204" \o "#_Toc5204" </w:instrText>
          </w:r>
          <w:r>
            <w:rPr>
              <w:color w:val="auto"/>
              <w:highlight w:val="none"/>
            </w:rPr>
            <w:fldChar w:fldCharType="separate"/>
          </w:r>
          <w:r>
            <w:rPr>
              <w:rFonts w:hint="eastAsia" w:ascii="宋体" w:hAnsi="宋体" w:cs="宋体"/>
              <w:b/>
              <w:bCs/>
              <w:color w:val="auto"/>
              <w:sz w:val="30"/>
              <w:szCs w:val="30"/>
              <w:highlight w:val="none"/>
            </w:rPr>
            <w:t>第五章 合同主要条款及格式</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_Toc5204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32</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p>
        <w:p w14:paraId="488C43B1">
          <w:pPr>
            <w:pStyle w:val="32"/>
            <w:tabs>
              <w:tab w:val="right" w:leader="dot" w:pos="9026"/>
            </w:tabs>
            <w:spacing w:line="360" w:lineRule="auto"/>
            <w:rPr>
              <w:rFonts w:hint="eastAsia" w:ascii="宋体" w:hAnsi="宋体" w:cs="宋体"/>
              <w:b/>
              <w:bCs/>
              <w:color w:val="auto"/>
              <w:sz w:val="30"/>
              <w:szCs w:val="30"/>
              <w:highlight w:val="none"/>
            </w:rPr>
          </w:pPr>
          <w:r>
            <w:rPr>
              <w:color w:val="auto"/>
              <w:highlight w:val="none"/>
            </w:rPr>
            <w:fldChar w:fldCharType="begin"/>
          </w:r>
          <w:r>
            <w:rPr>
              <w:color w:val="auto"/>
              <w:highlight w:val="none"/>
            </w:rPr>
            <w:instrText xml:space="preserve"> HYPERLINK \l "_Toc22737" \o "#_Toc22737" </w:instrText>
          </w:r>
          <w:r>
            <w:rPr>
              <w:color w:val="auto"/>
              <w:highlight w:val="none"/>
            </w:rPr>
            <w:fldChar w:fldCharType="separate"/>
          </w:r>
          <w:r>
            <w:rPr>
              <w:rFonts w:hint="eastAsia" w:ascii="宋体" w:hAnsi="宋体" w:cs="宋体"/>
              <w:b/>
              <w:bCs/>
              <w:color w:val="auto"/>
              <w:sz w:val="30"/>
              <w:szCs w:val="30"/>
              <w:highlight w:val="none"/>
            </w:rPr>
            <w:t>第六章 投标文件格式</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_Toc22737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38</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p>
        <w:p w14:paraId="228978FD">
          <w:pPr>
            <w:spacing w:line="360" w:lineRule="auto"/>
            <w:rPr>
              <w:rFonts w:hint="eastAsia" w:asciiTheme="minorEastAsia" w:hAnsiTheme="minorEastAsia" w:eastAsiaTheme="minorEastAsia"/>
              <w:color w:val="auto"/>
              <w:highlight w:val="none"/>
            </w:rPr>
          </w:pPr>
          <w:r>
            <w:rPr>
              <w:rFonts w:hint="eastAsia" w:ascii="宋体" w:hAnsi="宋体" w:cs="宋体"/>
              <w:b/>
              <w:bCs/>
              <w:color w:val="auto"/>
              <w:sz w:val="30"/>
              <w:szCs w:val="30"/>
              <w:highlight w:val="none"/>
            </w:rPr>
            <w:fldChar w:fldCharType="end"/>
          </w:r>
        </w:p>
      </w:sdtContent>
    </w:sdt>
    <w:p w14:paraId="75723F15">
      <w:pPr>
        <w:pStyle w:val="32"/>
        <w:tabs>
          <w:tab w:val="right" w:leader="dot" w:pos="8296"/>
        </w:tabs>
        <w:spacing w:line="360" w:lineRule="auto"/>
        <w:rPr>
          <w:rFonts w:hint="eastAsia" w:asciiTheme="minorEastAsia" w:hAnsiTheme="minorEastAsia" w:eastAsiaTheme="minorEastAsia"/>
          <w:b/>
          <w:bCs/>
          <w:color w:val="auto"/>
          <w:sz w:val="28"/>
          <w:szCs w:val="28"/>
          <w:highlight w:val="none"/>
        </w:rPr>
      </w:pPr>
    </w:p>
    <w:p w14:paraId="5F98DAAF">
      <w:pPr>
        <w:pStyle w:val="32"/>
        <w:tabs>
          <w:tab w:val="right" w:leader="dot" w:pos="8306"/>
        </w:tabs>
        <w:spacing w:line="360" w:lineRule="auto"/>
        <w:rPr>
          <w:rFonts w:hint="eastAsia"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fldChar w:fldCharType="begin"/>
      </w:r>
      <w:r>
        <w:rPr>
          <w:rFonts w:hint="eastAsia" w:cs="宋体" w:asciiTheme="minorEastAsia" w:hAnsiTheme="minorEastAsia" w:eastAsiaTheme="minorEastAsia"/>
          <w:b/>
          <w:color w:val="auto"/>
          <w:sz w:val="28"/>
          <w:szCs w:val="28"/>
          <w:highlight w:val="none"/>
        </w:rPr>
        <w:instrText xml:space="preserve">TOC \o "1-1" \h \u </w:instrText>
      </w:r>
      <w:r>
        <w:rPr>
          <w:rFonts w:hint="eastAsia" w:cs="宋体" w:asciiTheme="minorEastAsia" w:hAnsiTheme="minorEastAsia" w:eastAsiaTheme="minorEastAsia"/>
          <w:b/>
          <w:color w:val="auto"/>
          <w:sz w:val="28"/>
          <w:szCs w:val="28"/>
          <w:highlight w:val="none"/>
        </w:rPr>
        <w:fldChar w:fldCharType="separate"/>
      </w:r>
    </w:p>
    <w:p w14:paraId="634B3464">
      <w:pPr>
        <w:spacing w:line="360" w:lineRule="auto"/>
        <w:rPr>
          <w:rFonts w:hint="eastAsia" w:asciiTheme="minorEastAsia" w:hAnsiTheme="minorEastAsia" w:eastAsiaTheme="minorEastAsia"/>
          <w:color w:val="auto"/>
          <w:sz w:val="28"/>
          <w:szCs w:val="28"/>
          <w:highlight w:val="none"/>
        </w:rPr>
      </w:pPr>
      <w:r>
        <w:rPr>
          <w:rFonts w:hint="eastAsia" w:cs="宋体" w:asciiTheme="minorEastAsia" w:hAnsiTheme="minorEastAsia" w:eastAsiaTheme="minorEastAsia"/>
          <w:b/>
          <w:color w:val="auto"/>
          <w:sz w:val="28"/>
          <w:szCs w:val="28"/>
          <w:highlight w:val="none"/>
        </w:rPr>
        <w:fldChar w:fldCharType="end"/>
      </w:r>
    </w:p>
    <w:p w14:paraId="6E730D19">
      <w:pPr>
        <w:pStyle w:val="3"/>
        <w:numPr>
          <w:ilvl w:val="0"/>
          <w:numId w:val="0"/>
        </w:numPr>
        <w:spacing w:before="130" w:after="130" w:line="360" w:lineRule="auto"/>
        <w:jc w:val="center"/>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36"/>
          <w:szCs w:val="36"/>
          <w:highlight w:val="none"/>
          <w:shd w:val="clear" w:color="auto" w:fill="FFFFFF"/>
        </w:rPr>
        <w:br w:type="page" w:clear="all"/>
      </w:r>
      <w:bookmarkStart w:id="0" w:name="_Toc29007"/>
      <w:bookmarkStart w:id="1" w:name="_Toc481057143"/>
      <w:bookmarkStart w:id="2" w:name="_Hlk43897905"/>
      <w:r>
        <w:rPr>
          <w:rFonts w:hint="eastAsia" w:cs="宋体" w:asciiTheme="minorEastAsia" w:hAnsiTheme="minorEastAsia" w:eastAsiaTheme="minorEastAsia"/>
          <w:color w:val="auto"/>
          <w:sz w:val="36"/>
          <w:szCs w:val="36"/>
          <w:highlight w:val="none"/>
          <w:shd w:val="clear" w:color="auto" w:fill="FFFFFF"/>
          <w:lang w:val="en-US" w:eastAsia="zh-CN"/>
        </w:rPr>
        <w:t>第一章</w:t>
      </w:r>
      <w:r>
        <w:rPr>
          <w:rFonts w:hint="eastAsia" w:cs="宋体" w:asciiTheme="minorEastAsia" w:hAnsiTheme="minorEastAsia" w:eastAsiaTheme="minorEastAsia"/>
          <w:color w:val="auto"/>
          <w:sz w:val="36"/>
          <w:szCs w:val="36"/>
          <w:highlight w:val="none"/>
          <w:shd w:val="clear" w:color="auto" w:fill="FFFFFF"/>
        </w:rPr>
        <w:t xml:space="preserve"> </w:t>
      </w:r>
      <w:bookmarkStart w:id="3" w:name="_Toc17057"/>
      <w:r>
        <w:rPr>
          <w:rFonts w:hint="eastAsia" w:asciiTheme="minorEastAsia" w:hAnsiTheme="minorEastAsia" w:eastAsiaTheme="minorEastAsia"/>
          <w:color w:val="auto"/>
          <w:highlight w:val="none"/>
        </w:rPr>
        <w:t>采购公告</w:t>
      </w:r>
      <w:bookmarkEnd w:id="0"/>
      <w:bookmarkEnd w:id="1"/>
      <w:bookmarkEnd w:id="3"/>
    </w:p>
    <w:p w14:paraId="19593FC8">
      <w:pPr>
        <w:widowControl/>
        <w:pBdr>
          <w:top w:val="single" w:color="auto" w:sz="4" w:space="1"/>
          <w:left w:val="single" w:color="auto" w:sz="4" w:space="4"/>
          <w:bottom w:val="single" w:color="auto" w:sz="4" w:space="1"/>
          <w:right w:val="single" w:color="auto" w:sz="4" w:space="4"/>
        </w:pBdr>
        <w:spacing w:line="360" w:lineRule="auto"/>
        <w:ind w:firstLine="454"/>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项目概况</w:t>
      </w:r>
    </w:p>
    <w:p w14:paraId="3D879269">
      <w:pPr>
        <w:widowControl/>
        <w:pBdr>
          <w:top w:val="single" w:color="auto" w:sz="4" w:space="1"/>
          <w:left w:val="single" w:color="auto" w:sz="4" w:space="4"/>
          <w:bottom w:val="single" w:color="auto" w:sz="4" w:space="1"/>
          <w:right w:val="single" w:color="auto" w:sz="4" w:space="4"/>
        </w:pBdr>
        <w:spacing w:line="360" w:lineRule="auto"/>
        <w:ind w:firstLine="452"/>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浦口经济开发区工业废水处理厂污泥处置项目JSZC-320111-XMGL-G2026-0002</w:t>
      </w:r>
      <w:r>
        <w:rPr>
          <w:rFonts w:hint="eastAsia" w:ascii="宋体" w:hAnsi="宋体" w:eastAsia="宋体" w:cs="宋体"/>
          <w:color w:val="auto"/>
          <w:spacing w:val="8"/>
          <w:sz w:val="24"/>
          <w:szCs w:val="24"/>
          <w:highlight w:val="none"/>
        </w:rPr>
        <w:t>采购项目的潜在投标人应在江苏政府采购网“苏采云”系统获取采购文件，并于202</w:t>
      </w:r>
      <w:r>
        <w:rPr>
          <w:rFonts w:hint="eastAsia" w:ascii="宋体" w:hAnsi="宋体" w:eastAsia="宋体" w:cs="宋体"/>
          <w:color w:val="auto"/>
          <w:spacing w:val="8"/>
          <w:sz w:val="24"/>
          <w:szCs w:val="24"/>
          <w:highlight w:val="none"/>
          <w:lang w:val="en-US" w:eastAsia="zh-CN"/>
        </w:rPr>
        <w:t>6</w:t>
      </w:r>
      <w:r>
        <w:rPr>
          <w:rFonts w:hint="eastAsia" w:ascii="宋体" w:hAnsi="宋体" w:eastAsia="宋体" w:cs="宋体"/>
          <w:color w:val="auto"/>
          <w:spacing w:val="8"/>
          <w:sz w:val="24"/>
          <w:szCs w:val="24"/>
          <w:highlight w:val="none"/>
        </w:rPr>
        <w:t>年</w:t>
      </w:r>
      <w:r>
        <w:rPr>
          <w:rFonts w:hint="eastAsia" w:ascii="宋体" w:hAnsi="宋体" w:cs="宋体"/>
          <w:color w:val="auto"/>
          <w:spacing w:val="8"/>
          <w:sz w:val="24"/>
          <w:szCs w:val="24"/>
          <w:highlight w:val="none"/>
          <w:lang w:val="en-US" w:eastAsia="zh-CN"/>
        </w:rPr>
        <w:t>03</w:t>
      </w:r>
      <w:r>
        <w:rPr>
          <w:rFonts w:hint="eastAsia" w:ascii="宋体" w:hAnsi="宋体" w:eastAsia="宋体" w:cs="宋体"/>
          <w:color w:val="auto"/>
          <w:spacing w:val="8"/>
          <w:sz w:val="24"/>
          <w:szCs w:val="24"/>
          <w:highlight w:val="none"/>
        </w:rPr>
        <w:t>月</w:t>
      </w:r>
      <w:r>
        <w:rPr>
          <w:rFonts w:hint="eastAsia" w:ascii="宋体" w:hAnsi="宋体" w:cs="宋体"/>
          <w:color w:val="auto"/>
          <w:spacing w:val="8"/>
          <w:sz w:val="24"/>
          <w:szCs w:val="24"/>
          <w:highlight w:val="none"/>
          <w:lang w:val="en-US" w:eastAsia="zh-CN"/>
        </w:rPr>
        <w:t>26</w:t>
      </w:r>
      <w:r>
        <w:rPr>
          <w:rFonts w:hint="eastAsia" w:ascii="宋体" w:hAnsi="宋体" w:eastAsia="宋体" w:cs="宋体"/>
          <w:color w:val="auto"/>
          <w:spacing w:val="8"/>
          <w:sz w:val="24"/>
          <w:szCs w:val="24"/>
          <w:highlight w:val="none"/>
        </w:rPr>
        <w:t>日</w:t>
      </w:r>
      <w:r>
        <w:rPr>
          <w:rFonts w:hint="eastAsia" w:ascii="宋体" w:hAnsi="宋体" w:eastAsia="宋体" w:cs="宋体"/>
          <w:color w:val="auto"/>
          <w:spacing w:val="8"/>
          <w:sz w:val="24"/>
          <w:szCs w:val="24"/>
          <w:highlight w:val="none"/>
          <w:lang w:val="en-US" w:eastAsia="zh-CN"/>
        </w:rPr>
        <w:t>14</w:t>
      </w:r>
      <w:r>
        <w:rPr>
          <w:rFonts w:hint="eastAsia" w:ascii="宋体" w:hAnsi="宋体" w:eastAsia="宋体" w:cs="宋体"/>
          <w:color w:val="auto"/>
          <w:spacing w:val="8"/>
          <w:sz w:val="24"/>
          <w:szCs w:val="24"/>
          <w:highlight w:val="none"/>
          <w:lang w:eastAsia="zh-CN"/>
        </w:rPr>
        <w:t>：</w:t>
      </w:r>
      <w:r>
        <w:rPr>
          <w:rFonts w:hint="eastAsia" w:ascii="宋体" w:hAnsi="宋体" w:eastAsia="宋体" w:cs="宋体"/>
          <w:color w:val="auto"/>
          <w:spacing w:val="8"/>
          <w:sz w:val="24"/>
          <w:szCs w:val="24"/>
          <w:highlight w:val="none"/>
        </w:rPr>
        <w:t>30（北京时间）前提交投标文件。</w:t>
      </w:r>
    </w:p>
    <w:p w14:paraId="79C8A823">
      <w:pPr>
        <w:widowControl/>
        <w:shd w:val="clear" w:color="auto" w:fill="FFFFFF"/>
        <w:spacing w:line="360" w:lineRule="auto"/>
        <w:ind w:firstLine="0"/>
        <w:jc w:val="left"/>
        <w:rPr>
          <w:rFonts w:hint="eastAsia" w:ascii="宋体" w:hAnsi="宋体" w:eastAsia="宋体" w:cs="宋体"/>
          <w:b/>
          <w:bCs/>
          <w:color w:val="auto"/>
          <w:sz w:val="11"/>
          <w:szCs w:val="11"/>
          <w:highlight w:val="none"/>
        </w:rPr>
      </w:pPr>
    </w:p>
    <w:p w14:paraId="421278CB">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一、项目基本情况</w:t>
      </w:r>
    </w:p>
    <w:p w14:paraId="34A6801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项目编号：</w:t>
      </w:r>
      <w:r>
        <w:rPr>
          <w:rFonts w:hint="eastAsia" w:ascii="宋体" w:hAnsi="宋体" w:cs="宋体"/>
          <w:bCs/>
          <w:color w:val="auto"/>
          <w:sz w:val="24"/>
          <w:szCs w:val="24"/>
          <w:highlight w:val="none"/>
          <w:lang w:eastAsia="zh-CN"/>
        </w:rPr>
        <w:t>JSZC-320111-XMGL-G2026-0002</w:t>
      </w:r>
    </w:p>
    <w:p w14:paraId="68DB528C">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项目名称：</w:t>
      </w:r>
      <w:r>
        <w:rPr>
          <w:rFonts w:hint="eastAsia" w:ascii="宋体" w:hAnsi="宋体" w:cs="宋体"/>
          <w:bCs/>
          <w:color w:val="auto"/>
          <w:sz w:val="24"/>
          <w:szCs w:val="24"/>
          <w:highlight w:val="none"/>
          <w:lang w:eastAsia="zh-CN"/>
        </w:rPr>
        <w:t>浦口经济开发区工业废水处理厂污泥处置项目</w:t>
      </w:r>
    </w:p>
    <w:p w14:paraId="44E08E64">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预算金额：</w:t>
      </w:r>
      <w:r>
        <w:rPr>
          <w:rFonts w:hint="eastAsia" w:ascii="宋体" w:hAnsi="宋体" w:cs="宋体"/>
          <w:bCs/>
          <w:color w:val="auto"/>
          <w:sz w:val="24"/>
          <w:szCs w:val="24"/>
          <w:highlight w:val="none"/>
          <w:lang w:val="en-US" w:eastAsia="zh-CN"/>
        </w:rPr>
        <w:t>329.00</w:t>
      </w:r>
      <w:r>
        <w:rPr>
          <w:rFonts w:hint="eastAsia" w:ascii="宋体" w:hAnsi="宋体" w:eastAsia="宋体" w:cs="宋体"/>
          <w:bCs/>
          <w:color w:val="auto"/>
          <w:sz w:val="24"/>
          <w:szCs w:val="24"/>
          <w:highlight w:val="none"/>
          <w:lang w:eastAsia="zh-CN"/>
        </w:rPr>
        <w:t>万元（采购包1：</w:t>
      </w:r>
      <w:r>
        <w:rPr>
          <w:rFonts w:hint="eastAsia" w:ascii="宋体" w:hAnsi="宋体" w:cs="宋体"/>
          <w:bCs/>
          <w:color w:val="auto"/>
          <w:sz w:val="24"/>
          <w:szCs w:val="24"/>
          <w:highlight w:val="none"/>
          <w:lang w:val="en-US" w:eastAsia="zh-CN"/>
        </w:rPr>
        <w:t>164.50</w:t>
      </w:r>
      <w:r>
        <w:rPr>
          <w:rFonts w:hint="eastAsia" w:ascii="宋体" w:hAnsi="宋体" w:eastAsia="宋体" w:cs="宋体"/>
          <w:bCs/>
          <w:color w:val="auto"/>
          <w:sz w:val="24"/>
          <w:szCs w:val="24"/>
          <w:highlight w:val="none"/>
          <w:lang w:eastAsia="zh-CN"/>
        </w:rPr>
        <w:t>万元；采购包2：</w:t>
      </w:r>
      <w:r>
        <w:rPr>
          <w:rFonts w:hint="eastAsia" w:ascii="宋体" w:hAnsi="宋体" w:cs="宋体"/>
          <w:bCs/>
          <w:color w:val="auto"/>
          <w:sz w:val="24"/>
          <w:szCs w:val="24"/>
          <w:highlight w:val="none"/>
          <w:lang w:val="en-US" w:eastAsia="zh-CN"/>
        </w:rPr>
        <w:t>164.50</w:t>
      </w:r>
      <w:r>
        <w:rPr>
          <w:rFonts w:hint="eastAsia" w:ascii="宋体" w:hAnsi="宋体" w:eastAsia="宋体" w:cs="宋体"/>
          <w:bCs/>
          <w:color w:val="auto"/>
          <w:sz w:val="24"/>
          <w:szCs w:val="24"/>
          <w:highlight w:val="none"/>
          <w:lang w:eastAsia="zh-CN"/>
        </w:rPr>
        <w:t>万元）</w:t>
      </w:r>
    </w:p>
    <w:p w14:paraId="1183783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最高限价（如有）：</w:t>
      </w:r>
      <w:r>
        <w:rPr>
          <w:rFonts w:hint="eastAsia" w:ascii="宋体" w:hAnsi="宋体" w:eastAsia="宋体" w:cs="宋体"/>
          <w:bCs/>
          <w:color w:val="auto"/>
          <w:sz w:val="24"/>
          <w:szCs w:val="24"/>
          <w:highlight w:val="none"/>
          <w:lang w:eastAsia="zh-CN"/>
        </w:rPr>
        <w:t>采购包1：</w:t>
      </w:r>
      <w:r>
        <w:rPr>
          <w:rFonts w:hint="eastAsia" w:ascii="宋体" w:hAnsi="宋体" w:cs="宋体"/>
          <w:bCs/>
          <w:color w:val="auto"/>
          <w:sz w:val="24"/>
          <w:szCs w:val="24"/>
          <w:highlight w:val="none"/>
          <w:lang w:val="en-US" w:eastAsia="zh-CN"/>
        </w:rPr>
        <w:t>164.50</w:t>
      </w:r>
      <w:r>
        <w:rPr>
          <w:rFonts w:hint="eastAsia" w:ascii="宋体" w:hAnsi="宋体" w:eastAsia="宋体" w:cs="宋体"/>
          <w:bCs/>
          <w:color w:val="auto"/>
          <w:sz w:val="24"/>
          <w:szCs w:val="24"/>
          <w:highlight w:val="none"/>
          <w:lang w:eastAsia="zh-CN"/>
        </w:rPr>
        <w:t>万元,采购包2：</w:t>
      </w:r>
      <w:r>
        <w:rPr>
          <w:rFonts w:hint="eastAsia" w:ascii="宋体" w:hAnsi="宋体" w:cs="宋体"/>
          <w:bCs/>
          <w:color w:val="auto"/>
          <w:sz w:val="24"/>
          <w:szCs w:val="24"/>
          <w:highlight w:val="none"/>
          <w:lang w:val="en-US" w:eastAsia="zh-CN"/>
        </w:rPr>
        <w:t>164.50</w:t>
      </w:r>
      <w:r>
        <w:rPr>
          <w:rFonts w:hint="eastAsia" w:ascii="宋体" w:hAnsi="宋体" w:eastAsia="宋体" w:cs="宋体"/>
          <w:bCs/>
          <w:color w:val="auto"/>
          <w:sz w:val="24"/>
          <w:szCs w:val="24"/>
          <w:highlight w:val="none"/>
          <w:lang w:eastAsia="zh-CN"/>
        </w:rPr>
        <w:t>万元（超过最高限价报价，投标无效）。</w:t>
      </w:r>
    </w:p>
    <w:p w14:paraId="38E19817">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采购需求：</w:t>
      </w:r>
      <w:r>
        <w:rPr>
          <w:rFonts w:hint="eastAsia" w:ascii="宋体" w:hAnsi="宋体" w:eastAsia="宋体" w:cs="宋体"/>
          <w:bCs/>
          <w:color w:val="auto"/>
          <w:sz w:val="24"/>
          <w:szCs w:val="24"/>
          <w:highlight w:val="none"/>
        </w:rPr>
        <w:t>为进一步提升污泥处置抗风险能力，确保工业废水处理厂污泥处置工作合规有序、稳定运行，现需确定两家污泥处置服务单位，为浦口经济开发区工业废水处理厂提供污泥处置服务</w:t>
      </w:r>
      <w:r>
        <w:rPr>
          <w:rFonts w:hint="eastAsia" w:ascii="宋体" w:hAnsi="宋体" w:eastAsia="宋体" w:cs="宋体"/>
          <w:bCs/>
          <w:color w:val="auto"/>
          <w:sz w:val="24"/>
          <w:szCs w:val="24"/>
          <w:highlight w:val="none"/>
          <w:lang w:val="zh-CN" w:eastAsia="zh-CN"/>
        </w:rPr>
        <w:t>，具体详见采购文件第四章采购</w:t>
      </w:r>
      <w:r>
        <w:rPr>
          <w:rFonts w:hint="eastAsia" w:ascii="宋体" w:hAnsi="宋体" w:eastAsia="宋体" w:cs="宋体"/>
          <w:bCs/>
          <w:color w:val="auto"/>
          <w:sz w:val="24"/>
          <w:szCs w:val="24"/>
          <w:highlight w:val="none"/>
          <w:lang w:val="en-US" w:eastAsia="zh-CN"/>
        </w:rPr>
        <w:t>项目</w:t>
      </w:r>
      <w:r>
        <w:rPr>
          <w:rFonts w:hint="eastAsia" w:ascii="宋体" w:hAnsi="宋体" w:eastAsia="宋体" w:cs="宋体"/>
          <w:bCs/>
          <w:color w:val="auto"/>
          <w:sz w:val="24"/>
          <w:szCs w:val="24"/>
          <w:highlight w:val="none"/>
          <w:lang w:val="zh-CN" w:eastAsia="zh-CN"/>
        </w:rPr>
        <w:t>需求。</w:t>
      </w:r>
    </w:p>
    <w:p w14:paraId="5F47F968">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合同履行期限：</w:t>
      </w:r>
      <w:r>
        <w:rPr>
          <w:rFonts w:hint="eastAsia" w:ascii="宋体" w:hAnsi="宋体" w:eastAsia="宋体" w:cs="宋体"/>
          <w:bCs/>
          <w:color w:val="auto"/>
          <w:sz w:val="24"/>
          <w:szCs w:val="24"/>
          <w:highlight w:val="none"/>
          <w:lang w:eastAsia="zh-CN"/>
        </w:rPr>
        <w:t>合同有效期为一年，期满后根据招标人考核意见可续签合同，续签合同单价沿用中标单价，总合同期限不超过三年</w:t>
      </w:r>
      <w:r>
        <w:rPr>
          <w:rFonts w:hint="eastAsia" w:ascii="宋体" w:hAnsi="宋体" w:eastAsia="宋体" w:cs="宋体"/>
          <w:bCs/>
          <w:color w:val="auto"/>
          <w:sz w:val="24"/>
          <w:szCs w:val="24"/>
          <w:highlight w:val="none"/>
        </w:rPr>
        <w:t>。</w:t>
      </w:r>
    </w:p>
    <w:p w14:paraId="0688676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rPr>
      </w:pPr>
      <w:bookmarkStart w:id="4" w:name="_Hlk128055931"/>
      <w:bookmarkStart w:id="5" w:name="_Hlk77845455"/>
      <w:r>
        <w:rPr>
          <w:rFonts w:hint="eastAsia" w:ascii="宋体" w:hAnsi="宋体" w:eastAsia="宋体" w:cs="宋体"/>
          <w:bCs/>
          <w:color w:val="auto"/>
          <w:sz w:val="24"/>
          <w:szCs w:val="24"/>
          <w:highlight w:val="none"/>
        </w:rPr>
        <w:t>本项目</w:t>
      </w:r>
      <w:bookmarkStart w:id="6" w:name="_Hlk84582886"/>
      <w:r>
        <w:rPr>
          <w:rFonts w:hint="eastAsia" w:ascii="宋体" w:hAnsi="宋体" w:eastAsia="宋体" w:cs="宋体"/>
          <w:bCs/>
          <w:color w:val="auto"/>
          <w:sz w:val="24"/>
          <w:szCs w:val="24"/>
          <w:highlight w:val="none"/>
        </w:rPr>
        <w:t>（是/否）接受</w:t>
      </w:r>
      <w:bookmarkEnd w:id="6"/>
      <w:r>
        <w:rPr>
          <w:rFonts w:hint="eastAsia" w:ascii="宋体" w:hAnsi="宋体" w:eastAsia="宋体" w:cs="宋体"/>
          <w:bCs/>
          <w:color w:val="auto"/>
          <w:sz w:val="24"/>
          <w:szCs w:val="24"/>
          <w:highlight w:val="none"/>
        </w:rPr>
        <w:t>联合体投标：否</w:t>
      </w:r>
      <w:bookmarkEnd w:id="4"/>
      <w:bookmarkEnd w:id="5"/>
    </w:p>
    <w:p w14:paraId="4EC4B3A8">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二、申请人的资格要求</w:t>
      </w:r>
    </w:p>
    <w:p w14:paraId="01D8B5AB">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（一）满足《中华人民共和国政府采购法》第二十二条规定：</w:t>
      </w:r>
    </w:p>
    <w:p w14:paraId="03D12839">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1.具有独立承担民事责任的能力（提供法人或其他组织的营业执照等证明文件，自然人的身份证明）；</w:t>
      </w:r>
    </w:p>
    <w:p w14:paraId="454199E3">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2.具有良好的商业信誉和健全的财务会计制度（提供参加本次政府采购活动前的会计报表或审计报告，或银行出具的投标截止时间前六个月内银行出具的资信证明）；</w:t>
      </w:r>
    </w:p>
    <w:p w14:paraId="77A86627">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3.具有履行合同所必需的设备和专业技术能力（根据项目需求提供履行合同所必需的设备和专业技术能力的声明</w:t>
      </w:r>
      <w:bookmarkStart w:id="7" w:name="_Hlk128041996"/>
      <w:r>
        <w:rPr>
          <w:rFonts w:hint="eastAsia" w:ascii="宋体" w:hAnsi="宋体" w:eastAsia="宋体" w:cs="宋体"/>
          <w:bCs/>
          <w:color w:val="auto"/>
          <w:sz w:val="24"/>
          <w:szCs w:val="24"/>
          <w:highlight w:val="none"/>
        </w:rPr>
        <w:t>或证明材料</w:t>
      </w:r>
      <w:bookmarkEnd w:id="7"/>
      <w:r>
        <w:rPr>
          <w:rFonts w:hint="eastAsia" w:ascii="宋体" w:hAnsi="宋体" w:eastAsia="宋体" w:cs="宋体"/>
          <w:bCs/>
          <w:color w:val="auto"/>
          <w:sz w:val="24"/>
          <w:szCs w:val="24"/>
          <w:highlight w:val="none"/>
        </w:rPr>
        <w:t>）；</w:t>
      </w:r>
    </w:p>
    <w:p w14:paraId="731E3CE3">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bookmarkStart w:id="8" w:name="_Hlk169006514"/>
      <w:r>
        <w:rPr>
          <w:rFonts w:hint="eastAsia" w:ascii="宋体" w:hAnsi="宋体" w:eastAsia="宋体" w:cs="宋体"/>
          <w:bCs/>
          <w:color w:val="auto"/>
          <w:sz w:val="24"/>
          <w:szCs w:val="24"/>
          <w:highlight w:val="none"/>
        </w:rPr>
        <w:t>具有依法缴纳税收和社会保障资金的良好记录</w:t>
      </w:r>
      <w:bookmarkStart w:id="9" w:name="_Hlk168994408"/>
      <w:r>
        <w:rPr>
          <w:rFonts w:hint="eastAsia" w:ascii="宋体" w:hAnsi="宋体" w:eastAsia="宋体" w:cs="宋体"/>
          <w:bCs/>
          <w:color w:val="auto"/>
          <w:sz w:val="24"/>
          <w:szCs w:val="24"/>
          <w:highlight w:val="none"/>
        </w:rPr>
        <w:t>（提供参加本次政府采购活动前一年内至少一个月缴纳社会保险的凭据及缴纳税收凭据）</w:t>
      </w:r>
      <w:bookmarkEnd w:id="9"/>
      <w:r>
        <w:rPr>
          <w:rFonts w:hint="eastAsia" w:ascii="宋体" w:hAnsi="宋体" w:eastAsia="宋体" w:cs="宋体"/>
          <w:bCs/>
          <w:color w:val="auto"/>
          <w:sz w:val="24"/>
          <w:szCs w:val="24"/>
          <w:highlight w:val="none"/>
        </w:rPr>
        <w:t>；</w:t>
      </w:r>
      <w:bookmarkEnd w:id="8"/>
    </w:p>
    <w:p w14:paraId="0131A404">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5.参加政府采购活动前三年内，在经营活动中没有重大违法记录（提供承诺书）；</w:t>
      </w:r>
    </w:p>
    <w:p w14:paraId="24436B2B">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6.法律、行政法规规定的其他条件：无。</w:t>
      </w:r>
    </w:p>
    <w:p w14:paraId="693D5BFF">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（二）落实政府采购政策需满足的资格要求：</w:t>
      </w:r>
      <w:bookmarkStart w:id="10" w:name="_Hlk128042064"/>
      <w:r>
        <w:rPr>
          <w:rFonts w:hint="eastAsia" w:ascii="宋体" w:hAnsi="宋体" w:eastAsia="宋体" w:cs="宋体"/>
          <w:bCs/>
          <w:color w:val="auto"/>
          <w:sz w:val="24"/>
          <w:szCs w:val="24"/>
          <w:highlight w:val="none"/>
        </w:rPr>
        <w:t>本项目为非专门面向中小企业（或监狱企</w:t>
      </w:r>
      <w:r>
        <w:rPr>
          <w:rFonts w:hint="eastAsia" w:ascii="宋体" w:hAnsi="宋体" w:eastAsia="宋体" w:cs="宋体"/>
          <w:bCs/>
          <w:color w:val="auto"/>
          <w:sz w:val="24"/>
          <w:szCs w:val="24"/>
          <w:highlight w:val="none"/>
        </w:rPr>
        <w:t>业或残疾人福利性单位）采购。</w:t>
      </w:r>
      <w:bookmarkEnd w:id="10"/>
    </w:p>
    <w:p w14:paraId="7B0C5E58">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sz w:val="24"/>
          <w:szCs w:val="24"/>
          <w:highlight w:val="none"/>
        </w:rPr>
      </w:pPr>
      <w:bookmarkStart w:id="11" w:name="_Hlk67996638"/>
      <w:bookmarkStart w:id="12" w:name="_Hlk67648547"/>
      <w:r>
        <w:rPr>
          <w:rFonts w:hint="eastAsia" w:ascii="宋体" w:hAnsi="宋体" w:eastAsia="宋体" w:cs="宋体"/>
          <w:bCs/>
          <w:color w:val="auto"/>
          <w:sz w:val="24"/>
          <w:szCs w:val="24"/>
          <w:highlight w:val="none"/>
        </w:rPr>
        <w:t>（三）本项目特定资格要求</w:t>
      </w:r>
      <w:bookmarkEnd w:id="11"/>
      <w:r>
        <w:rPr>
          <w:rFonts w:hint="eastAsia" w:ascii="宋体" w:hAnsi="宋体" w:eastAsia="宋体" w:cs="宋体"/>
          <w:bCs/>
          <w:color w:val="auto"/>
          <w:sz w:val="24"/>
          <w:szCs w:val="24"/>
          <w:highlight w:val="none"/>
        </w:rPr>
        <w:t>：</w:t>
      </w:r>
      <w:bookmarkEnd w:id="12"/>
    </w:p>
    <w:p w14:paraId="53B09371">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1.投标供应商须取得一般工业固体废物利用项目环评报告，环评批复。（提供证明材料扫描件上传系统）</w:t>
      </w:r>
    </w:p>
    <w:p w14:paraId="0C942A9A">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2.投标供应商在固体废物管理信息系统</w:t>
      </w:r>
      <w:r>
        <w:rPr>
          <w:rFonts w:hint="eastAsia" w:ascii="宋体" w:hAnsi="宋体" w:cs="宋体"/>
          <w:b w:val="0"/>
          <w:bCs/>
          <w:color w:val="auto"/>
          <w:sz w:val="24"/>
          <w:szCs w:val="24"/>
          <w:highlight w:val="none"/>
          <w:lang w:val="en-US" w:eastAsia="zh-CN"/>
        </w:rPr>
        <w:t>中</w:t>
      </w:r>
      <w:r>
        <w:rPr>
          <w:rFonts w:hint="eastAsia" w:ascii="宋体" w:hAnsi="宋体" w:eastAsia="宋体" w:cs="宋体"/>
          <w:b w:val="0"/>
          <w:bCs/>
          <w:color w:val="auto"/>
          <w:sz w:val="24"/>
          <w:szCs w:val="24"/>
          <w:highlight w:val="none"/>
          <w:lang w:val="en-US" w:eastAsia="zh-CN"/>
        </w:rPr>
        <w:t>，固废类别包括污泥（SW07），固废代码包括900-099-S07</w:t>
      </w:r>
      <w:r>
        <w:rPr>
          <w:rFonts w:hint="eastAsia" w:ascii="宋体" w:hAnsi="宋体" w:cs="宋体"/>
          <w:b w:val="0"/>
          <w:bCs/>
          <w:color w:val="auto"/>
          <w:sz w:val="24"/>
          <w:szCs w:val="24"/>
          <w:highlight w:val="none"/>
          <w:lang w:val="en-US" w:eastAsia="zh-CN"/>
        </w:rPr>
        <w:t>-03</w:t>
      </w:r>
      <w:r>
        <w:rPr>
          <w:rFonts w:hint="eastAsia" w:ascii="宋体" w:hAnsi="宋体" w:eastAsia="宋体" w:cs="宋体"/>
          <w:b w:val="0"/>
          <w:bCs/>
          <w:color w:val="auto"/>
          <w:sz w:val="24"/>
          <w:szCs w:val="24"/>
          <w:highlight w:val="none"/>
          <w:lang w:val="en-US" w:eastAsia="zh-CN"/>
        </w:rPr>
        <w:t>。（提供系统信息截图</w:t>
      </w:r>
      <w:r>
        <w:rPr>
          <w:rFonts w:hint="eastAsia" w:ascii="宋体" w:hAnsi="宋体" w:cs="宋体"/>
          <w:b w:val="0"/>
          <w:bCs/>
          <w:color w:val="auto"/>
          <w:sz w:val="24"/>
          <w:szCs w:val="24"/>
          <w:highlight w:val="none"/>
          <w:lang w:val="en-US" w:eastAsia="zh-CN"/>
        </w:rPr>
        <w:t>上传系统</w:t>
      </w:r>
      <w:r>
        <w:rPr>
          <w:rFonts w:hint="eastAsia" w:ascii="宋体" w:hAnsi="宋体" w:eastAsia="宋体" w:cs="宋体"/>
          <w:b w:val="0"/>
          <w:bCs/>
          <w:color w:val="auto"/>
          <w:sz w:val="24"/>
          <w:szCs w:val="24"/>
          <w:highlight w:val="none"/>
          <w:lang w:val="en-US" w:eastAsia="zh-CN"/>
        </w:rPr>
        <w:t>）</w:t>
      </w:r>
    </w:p>
    <w:p w14:paraId="2F78C23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b/>
          <w:color w:val="auto"/>
          <w:sz w:val="24"/>
          <w:szCs w:val="24"/>
          <w:highlight w:val="none"/>
        </w:rPr>
      </w:pPr>
      <w:bookmarkStart w:id="13" w:name="_Hlk77845490"/>
      <w:bookmarkStart w:id="14" w:name="_Hlk77846375"/>
      <w:r>
        <w:rPr>
          <w:rFonts w:hint="eastAsia" w:ascii="宋体" w:hAnsi="宋体" w:eastAsia="宋体" w:cs="宋体"/>
          <w:b/>
          <w:color w:val="auto"/>
          <w:sz w:val="24"/>
          <w:szCs w:val="24"/>
          <w:highlight w:val="none"/>
        </w:rPr>
        <w:t>三、获取采购文件</w:t>
      </w:r>
    </w:p>
    <w:p w14:paraId="6C25EBD1">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52"/>
        <w:jc w:val="left"/>
        <w:textAlignment w:val="auto"/>
        <w:rPr>
          <w:rFonts w:hint="eastAsia" w:ascii="宋体" w:hAnsi="宋体" w:eastAsia="宋体" w:cs="宋体"/>
          <w:color w:val="auto"/>
          <w:spacing w:val="8"/>
          <w:sz w:val="24"/>
          <w:szCs w:val="24"/>
          <w:highlight w:val="none"/>
        </w:rPr>
      </w:pPr>
      <w:bookmarkStart w:id="15" w:name="_Hlk165968429"/>
      <w:r>
        <w:rPr>
          <w:rFonts w:hint="eastAsia" w:ascii="宋体" w:hAnsi="宋体" w:eastAsia="宋体" w:cs="宋体"/>
          <w:color w:val="auto"/>
          <w:spacing w:val="8"/>
          <w:sz w:val="24"/>
          <w:szCs w:val="24"/>
          <w:highlight w:val="none"/>
        </w:rPr>
        <w:t>时间：</w:t>
      </w:r>
      <w:bookmarkEnd w:id="13"/>
      <w:r>
        <w:rPr>
          <w:rFonts w:hint="eastAsia" w:ascii="宋体" w:hAnsi="宋体" w:eastAsia="宋体" w:cs="宋体"/>
          <w:color w:val="auto"/>
          <w:sz w:val="24"/>
          <w:szCs w:val="24"/>
          <w:highlight w:val="none"/>
        </w:rPr>
        <w:t>自采购文件公告发布之日起5个工作日</w:t>
      </w:r>
    </w:p>
    <w:p w14:paraId="674EAA71">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sz w:val="24"/>
          <w:szCs w:val="24"/>
          <w:highlight w:val="none"/>
        </w:rPr>
      </w:pPr>
      <w:bookmarkStart w:id="16" w:name="_Hlk77845475"/>
      <w:r>
        <w:rPr>
          <w:rFonts w:hint="eastAsia" w:ascii="宋体" w:hAnsi="宋体" w:eastAsia="宋体" w:cs="宋体"/>
          <w:color w:val="auto"/>
          <w:sz w:val="24"/>
          <w:szCs w:val="24"/>
          <w:highlight w:val="none"/>
        </w:rPr>
        <w:t>地点：</w:t>
      </w:r>
      <w:bookmarkStart w:id="17" w:name="OLE_LINK20"/>
      <w:r>
        <w:rPr>
          <w:rFonts w:hint="eastAsia" w:ascii="宋体" w:hAnsi="宋体" w:eastAsia="宋体" w:cs="宋体"/>
          <w:color w:val="auto"/>
          <w:sz w:val="24"/>
          <w:szCs w:val="24"/>
          <w:highlight w:val="none"/>
        </w:rPr>
        <w:t>江苏政府采购网</w:t>
      </w:r>
      <w:bookmarkStart w:id="18" w:name="OLE_LINK21"/>
      <w:r>
        <w:rPr>
          <w:rFonts w:hint="eastAsia" w:ascii="宋体" w:hAnsi="宋体" w:eastAsia="宋体" w:cs="宋体"/>
          <w:color w:val="auto"/>
          <w:sz w:val="24"/>
          <w:szCs w:val="24"/>
          <w:highlight w:val="none"/>
        </w:rPr>
        <w:t>“苏采云”系统</w:t>
      </w:r>
      <w:bookmarkEnd w:id="17"/>
      <w:bookmarkEnd w:id="18"/>
    </w:p>
    <w:p w14:paraId="41D819BF">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sz w:val="24"/>
          <w:szCs w:val="24"/>
          <w:highlight w:val="none"/>
        </w:rPr>
      </w:pPr>
      <w:bookmarkStart w:id="19" w:name="_Hlk75168366"/>
      <w:bookmarkStart w:id="20" w:name="_Hlk168491228"/>
      <w:bookmarkStart w:id="21" w:name="_Hlk164960028"/>
      <w:bookmarkStart w:id="22" w:name="_Hlk168491149"/>
      <w:r>
        <w:rPr>
          <w:rFonts w:hint="eastAsia" w:ascii="宋体" w:hAnsi="宋体" w:eastAsia="宋体" w:cs="宋体"/>
          <w:color w:val="auto"/>
          <w:sz w:val="24"/>
          <w:szCs w:val="24"/>
          <w:highlight w:val="none"/>
        </w:rPr>
        <w:t>方式：</w:t>
      </w:r>
      <w:bookmarkEnd w:id="19"/>
      <w:bookmarkStart w:id="23" w:name="_Hlk163662034"/>
      <w:bookmarkStart w:id="24" w:name="_Hlk168492824"/>
      <w:bookmarkStart w:id="25" w:name="_Hlk95487722"/>
      <w:r>
        <w:rPr>
          <w:rFonts w:hint="eastAsia" w:ascii="宋体" w:hAnsi="宋体" w:eastAsia="宋体" w:cs="宋体"/>
          <w:color w:val="auto"/>
          <w:sz w:val="24"/>
          <w:szCs w:val="24"/>
          <w:highlight w:val="none"/>
        </w:rPr>
        <w:t>投标人登陆江苏政府采购网，在网站首页点击“苏采云”系统自行免费下载</w:t>
      </w:r>
      <w:bookmarkEnd w:id="15"/>
      <w:bookmarkEnd w:id="20"/>
      <w:bookmarkEnd w:id="21"/>
      <w:bookmarkEnd w:id="22"/>
      <w:bookmarkEnd w:id="23"/>
      <w:bookmarkEnd w:id="24"/>
    </w:p>
    <w:p w14:paraId="5C0E9DE6">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sz w:val="24"/>
          <w:szCs w:val="24"/>
          <w:highlight w:val="none"/>
        </w:rPr>
      </w:pPr>
      <w:bookmarkStart w:id="26" w:name="_Hlk128043211"/>
      <w:r>
        <w:rPr>
          <w:rFonts w:hint="eastAsia" w:ascii="宋体" w:hAnsi="宋体" w:eastAsia="宋体" w:cs="宋体"/>
          <w:color w:val="auto"/>
          <w:sz w:val="24"/>
          <w:szCs w:val="24"/>
          <w:highlight w:val="none"/>
        </w:rPr>
        <w:t>售价：0</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元</w:t>
      </w:r>
      <w:bookmarkEnd w:id="14"/>
      <w:bookmarkEnd w:id="16"/>
      <w:bookmarkEnd w:id="25"/>
      <w:bookmarkEnd w:id="26"/>
    </w:p>
    <w:p w14:paraId="51CD42D8">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w:t>
      </w:r>
      <w:bookmarkStart w:id="27" w:name="_Hlk44579106"/>
      <w:r>
        <w:rPr>
          <w:rFonts w:hint="eastAsia" w:ascii="宋体" w:hAnsi="宋体" w:eastAsia="宋体" w:cs="宋体"/>
          <w:b/>
          <w:color w:val="auto"/>
          <w:sz w:val="24"/>
          <w:szCs w:val="24"/>
          <w:highlight w:val="none"/>
        </w:rPr>
        <w:t>提交投标文件截止时间、开标时间和地点</w:t>
      </w:r>
      <w:bookmarkEnd w:id="27"/>
    </w:p>
    <w:p w14:paraId="7F1DF77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52"/>
        <w:jc w:val="left"/>
        <w:textAlignment w:val="auto"/>
        <w:rPr>
          <w:rFonts w:hint="eastAsia" w:ascii="宋体" w:hAnsi="宋体" w:eastAsia="宋体" w:cs="宋体"/>
          <w:color w:val="auto"/>
          <w:sz w:val="24"/>
          <w:szCs w:val="24"/>
          <w:highlight w:val="none"/>
        </w:rPr>
      </w:pPr>
      <w:bookmarkStart w:id="28" w:name="_Hlk44575721"/>
      <w:r>
        <w:rPr>
          <w:rFonts w:hint="eastAsia" w:ascii="宋体" w:hAnsi="宋体" w:eastAsia="宋体" w:cs="宋体"/>
          <w:color w:val="auto"/>
          <w:spacing w:val="8"/>
          <w:sz w:val="24"/>
          <w:szCs w:val="24"/>
          <w:highlight w:val="none"/>
        </w:rPr>
        <w:t>202</w:t>
      </w:r>
      <w:r>
        <w:rPr>
          <w:rFonts w:hint="eastAsia" w:ascii="宋体" w:hAnsi="宋体" w:eastAsia="宋体" w:cs="宋体"/>
          <w:color w:val="auto"/>
          <w:spacing w:val="8"/>
          <w:sz w:val="24"/>
          <w:szCs w:val="24"/>
          <w:highlight w:val="none"/>
          <w:lang w:val="en-US" w:eastAsia="zh-CN"/>
        </w:rPr>
        <w:t>6</w:t>
      </w:r>
      <w:r>
        <w:rPr>
          <w:rFonts w:hint="eastAsia" w:ascii="宋体" w:hAnsi="宋体" w:eastAsia="宋体" w:cs="宋体"/>
          <w:color w:val="auto"/>
          <w:spacing w:val="8"/>
          <w:sz w:val="24"/>
          <w:szCs w:val="24"/>
          <w:highlight w:val="none"/>
        </w:rPr>
        <w:t>年</w:t>
      </w:r>
      <w:r>
        <w:rPr>
          <w:rFonts w:hint="eastAsia" w:ascii="宋体" w:hAnsi="宋体" w:cs="宋体"/>
          <w:color w:val="auto"/>
          <w:spacing w:val="8"/>
          <w:sz w:val="24"/>
          <w:szCs w:val="24"/>
          <w:highlight w:val="none"/>
          <w:lang w:val="en-US" w:eastAsia="zh-CN"/>
        </w:rPr>
        <w:t>03</w:t>
      </w:r>
      <w:r>
        <w:rPr>
          <w:rFonts w:hint="eastAsia" w:ascii="宋体" w:hAnsi="宋体" w:eastAsia="宋体" w:cs="宋体"/>
          <w:color w:val="auto"/>
          <w:spacing w:val="8"/>
          <w:sz w:val="24"/>
          <w:szCs w:val="24"/>
          <w:highlight w:val="none"/>
        </w:rPr>
        <w:t>月</w:t>
      </w:r>
      <w:r>
        <w:rPr>
          <w:rFonts w:hint="eastAsia" w:ascii="宋体" w:hAnsi="宋体" w:cs="宋体"/>
          <w:color w:val="auto"/>
          <w:spacing w:val="8"/>
          <w:sz w:val="24"/>
          <w:szCs w:val="24"/>
          <w:highlight w:val="none"/>
          <w:lang w:val="en-US" w:eastAsia="zh-CN"/>
        </w:rPr>
        <w:t>26</w:t>
      </w:r>
      <w:r>
        <w:rPr>
          <w:rFonts w:hint="eastAsia" w:ascii="宋体" w:hAnsi="宋体" w:eastAsia="宋体" w:cs="宋体"/>
          <w:color w:val="auto"/>
          <w:spacing w:val="8"/>
          <w:sz w:val="24"/>
          <w:szCs w:val="24"/>
          <w:highlight w:val="none"/>
        </w:rPr>
        <w:t>日</w:t>
      </w:r>
      <w:r>
        <w:rPr>
          <w:rFonts w:hint="eastAsia" w:ascii="宋体" w:hAnsi="宋体" w:eastAsia="宋体" w:cs="宋体"/>
          <w:color w:val="auto"/>
          <w:spacing w:val="8"/>
          <w:sz w:val="24"/>
          <w:szCs w:val="24"/>
          <w:highlight w:val="none"/>
          <w:lang w:val="en-US" w:eastAsia="zh-CN"/>
        </w:rPr>
        <w:t>14</w:t>
      </w:r>
      <w:r>
        <w:rPr>
          <w:rFonts w:hint="eastAsia" w:ascii="宋体" w:hAnsi="宋体" w:eastAsia="宋体" w:cs="宋体"/>
          <w:color w:val="auto"/>
          <w:spacing w:val="8"/>
          <w:sz w:val="24"/>
          <w:szCs w:val="24"/>
          <w:highlight w:val="none"/>
          <w:lang w:eastAsia="zh-CN"/>
        </w:rPr>
        <w:t>：</w:t>
      </w:r>
      <w:r>
        <w:rPr>
          <w:rFonts w:hint="eastAsia" w:ascii="宋体" w:hAnsi="宋体" w:eastAsia="宋体" w:cs="宋体"/>
          <w:color w:val="auto"/>
          <w:spacing w:val="8"/>
          <w:sz w:val="24"/>
          <w:szCs w:val="24"/>
          <w:highlight w:val="none"/>
        </w:rPr>
        <w:t>30</w:t>
      </w:r>
      <w:bookmarkEnd w:id="28"/>
      <w:r>
        <w:rPr>
          <w:rFonts w:hint="eastAsia" w:ascii="宋体" w:hAnsi="宋体" w:eastAsia="宋体" w:cs="宋体"/>
          <w:color w:val="auto"/>
          <w:spacing w:val="8"/>
          <w:sz w:val="24"/>
          <w:szCs w:val="24"/>
          <w:highlight w:val="none"/>
        </w:rPr>
        <w:t>（北</w:t>
      </w:r>
      <w:r>
        <w:rPr>
          <w:rFonts w:hint="eastAsia" w:ascii="宋体" w:hAnsi="宋体" w:eastAsia="宋体" w:cs="宋体"/>
          <w:color w:val="auto"/>
          <w:sz w:val="24"/>
          <w:szCs w:val="24"/>
          <w:highlight w:val="none"/>
        </w:rPr>
        <w:t>京时间）</w:t>
      </w:r>
    </w:p>
    <w:p w14:paraId="6BC5B16D">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bookmarkStart w:id="29" w:name="_Hlk176530129"/>
      <w:r>
        <w:rPr>
          <w:rFonts w:hint="eastAsia" w:ascii="宋体" w:hAnsi="宋体" w:eastAsia="宋体" w:cs="宋体"/>
          <w:color w:val="auto"/>
          <w:sz w:val="24"/>
          <w:szCs w:val="24"/>
          <w:highlight w:val="none"/>
        </w:rPr>
        <w:t>“苏采云”系统开标大厅</w:t>
      </w:r>
      <w:bookmarkEnd w:id="29"/>
    </w:p>
    <w:p w14:paraId="2BB84464">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五、公告期限</w:t>
      </w:r>
    </w:p>
    <w:p w14:paraId="0E7EE08F">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3CC5ABC4">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六</w:t>
      </w:r>
      <w:r>
        <w:rPr>
          <w:rFonts w:hint="eastAsia" w:ascii="宋体" w:hAnsi="宋体" w:eastAsia="宋体" w:cs="宋体"/>
          <w:b/>
          <w:bCs/>
          <w:color w:val="auto"/>
          <w:sz w:val="24"/>
          <w:szCs w:val="24"/>
          <w:highlight w:val="none"/>
        </w:rPr>
        <w:t>、其他补充事宜</w:t>
      </w:r>
    </w:p>
    <w:p w14:paraId="7DCB9411">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shd w:val="clear" w:color="auto" w:fill="FFFFFF"/>
        </w:rPr>
        <w:t>本项目根据中小企业划型标准属于：</w:t>
      </w:r>
      <w:r>
        <w:rPr>
          <w:rFonts w:hint="eastAsia" w:ascii="宋体" w:hAnsi="宋体" w:eastAsia="宋体" w:cs="宋体"/>
          <w:b w:val="0"/>
          <w:bCs/>
          <w:color w:val="auto"/>
          <w:sz w:val="24"/>
          <w:szCs w:val="24"/>
          <w:highlight w:val="none"/>
          <w:shd w:val="clear" w:color="auto" w:fill="FFFFFF"/>
          <w:lang w:eastAsia="zh-CN"/>
        </w:rPr>
        <w:t>环境治理业</w:t>
      </w:r>
      <w:r>
        <w:rPr>
          <w:rFonts w:hint="eastAsia" w:ascii="宋体" w:hAnsi="宋体" w:eastAsia="宋体" w:cs="宋体"/>
          <w:b w:val="0"/>
          <w:bCs/>
          <w:color w:val="auto"/>
          <w:sz w:val="24"/>
          <w:szCs w:val="24"/>
          <w:highlight w:val="none"/>
          <w:shd w:val="clear" w:color="auto" w:fill="FFFFFF"/>
        </w:rPr>
        <w:t>。</w:t>
      </w:r>
    </w:p>
    <w:p w14:paraId="21E5DF41">
      <w:pPr>
        <w:keepNext w:val="0"/>
        <w:keepLines w:val="0"/>
        <w:pageBreakBefore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2.本项目在南京公共采购信息网、江苏政府采购网、中国政府采购网发布公告（其他媒体转载无效）。</w:t>
      </w:r>
    </w:p>
    <w:p w14:paraId="5FE50832">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3.本项目不专门面向中小微企业采购，执行价格扣除优惠政策，具体内容详见采购文件第二章政策功能。</w:t>
      </w:r>
    </w:p>
    <w:p w14:paraId="7F8CB71B">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4.勘察现场或答疑：采购人不统一组织，有需要的投标人可自行勘察。</w:t>
      </w:r>
    </w:p>
    <w:p w14:paraId="6684EDB7">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rPr>
        <w:t>5</w:t>
      </w:r>
      <w:r>
        <w:rPr>
          <w:rFonts w:hint="eastAsia" w:ascii="宋体" w:hAnsi="宋体" w:eastAsia="宋体" w:cs="宋体"/>
          <w:b w:val="0"/>
          <w:bCs/>
          <w:color w:val="auto"/>
          <w:sz w:val="24"/>
          <w:szCs w:val="24"/>
          <w:highlight w:val="none"/>
          <w:lang w:val="zh-CN"/>
        </w:rPr>
        <w:t>.拒绝下述投标人参加本次采购活动</w:t>
      </w:r>
    </w:p>
    <w:p w14:paraId="1872FB73">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（1）投标人单位负责人为同一人或者存在直接控股、管理关系的不同投标人，不得参加同一合同项下的政府采购活动。</w:t>
      </w:r>
    </w:p>
    <w:p w14:paraId="59C06CEB">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（2）为采购项目提供整体设计、规范编制或者项目管理、监理、检测等服务的投标人，不得参加本项目的采购活动。</w:t>
      </w:r>
    </w:p>
    <w:p w14:paraId="3C1624ED">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（3）投标人被“信用中国”网站（www.creditchina.gov.cn）、“中国政府采购网”</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www.ccgp.gov.cn</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列入失信被执行人、重大税收违法案件当事人名单、政府采购严重违法失信行为记录名单。</w:t>
      </w:r>
    </w:p>
    <w:p w14:paraId="26694FB0">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（4）投标人未提供《南京市政府采购供应商信用记录表暨信用承诺书》。</w:t>
      </w:r>
    </w:p>
    <w:p w14:paraId="03F54745">
      <w:pPr>
        <w:keepNext w:val="0"/>
        <w:keepLines w:val="0"/>
        <w:pageBreakBefore w:val="0"/>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bookmarkStart w:id="30" w:name="OLE_LINK17"/>
      <w:r>
        <w:rPr>
          <w:rFonts w:hint="eastAsia" w:ascii="宋体" w:hAnsi="宋体" w:eastAsia="宋体" w:cs="宋体"/>
          <w:b w:val="0"/>
          <w:bCs/>
          <w:color w:val="auto"/>
          <w:sz w:val="24"/>
          <w:szCs w:val="24"/>
          <w:highlight w:val="none"/>
        </w:rPr>
        <w:t>投标人</w:t>
      </w:r>
      <w:bookmarkEnd w:id="30"/>
      <w:r>
        <w:rPr>
          <w:rFonts w:hint="eastAsia" w:ascii="宋体" w:hAnsi="宋体" w:eastAsia="宋体" w:cs="宋体"/>
          <w:b w:val="0"/>
          <w:bCs/>
          <w:color w:val="auto"/>
          <w:sz w:val="24"/>
          <w:szCs w:val="24"/>
          <w:highlight w:val="none"/>
        </w:rPr>
        <w:t>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HYPERLINK "http://www.ccgp-jiangsu.gov.cn/jiangsu/zlxz/ee/ee3a4bc5a3454aa2b0d9312230633ce9.html"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u w:val="single"/>
        </w:rPr>
        <w:t>下载地址</w:t>
      </w:r>
      <w:r>
        <w:rPr>
          <w:rFonts w:hint="eastAsia" w:ascii="宋体" w:hAnsi="宋体" w:eastAsia="宋体" w:cs="宋体"/>
          <w:b w:val="0"/>
          <w:bCs/>
          <w:color w:val="auto"/>
          <w:sz w:val="24"/>
          <w:szCs w:val="24"/>
          <w:highlight w:val="none"/>
          <w:u w:val="single"/>
        </w:rPr>
        <w:fldChar w:fldCharType="end"/>
      </w:r>
      <w:r>
        <w:rPr>
          <w:rFonts w:hint="eastAsia" w:ascii="宋体" w:hAnsi="宋体" w:eastAsia="宋体" w:cs="宋体"/>
          <w:b w:val="0"/>
          <w:bCs/>
          <w:color w:val="auto"/>
          <w:sz w:val="24"/>
          <w:szCs w:val="24"/>
          <w:highlight w:val="none"/>
        </w:rPr>
        <w:t>（http</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//www.ccgp-jiangsu.gov.cn/jiangsu/zlxz/ee/ee3a4bc5a3454aa2b0d9312230633ce9.html）。</w:t>
      </w:r>
      <w:bookmarkStart w:id="31" w:name="OLE_LINK2"/>
      <w:r>
        <w:rPr>
          <w:rFonts w:hint="eastAsia" w:ascii="宋体" w:hAnsi="宋体" w:eastAsia="宋体" w:cs="宋体"/>
          <w:b w:val="0"/>
          <w:bCs/>
          <w:color w:val="auto"/>
          <w:sz w:val="24"/>
          <w:szCs w:val="24"/>
          <w:highlight w:val="none"/>
        </w:rPr>
        <w:t>“苏采云”南京地区客服热线025-83633744、025-83633743。</w:t>
      </w:r>
      <w:bookmarkEnd w:id="31"/>
    </w:p>
    <w:p w14:paraId="627F7F2F">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7.有关本次采购的事项若存在变动或修改，请及时关注“江苏政府采购网”（www.ccgp-jiangsu.gov.cn）更正公告。</w:t>
      </w:r>
    </w:p>
    <w:p w14:paraId="78705DAF">
      <w:pPr>
        <w:keepNext w:val="0"/>
        <w:keepLines w:val="0"/>
        <w:pageBreakBefore w:val="0"/>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8.政府采购信用承诺</w:t>
      </w:r>
    </w:p>
    <w:p w14:paraId="4AE93073">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根据《关于在政府采购活动中推行信用承诺制的通知》宁财购通〔2021</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5号规定，参加南京地区政府采购活动的供应商，应向采购人或政府采购代理机构作出信用承诺。供应商应尽早做好承诺工作，点击“南京公共采购信息网”首页</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https</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//njgc.jfh.com/</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“南京市政府采购供应商诚信档案”系统链接打开系统页面（http</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//180.101.238.212</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8280/hodeframe2018_cxda/index.action;jsessionid=769BA9C8E1729422E7173B991C8EC1E5）登录</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未注册的供应商应先点击“供应商注册点这里”并按要求完成注册</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，然后在“信用记录”模块页面点击“信用记录打印”下载本单位《南京市政府采购供应商信用记录表暨信用承诺书》，由法人签字并盖单位公章。</w:t>
      </w:r>
    </w:p>
    <w:p w14:paraId="4E7ECDDC">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在政府采购资格审查环节，供应商只需提供《南京市政府采购供应商信用记录表暨信用承诺书》，即可替代以下证明材料：</w:t>
      </w:r>
    </w:p>
    <w:p w14:paraId="3ED1880F">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具有独立承担民事责任的能力；</w:t>
      </w:r>
    </w:p>
    <w:p w14:paraId="6604A870">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具有良好的商业信誉和健全的财务会计制度；</w:t>
      </w:r>
    </w:p>
    <w:p w14:paraId="7094027A">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具有履行合同所必需的设备和专业技术能力；</w:t>
      </w:r>
    </w:p>
    <w:p w14:paraId="61E40683">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具有依法缴纳税收和社会保障资金的良好记录；</w:t>
      </w:r>
    </w:p>
    <w:p w14:paraId="44DDF3DB">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参加政府采购活动前三年内，在经营活动中没有重大违法记录；</w:t>
      </w:r>
    </w:p>
    <w:p w14:paraId="4F90A69E">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符合</w:t>
      </w:r>
      <w:r>
        <w:rPr>
          <w:rFonts w:hint="eastAsia" w:ascii="宋体" w:hAnsi="宋体" w:eastAsia="宋体" w:cs="宋体"/>
          <w:b w:val="0"/>
          <w:bCs/>
          <w:color w:val="auto"/>
          <w:sz w:val="24"/>
          <w:szCs w:val="24"/>
          <w:highlight w:val="none"/>
        </w:rPr>
        <w:t>法律、行政法规规定的其他条件。</w:t>
      </w:r>
    </w:p>
    <w:p w14:paraId="6CE112B9">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供应商在中标后，应按采购文件要求，将上述由信用承诺书替代的证明材料（一式两份）加盖公章，提交采购人或采购代理机构核验。经核验无误后，由采购人或采购代理机构发出中标通知书。</w:t>
      </w:r>
    </w:p>
    <w:p w14:paraId="3CE0C15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供应商涉及以下情形的，不适用信用承诺</w:t>
      </w:r>
      <w:r>
        <w:rPr>
          <w:rFonts w:hint="eastAsia" w:ascii="宋体" w:hAnsi="宋体" w:eastAsia="宋体" w:cs="宋体"/>
          <w:b w:val="0"/>
          <w:bCs/>
          <w:color w:val="auto"/>
          <w:sz w:val="24"/>
          <w:szCs w:val="24"/>
          <w:highlight w:val="none"/>
          <w:lang w:eastAsia="zh-CN"/>
        </w:rPr>
        <w:t>：</w:t>
      </w:r>
    </w:p>
    <w:p w14:paraId="1A24C877">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（1）供应商被列入严重失信主体名单；</w:t>
      </w:r>
    </w:p>
    <w:p w14:paraId="541FACB6">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（2）被相关监管部门作出行政处罚且尚在处罚有效期内；</w:t>
      </w:r>
    </w:p>
    <w:p w14:paraId="5BADE3ED">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（3）其他法律、行政法规规定的不适用信用承诺的情形；</w:t>
      </w:r>
    </w:p>
    <w:p w14:paraId="295423D1">
      <w:pPr>
        <w:keepNext w:val="0"/>
        <w:keepLines w:val="0"/>
        <w:pageBreakBefore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供应商对信用承诺内容的真实性、合法性、有效性负责。如作出虚假信用承诺，视同为“提供虚假材料谋取中标、成交”的违法行为。</w:t>
      </w:r>
    </w:p>
    <w:p w14:paraId="0C07A730">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七、对本次采购提出询问，请按以下方式联系</w:t>
      </w:r>
    </w:p>
    <w:p w14:paraId="240BFE46">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1.采购人信息</w:t>
      </w:r>
    </w:p>
    <w:p w14:paraId="212BC75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单位名称：</w:t>
      </w:r>
      <w:r>
        <w:rPr>
          <w:rFonts w:hint="eastAsia" w:ascii="宋体" w:hAnsi="宋体" w:eastAsia="宋体" w:cs="宋体"/>
          <w:b w:val="0"/>
          <w:bCs/>
          <w:color w:val="auto"/>
          <w:sz w:val="24"/>
          <w:szCs w:val="24"/>
          <w:highlight w:val="none"/>
          <w:lang w:eastAsia="zh-CN"/>
        </w:rPr>
        <w:t>南京浦口经济开发区管理委员会</w:t>
      </w:r>
    </w:p>
    <w:p w14:paraId="724027E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单位地址：</w:t>
      </w:r>
      <w:r>
        <w:rPr>
          <w:rFonts w:hint="eastAsia" w:ascii="宋体" w:hAnsi="宋体" w:eastAsia="宋体" w:cs="宋体"/>
          <w:b w:val="0"/>
          <w:bCs/>
          <w:color w:val="auto"/>
          <w:sz w:val="24"/>
          <w:szCs w:val="24"/>
          <w:highlight w:val="none"/>
          <w:lang w:val="zh-CN" w:eastAsia="zh-CN"/>
        </w:rPr>
        <w:t>江苏省南京市浦口区兰花路8号</w:t>
      </w:r>
    </w:p>
    <w:p w14:paraId="70DF7D6A">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zh-CN"/>
        </w:rPr>
        <w:t>联系人：</w:t>
      </w:r>
      <w:r>
        <w:rPr>
          <w:rFonts w:hint="eastAsia" w:ascii="宋体" w:hAnsi="宋体" w:eastAsia="宋体" w:cs="宋体"/>
          <w:b w:val="0"/>
          <w:bCs/>
          <w:color w:val="auto"/>
          <w:sz w:val="24"/>
          <w:szCs w:val="24"/>
          <w:highlight w:val="none"/>
          <w:lang w:val="en-US" w:eastAsia="zh-CN"/>
        </w:rPr>
        <w:t>戴工</w:t>
      </w:r>
    </w:p>
    <w:p w14:paraId="2891B70D">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联系电话：</w:t>
      </w:r>
      <w:r>
        <w:rPr>
          <w:rFonts w:hint="eastAsia" w:ascii="宋体" w:hAnsi="宋体" w:eastAsia="宋体" w:cs="宋体"/>
          <w:b w:val="0"/>
          <w:bCs/>
          <w:color w:val="auto"/>
          <w:sz w:val="24"/>
          <w:szCs w:val="24"/>
          <w:highlight w:val="none"/>
          <w:lang w:eastAsia="zh-CN"/>
        </w:rPr>
        <w:t>025-69033901</w:t>
      </w:r>
    </w:p>
    <w:p w14:paraId="63A76D8E">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2.采购代理机构信息（如有）</w:t>
      </w:r>
    </w:p>
    <w:p w14:paraId="76C880AA">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单位名称：</w:t>
      </w:r>
      <w:r>
        <w:rPr>
          <w:rFonts w:hint="eastAsia" w:ascii="宋体" w:hAnsi="宋体" w:eastAsia="宋体" w:cs="宋体"/>
          <w:b w:val="0"/>
          <w:bCs/>
          <w:color w:val="auto"/>
          <w:sz w:val="24"/>
          <w:szCs w:val="24"/>
          <w:highlight w:val="none"/>
          <w:lang w:eastAsia="zh-CN"/>
        </w:rPr>
        <w:t>江苏全过程项目管理有限公司</w:t>
      </w:r>
    </w:p>
    <w:p w14:paraId="4E079CC4">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单位地址：</w:t>
      </w:r>
      <w:r>
        <w:rPr>
          <w:rFonts w:hint="eastAsia" w:ascii="宋体" w:hAnsi="宋体" w:eastAsia="宋体" w:cs="宋体"/>
          <w:b w:val="0"/>
          <w:bCs/>
          <w:color w:val="auto"/>
          <w:sz w:val="24"/>
          <w:szCs w:val="24"/>
          <w:highlight w:val="none"/>
          <w:lang w:eastAsia="zh-CN"/>
        </w:rPr>
        <w:t>南京市秦淮区双龙科技创新产业园18-1幢</w:t>
      </w:r>
    </w:p>
    <w:p w14:paraId="6E2A1141">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zh-CN"/>
        </w:rPr>
        <w:t>联系人：</w:t>
      </w:r>
      <w:r>
        <w:rPr>
          <w:rFonts w:hint="eastAsia" w:ascii="宋体" w:hAnsi="宋体" w:eastAsia="宋体" w:cs="宋体"/>
          <w:b w:val="0"/>
          <w:bCs/>
          <w:color w:val="auto"/>
          <w:sz w:val="24"/>
          <w:szCs w:val="24"/>
          <w:highlight w:val="none"/>
          <w:lang w:eastAsia="zh-CN"/>
        </w:rPr>
        <w:t>基工</w:t>
      </w:r>
      <w:r>
        <w:rPr>
          <w:rFonts w:hint="eastAsia" w:ascii="宋体" w:hAnsi="宋体" w:eastAsia="宋体" w:cs="宋体"/>
          <w:b w:val="0"/>
          <w:bCs/>
          <w:color w:val="auto"/>
          <w:sz w:val="24"/>
          <w:szCs w:val="24"/>
          <w:highlight w:val="none"/>
        </w:rPr>
        <w:t xml:space="preserve"> </w:t>
      </w:r>
    </w:p>
    <w:p w14:paraId="113F9ADF">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联系电话：13270887412</w:t>
      </w:r>
    </w:p>
    <w:p w14:paraId="35F6394B">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3.项目联系方式</w:t>
      </w:r>
    </w:p>
    <w:p w14:paraId="4AD61F8C">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项目联系人：</w:t>
      </w:r>
      <w:r>
        <w:rPr>
          <w:rFonts w:hint="eastAsia" w:ascii="宋体" w:hAnsi="宋体" w:eastAsia="宋体" w:cs="宋体"/>
          <w:b w:val="0"/>
          <w:bCs/>
          <w:color w:val="auto"/>
          <w:sz w:val="24"/>
          <w:szCs w:val="24"/>
          <w:highlight w:val="none"/>
          <w:lang w:eastAsia="zh-CN"/>
        </w:rPr>
        <w:t>基工</w:t>
      </w:r>
      <w:r>
        <w:rPr>
          <w:rFonts w:hint="eastAsia" w:ascii="宋体" w:hAnsi="宋体" w:eastAsia="宋体" w:cs="宋体"/>
          <w:b w:val="0"/>
          <w:bCs/>
          <w:color w:val="auto"/>
          <w:sz w:val="24"/>
          <w:szCs w:val="24"/>
          <w:highlight w:val="none"/>
        </w:rPr>
        <w:t xml:space="preserve"> </w:t>
      </w:r>
    </w:p>
    <w:p w14:paraId="51205780">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电话：</w:t>
      </w:r>
      <w:bookmarkEnd w:id="2"/>
      <w:r>
        <w:rPr>
          <w:rFonts w:hint="eastAsia" w:ascii="宋体" w:hAnsi="宋体" w:eastAsia="宋体" w:cs="宋体"/>
          <w:b w:val="0"/>
          <w:bCs/>
          <w:color w:val="auto"/>
          <w:sz w:val="24"/>
          <w:szCs w:val="24"/>
          <w:highlight w:val="none"/>
          <w:lang w:val="zh-CN"/>
        </w:rPr>
        <w:t>13270887412</w:t>
      </w:r>
    </w:p>
    <w:p w14:paraId="125F5AED">
      <w:pPr>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br w:type="page" w:clear="all"/>
      </w:r>
    </w:p>
    <w:p w14:paraId="57E8AB2B">
      <w:pPr>
        <w:keepNext/>
        <w:keepLines/>
        <w:pageBreakBefore w:val="0"/>
        <w:widowControl w:val="0"/>
        <w:kinsoku/>
        <w:wordWrap/>
        <w:overflowPunct/>
        <w:topLinePunct w:val="0"/>
        <w:autoSpaceDE/>
        <w:autoSpaceDN/>
        <w:bidi w:val="0"/>
        <w:adjustRightInd/>
        <w:snapToGrid/>
        <w:spacing w:before="340" w:after="330" w:line="240" w:lineRule="auto"/>
        <w:jc w:val="center"/>
        <w:textAlignment w:val="auto"/>
        <w:outlineLvl w:val="0"/>
        <w:rPr>
          <w:rFonts w:hint="eastAsia" w:ascii="宋体" w:hAnsi="宋体" w:cs="宋体"/>
          <w:b/>
          <w:bCs/>
          <w:color w:val="auto"/>
          <w:sz w:val="32"/>
          <w:szCs w:val="44"/>
          <w:highlight w:val="none"/>
        </w:rPr>
      </w:pPr>
      <w:bookmarkStart w:id="32" w:name="_Toc4567"/>
      <w:bookmarkStart w:id="33" w:name="_Toc7511"/>
      <w:bookmarkStart w:id="34" w:name="_Toc198382927"/>
      <w:r>
        <w:rPr>
          <w:rFonts w:hint="eastAsia" w:ascii="宋体" w:hAnsi="宋体" w:cs="宋体"/>
          <w:b/>
          <w:bCs/>
          <w:color w:val="auto"/>
          <w:sz w:val="32"/>
          <w:szCs w:val="44"/>
          <w:highlight w:val="none"/>
        </w:rPr>
        <w:t>第二章</w:t>
      </w:r>
      <w:bookmarkStart w:id="35" w:name="_Toc452625218"/>
      <w:r>
        <w:rPr>
          <w:rFonts w:hint="eastAsia" w:ascii="宋体" w:hAnsi="宋体" w:cs="宋体"/>
          <w:b/>
          <w:bCs/>
          <w:color w:val="auto"/>
          <w:sz w:val="32"/>
          <w:szCs w:val="44"/>
          <w:highlight w:val="none"/>
        </w:rPr>
        <w:t xml:space="preserve"> 投标人须知</w:t>
      </w:r>
      <w:bookmarkEnd w:id="32"/>
      <w:bookmarkEnd w:id="33"/>
      <w:bookmarkEnd w:id="34"/>
      <w:bookmarkEnd w:id="35"/>
    </w:p>
    <w:p w14:paraId="099965AE">
      <w:pPr>
        <w:widowControl/>
        <w:shd w:val="clear" w:color="auto" w:fill="FFFFFF"/>
        <w:spacing w:line="360" w:lineRule="auto"/>
        <w:ind w:firstLine="424"/>
        <w:rPr>
          <w:rFonts w:hint="eastAsia" w:ascii="宋体" w:hAnsi="宋体"/>
          <w:color w:val="auto"/>
          <w:sz w:val="24"/>
          <w:szCs w:val="24"/>
          <w:highlight w:val="none"/>
        </w:rPr>
      </w:pPr>
      <w:r>
        <w:rPr>
          <w:rFonts w:hint="eastAsia" w:ascii="宋体" w:hAnsi="宋体"/>
          <w:b/>
          <w:bCs/>
          <w:color w:val="auto"/>
          <w:sz w:val="24"/>
          <w:szCs w:val="24"/>
          <w:highlight w:val="none"/>
        </w:rPr>
        <w:t>一、总 则</w:t>
      </w:r>
    </w:p>
    <w:p w14:paraId="3FF3F6AC">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1.适用法律</w:t>
      </w:r>
    </w:p>
    <w:p w14:paraId="709B5992">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1.1本次采购适用《中华人民共和国政府采购法》、《中华人民共和国政府采购法实施条例》、《政府采购货物或服务招标投标管理办法》等法律、行政法规、部门规章和规范性文件。</w:t>
      </w:r>
    </w:p>
    <w:p w14:paraId="264CDD10">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2.定义</w:t>
      </w:r>
    </w:p>
    <w:p w14:paraId="22A8EA33">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2.1“采购人”是指</w:t>
      </w:r>
      <w:r>
        <w:rPr>
          <w:rFonts w:hint="eastAsia" w:ascii="宋体" w:hAnsi="宋体"/>
          <w:color w:val="auto"/>
          <w:sz w:val="24"/>
          <w:szCs w:val="24"/>
          <w:highlight w:val="none"/>
          <w:lang w:eastAsia="zh-CN"/>
        </w:rPr>
        <w:t>南京浦口经济开发区管理委员会</w:t>
      </w:r>
      <w:r>
        <w:rPr>
          <w:rFonts w:hint="eastAsia" w:ascii="宋体" w:hAnsi="宋体"/>
          <w:color w:val="auto"/>
          <w:sz w:val="24"/>
          <w:szCs w:val="24"/>
          <w:highlight w:val="none"/>
        </w:rPr>
        <w:t>。</w:t>
      </w:r>
    </w:p>
    <w:p w14:paraId="4727C3FF">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投标人</w:t>
      </w:r>
      <w:r>
        <w:rPr>
          <w:rFonts w:hint="eastAsia" w:ascii="宋体" w:hAnsi="宋体"/>
          <w:color w:val="auto"/>
          <w:sz w:val="24"/>
          <w:szCs w:val="24"/>
          <w:highlight w:val="none"/>
        </w:rPr>
        <w:t>或供应商”</w:t>
      </w:r>
      <w:r>
        <w:rPr>
          <w:rFonts w:ascii="宋体" w:hAnsi="宋体"/>
          <w:color w:val="auto"/>
          <w:sz w:val="24"/>
          <w:szCs w:val="24"/>
          <w:highlight w:val="none"/>
        </w:rPr>
        <w:t>是</w:t>
      </w:r>
      <w:r>
        <w:rPr>
          <w:rFonts w:hint="eastAsia" w:ascii="宋体" w:hAnsi="宋体"/>
          <w:color w:val="auto"/>
          <w:sz w:val="24"/>
          <w:szCs w:val="24"/>
          <w:highlight w:val="none"/>
        </w:rPr>
        <w:t>指参加投标竞争，并符合招标文件规定资格条件的法人、其他组织或者自然人。</w:t>
      </w:r>
    </w:p>
    <w:p w14:paraId="21569C75">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2.3“采购代理机构”</w:t>
      </w:r>
      <w:r>
        <w:rPr>
          <w:rFonts w:ascii="宋体" w:hAnsi="宋体"/>
          <w:color w:val="auto"/>
          <w:sz w:val="24"/>
          <w:szCs w:val="24"/>
          <w:highlight w:val="none"/>
        </w:rPr>
        <w:t>是指</w:t>
      </w:r>
      <w:r>
        <w:rPr>
          <w:rFonts w:hint="eastAsia" w:ascii="宋体" w:hAnsi="宋体"/>
          <w:color w:val="auto"/>
          <w:sz w:val="24"/>
          <w:szCs w:val="24"/>
          <w:highlight w:val="none"/>
          <w:lang w:eastAsia="zh-CN"/>
        </w:rPr>
        <w:t>江苏全过程项目管理有限公司</w:t>
      </w:r>
      <w:r>
        <w:rPr>
          <w:rFonts w:ascii="宋体" w:hAnsi="宋体"/>
          <w:color w:val="auto"/>
          <w:sz w:val="24"/>
          <w:szCs w:val="24"/>
          <w:highlight w:val="none"/>
        </w:rPr>
        <w:t>。</w:t>
      </w:r>
    </w:p>
    <w:p w14:paraId="1608C248">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2.4“服务”指本招标文件中所述相关服务。</w:t>
      </w:r>
    </w:p>
    <w:p w14:paraId="41383A5C">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3.政策功能</w:t>
      </w:r>
    </w:p>
    <w:p w14:paraId="4C5ACEF1">
      <w:pPr>
        <w:widowControl/>
        <w:shd w:val="clear" w:color="auto" w:fill="FFFFFF"/>
        <w:spacing w:line="360" w:lineRule="auto"/>
        <w:ind w:firstLine="420"/>
        <w:rPr>
          <w:rFonts w:hint="eastAsia" w:ascii="宋体" w:hAnsi="宋体" w:cs="宋体"/>
          <w:b/>
          <w:color w:val="auto"/>
          <w:sz w:val="24"/>
          <w:szCs w:val="24"/>
          <w:highlight w:val="none"/>
        </w:rPr>
      </w:pPr>
      <w:r>
        <w:rPr>
          <w:rFonts w:hint="eastAsia" w:ascii="宋体" w:hAnsi="宋体" w:cs="宋体"/>
          <w:b/>
          <w:color w:val="auto"/>
          <w:sz w:val="24"/>
          <w:szCs w:val="24"/>
          <w:highlight w:val="none"/>
        </w:rPr>
        <w:t>3.1 中小企业政策</w:t>
      </w:r>
    </w:p>
    <w:p w14:paraId="4D552EA1">
      <w:pPr>
        <w:widowControl/>
        <w:shd w:val="clear" w:color="auto" w:fill="FFFFFF"/>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3463B3C2">
      <w:pPr>
        <w:widowControl/>
        <w:shd w:val="clear" w:color="auto" w:fill="FFFFFF"/>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p>
    <w:p w14:paraId="6EB96669">
      <w:pPr>
        <w:widowControl/>
        <w:shd w:val="clear" w:color="auto" w:fill="FFFFFF"/>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3</w:t>
      </w:r>
      <w:r>
        <w:rPr>
          <w:rFonts w:hint="eastAsia" w:ascii="宋体" w:hAnsi="宋体" w:cs="宋体"/>
          <w:color w:val="auto"/>
          <w:sz w:val="24"/>
          <w:szCs w:val="24"/>
          <w:highlight w:val="none"/>
        </w:rPr>
        <w:t>）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ascii="宋体" w:hAnsi="宋体" w:cs="宋体"/>
          <w:color w:val="auto"/>
          <w:sz w:val="24"/>
          <w:szCs w:val="24"/>
          <w:highlight w:val="none"/>
        </w:rPr>
        <w:t>4</w:t>
      </w:r>
      <w:r>
        <w:rPr>
          <w:rFonts w:hint="eastAsia" w:ascii="宋体" w:hAnsi="宋体" w:cs="宋体"/>
          <w:color w:val="auto"/>
          <w:sz w:val="24"/>
          <w:szCs w:val="24"/>
          <w:highlight w:val="none"/>
        </w:rPr>
        <w:t>%的价格扣除。</w:t>
      </w:r>
    </w:p>
    <w:p w14:paraId="6EAFAFBC">
      <w:pPr>
        <w:widowControl/>
        <w:shd w:val="clear" w:color="auto" w:fill="FFFFFF"/>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以联合体形式参加政府采购活动的，联合体各方均为中小企业的，联合体视同中小企业。其中，联合体各方均为小微企业的，联合体视同小微企业。</w:t>
      </w:r>
    </w:p>
    <w:p w14:paraId="1F3D4C8A">
      <w:pPr>
        <w:widowControl/>
        <w:shd w:val="clear" w:color="auto" w:fill="FFFFFF"/>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4</w:t>
      </w:r>
      <w:r>
        <w:rPr>
          <w:rFonts w:hint="eastAsia" w:ascii="宋体" w:hAnsi="宋体" w:cs="宋体"/>
          <w:color w:val="auto"/>
          <w:sz w:val="24"/>
          <w:szCs w:val="24"/>
          <w:highlight w:val="none"/>
        </w:rPr>
        <w:t>）依据《政府采购促进中小企业发展管理办法》（财库〔2020〕46号）规定的扶持政策获取政府采购合同后，小型、微型企业不得将合同分包给大型、中型企业，中型企业不得将合同分包给大型企业。</w:t>
      </w:r>
    </w:p>
    <w:p w14:paraId="4AA36401">
      <w:pPr>
        <w:spacing w:line="360" w:lineRule="auto"/>
        <w:ind w:firstLine="42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w:t>
      </w:r>
      <w:r>
        <w:rPr>
          <w:rFonts w:ascii="宋体" w:hAnsi="宋体" w:cs="宋体"/>
          <w:b/>
          <w:bCs/>
          <w:color w:val="auto"/>
          <w:sz w:val="24"/>
          <w:szCs w:val="24"/>
          <w:highlight w:val="none"/>
        </w:rPr>
        <w:t>.2</w:t>
      </w:r>
      <w:r>
        <w:rPr>
          <w:rFonts w:hint="eastAsia" w:ascii="宋体" w:hAnsi="宋体" w:cs="宋体"/>
          <w:b/>
          <w:bCs/>
          <w:color w:val="auto"/>
          <w:sz w:val="24"/>
          <w:szCs w:val="24"/>
          <w:highlight w:val="none"/>
        </w:rPr>
        <w:t>支持监狱企业（含监狱和戒毒企业）发展政策</w:t>
      </w:r>
    </w:p>
    <w:p w14:paraId="218AE675">
      <w:p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w:t>
      </w:r>
      <w:r>
        <w:rPr>
          <w:rFonts w:hint="eastAsia" w:ascii="宋体" w:hAnsi="宋体" w:cs="宋体"/>
          <w:color w:val="auto"/>
          <w:sz w:val="24"/>
          <w:szCs w:val="24"/>
          <w:highlight w:val="none"/>
        </w:rPr>
        <w:t>）根据《关于政府采购支持监狱企业发展有关问题的通知》，在政府采购活动中监狱企业视同小型、微型企业，享受预留份额、评审中价格扣除等政府采购促进中小企业发展的政府采购政策。</w:t>
      </w:r>
    </w:p>
    <w:p w14:paraId="3CD67734">
      <w:pPr>
        <w:widowControl/>
        <w:shd w:val="clear" w:color="auto" w:fill="FFFFFF"/>
        <w:spacing w:line="360" w:lineRule="auto"/>
        <w:ind w:firstLine="420"/>
        <w:rPr>
          <w:rFonts w:hint="eastAsia" w:ascii="宋体" w:hAnsi="宋体" w:cs="Arial"/>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w:t>
      </w:r>
      <w:r>
        <w:rPr>
          <w:rFonts w:hint="eastAsia" w:ascii="宋体" w:hAnsi="宋体" w:cs="宋体"/>
          <w:color w:val="auto"/>
          <w:sz w:val="24"/>
          <w:szCs w:val="24"/>
          <w:highlight w:val="none"/>
        </w:rPr>
        <w:t>）参加政府采购活动的监狱企业提供由省级以上监狱管理局、戒毒管理局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含新疆生产建设兵团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出具的属于监狱企业的证明文件，</w:t>
      </w:r>
      <w:r>
        <w:rPr>
          <w:rFonts w:hint="eastAsia" w:ascii="宋体" w:hAnsi="宋体" w:cs="Arial"/>
          <w:color w:val="auto"/>
          <w:sz w:val="24"/>
          <w:szCs w:val="24"/>
          <w:highlight w:val="none"/>
        </w:rPr>
        <w:t>监狱和戒毒企业享受政府采购支持政策的要求详见《关于政府采购支持监狱企业发展有关问题的通知》（财库〔</w:t>
      </w:r>
      <w:r>
        <w:rPr>
          <w:rFonts w:ascii="宋体" w:hAnsi="宋体" w:cs="Arial"/>
          <w:color w:val="auto"/>
          <w:sz w:val="24"/>
          <w:szCs w:val="24"/>
          <w:highlight w:val="none"/>
        </w:rPr>
        <w:t>2014</w:t>
      </w:r>
      <w:r>
        <w:rPr>
          <w:rFonts w:hint="eastAsia" w:ascii="宋体" w:hAnsi="宋体" w:cs="Arial"/>
          <w:color w:val="auto"/>
          <w:sz w:val="24"/>
          <w:szCs w:val="24"/>
          <w:highlight w:val="none"/>
        </w:rPr>
        <w:t>〕</w:t>
      </w:r>
      <w:r>
        <w:rPr>
          <w:rFonts w:ascii="宋体" w:hAnsi="宋体" w:cs="Arial"/>
          <w:color w:val="auto"/>
          <w:sz w:val="24"/>
          <w:szCs w:val="24"/>
          <w:highlight w:val="none"/>
        </w:rPr>
        <w:t>68</w:t>
      </w:r>
      <w:r>
        <w:rPr>
          <w:rFonts w:hint="eastAsia" w:ascii="宋体" w:hAnsi="宋体" w:cs="Arial"/>
          <w:color w:val="auto"/>
          <w:sz w:val="24"/>
          <w:szCs w:val="24"/>
          <w:highlight w:val="none"/>
        </w:rPr>
        <w:t>号）。</w:t>
      </w:r>
    </w:p>
    <w:p w14:paraId="42D6F19C">
      <w:pPr>
        <w:spacing w:line="360" w:lineRule="auto"/>
        <w:ind w:firstLine="42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w:t>
      </w:r>
      <w:r>
        <w:rPr>
          <w:rFonts w:ascii="宋体" w:hAnsi="宋体" w:cs="宋体"/>
          <w:b/>
          <w:bCs/>
          <w:color w:val="auto"/>
          <w:sz w:val="24"/>
          <w:szCs w:val="24"/>
          <w:highlight w:val="none"/>
        </w:rPr>
        <w:t>.3</w:t>
      </w:r>
      <w:r>
        <w:rPr>
          <w:rFonts w:hint="eastAsia" w:ascii="宋体" w:hAnsi="宋体" w:cs="宋体"/>
          <w:b/>
          <w:bCs/>
          <w:color w:val="auto"/>
          <w:sz w:val="24"/>
          <w:szCs w:val="24"/>
          <w:highlight w:val="none"/>
        </w:rPr>
        <w:t>促进残疾人就业政策</w:t>
      </w:r>
    </w:p>
    <w:p w14:paraId="479C2622">
      <w:p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w:t>
      </w:r>
      <w:r>
        <w:rPr>
          <w:rFonts w:hint="eastAsia" w:ascii="宋体" w:hAnsi="宋体" w:cs="宋体"/>
          <w:color w:val="auto"/>
          <w:sz w:val="24"/>
          <w:szCs w:val="24"/>
          <w:highlight w:val="none"/>
        </w:rPr>
        <w:t>）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p>
    <w:p w14:paraId="1A740D76">
      <w:pPr>
        <w:widowControl/>
        <w:shd w:val="clear" w:color="auto" w:fill="FFFFFF"/>
        <w:spacing w:line="360" w:lineRule="auto"/>
        <w:ind w:firstLine="420"/>
        <w:rPr>
          <w:rFonts w:hint="eastAsia" w:ascii="宋体" w:hAnsi="宋体" w:cs="Arial"/>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w:t>
      </w:r>
      <w:r>
        <w:rPr>
          <w:rFonts w:hint="eastAsia" w:ascii="宋体" w:hAnsi="宋体" w:cs="宋体"/>
          <w:color w:val="auto"/>
          <w:sz w:val="24"/>
          <w:szCs w:val="24"/>
          <w:highlight w:val="none"/>
        </w:rPr>
        <w:t>）参加政府采购活动的残疾人福利性单位提供《残疾人福利性单位声明函》，残疾人福利性单位享受</w:t>
      </w:r>
      <w:r>
        <w:rPr>
          <w:rFonts w:hint="eastAsia" w:ascii="宋体" w:hAnsi="宋体" w:cs="Arial"/>
          <w:color w:val="auto"/>
          <w:sz w:val="24"/>
          <w:szCs w:val="24"/>
          <w:highlight w:val="none"/>
        </w:rPr>
        <w:t>政府采购支持政策的要求详见《关于促进残疾人就业政府采购政策的通知》（财库〔</w:t>
      </w:r>
      <w:r>
        <w:rPr>
          <w:rFonts w:ascii="宋体" w:hAnsi="宋体" w:cs="Arial"/>
          <w:color w:val="auto"/>
          <w:sz w:val="24"/>
          <w:szCs w:val="24"/>
          <w:highlight w:val="none"/>
        </w:rPr>
        <w:t>2017</w:t>
      </w:r>
      <w:r>
        <w:rPr>
          <w:rFonts w:hint="eastAsia" w:ascii="宋体" w:hAnsi="宋体" w:cs="Arial"/>
          <w:color w:val="auto"/>
          <w:sz w:val="24"/>
          <w:szCs w:val="24"/>
          <w:highlight w:val="none"/>
        </w:rPr>
        <w:t>〕</w:t>
      </w:r>
      <w:r>
        <w:rPr>
          <w:rFonts w:ascii="宋体" w:hAnsi="宋体" w:cs="Arial"/>
          <w:color w:val="auto"/>
          <w:sz w:val="24"/>
          <w:szCs w:val="24"/>
          <w:highlight w:val="none"/>
        </w:rPr>
        <w:t>141</w:t>
      </w:r>
      <w:r>
        <w:rPr>
          <w:rFonts w:hint="eastAsia" w:ascii="宋体" w:hAnsi="宋体" w:cs="Arial"/>
          <w:color w:val="auto"/>
          <w:sz w:val="24"/>
          <w:szCs w:val="24"/>
          <w:highlight w:val="none"/>
        </w:rPr>
        <w:t>号）。</w:t>
      </w:r>
    </w:p>
    <w:p w14:paraId="6E8E0F27">
      <w:pPr>
        <w:widowControl/>
        <w:shd w:val="clear" w:color="auto" w:fill="FFFFFF"/>
        <w:spacing w:line="360" w:lineRule="auto"/>
        <w:ind w:firstLine="412"/>
        <w:rPr>
          <w:rFonts w:hint="eastAsia" w:ascii="宋体" w:hAnsi="宋体"/>
          <w:color w:val="auto"/>
          <w:sz w:val="24"/>
          <w:szCs w:val="24"/>
          <w:highlight w:val="none"/>
        </w:rPr>
      </w:pPr>
      <w:r>
        <w:rPr>
          <w:rFonts w:hint="eastAsia" w:ascii="宋体" w:hAnsi="宋体"/>
          <w:b/>
          <w:bCs/>
          <w:color w:val="auto"/>
          <w:sz w:val="24"/>
          <w:szCs w:val="24"/>
          <w:highlight w:val="none"/>
        </w:rPr>
        <w:t xml:space="preserve">二、招标文件构成 </w:t>
      </w:r>
    </w:p>
    <w:p w14:paraId="1EE46105">
      <w:pPr>
        <w:widowControl/>
        <w:shd w:val="clear" w:color="auto" w:fill="FFFFFF"/>
        <w:spacing w:line="360" w:lineRule="auto"/>
        <w:ind w:firstLine="420"/>
        <w:rPr>
          <w:rFonts w:hint="eastAsia" w:ascii="宋体" w:hAnsi="宋体"/>
          <w:b/>
          <w:bCs/>
          <w:color w:val="auto"/>
          <w:sz w:val="24"/>
          <w:szCs w:val="24"/>
          <w:highlight w:val="none"/>
        </w:rPr>
      </w:pPr>
      <w:r>
        <w:rPr>
          <w:rFonts w:hint="eastAsia" w:ascii="宋体" w:hAnsi="宋体"/>
          <w:b/>
          <w:bCs/>
          <w:color w:val="auto"/>
          <w:sz w:val="24"/>
          <w:szCs w:val="24"/>
          <w:highlight w:val="none"/>
        </w:rPr>
        <w:t>4.招标文件组成</w:t>
      </w:r>
    </w:p>
    <w:p w14:paraId="74556B08">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4.1 招标文件由以下部分组成：</w:t>
      </w:r>
    </w:p>
    <w:p w14:paraId="15022C3E">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（1）招标公告</w:t>
      </w:r>
    </w:p>
    <w:p w14:paraId="6C79D7A8">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35CA00D5">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（3）评标标准</w:t>
      </w:r>
    </w:p>
    <w:p w14:paraId="4BEF8DB6">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（4）采购项目的内容和相关技术要求等</w:t>
      </w:r>
    </w:p>
    <w:p w14:paraId="4F285C4E">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（5）合同主要条款及格式</w:t>
      </w:r>
    </w:p>
    <w:p w14:paraId="0D0D348C">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（6）投标文件格式</w:t>
      </w:r>
    </w:p>
    <w:p w14:paraId="0CE66838">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投标人应仔细检查招标文件是否齐全，如有缺漏请立即与采购代理机构联系。</w:t>
      </w:r>
    </w:p>
    <w:p w14:paraId="0FA91E38">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020159F">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4.3 采购代理机构如果要求投标人按照招标文件规定提交备选投标方案的，投标人可以提交备选方案；招标文件中未明确规定允许提交备选方案的，投标人不得提交备选方案，否则，备选方案将被拒绝。</w:t>
      </w:r>
    </w:p>
    <w:p w14:paraId="39E6720F">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5.招标文件的澄清或者修改</w:t>
      </w:r>
    </w:p>
    <w:p w14:paraId="3BA391A0">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5.1</w:t>
      </w:r>
      <w:r>
        <w:rPr>
          <w:rFonts w:ascii="宋体" w:hAnsi="宋体"/>
          <w:color w:val="auto"/>
          <w:sz w:val="24"/>
          <w:szCs w:val="24"/>
          <w:highlight w:val="none"/>
        </w:rPr>
        <w:t>采购人或者采购代理机构可以对已发出的招标文件、</w:t>
      </w:r>
      <w:r>
        <w:rPr>
          <w:rFonts w:hint="eastAsia" w:ascii="宋体" w:hAnsi="宋体"/>
          <w:color w:val="auto"/>
          <w:sz w:val="24"/>
          <w:szCs w:val="24"/>
          <w:highlight w:val="none"/>
        </w:rPr>
        <w:t>招标公告</w:t>
      </w:r>
      <w:r>
        <w:rPr>
          <w:rFonts w:ascii="宋体" w:hAnsi="宋体"/>
          <w:color w:val="auto"/>
          <w:sz w:val="24"/>
          <w:szCs w:val="24"/>
          <w:highlight w:val="none"/>
        </w:rPr>
        <w:t>进行必要的澄清或者修改，但不得改变采购标的和资格条件。澄清或者修改应当在原公告发布媒体上发布更正公告。</w:t>
      </w:r>
      <w:r>
        <w:rPr>
          <w:rFonts w:hint="eastAsia" w:ascii="宋体" w:hAnsi="宋体"/>
          <w:color w:val="auto"/>
          <w:sz w:val="24"/>
          <w:szCs w:val="24"/>
          <w:highlight w:val="none"/>
        </w:rPr>
        <w:t>更正内容将作为招标文件的组成部分，并对投标人具有约束力</w:t>
      </w:r>
      <w:r>
        <w:rPr>
          <w:rFonts w:ascii="宋体" w:hAnsi="宋体"/>
          <w:color w:val="auto"/>
          <w:sz w:val="24"/>
          <w:szCs w:val="24"/>
          <w:highlight w:val="none"/>
        </w:rPr>
        <w:t>。</w:t>
      </w:r>
    </w:p>
    <w:p w14:paraId="03C03F77">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5.2 投标人应在提交投标文件截止时间前，关注原公告媒体有关本项目的更正公告，根据更正公告内容自行决定是否需要重新制作和提交投标文件，并承担由此产生的相应责任。</w:t>
      </w:r>
    </w:p>
    <w:p w14:paraId="19A50BCC">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5.3 采购代理机构有权按照法律法规的要求推迟投标截止日期和开标日期，并在原公告媒体发布更正公告。</w:t>
      </w:r>
    </w:p>
    <w:p w14:paraId="76366E97">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三、投标文件的编制</w:t>
      </w:r>
    </w:p>
    <w:p w14:paraId="1641CE47">
      <w:pPr>
        <w:widowControl/>
        <w:shd w:val="clear" w:color="auto" w:fill="FFFFFF"/>
        <w:spacing w:line="360" w:lineRule="auto"/>
        <w:ind w:firstLine="422"/>
        <w:rPr>
          <w:rFonts w:hint="eastAsia" w:ascii="宋体" w:hAnsi="宋体"/>
          <w:color w:val="auto"/>
          <w:sz w:val="24"/>
          <w:szCs w:val="24"/>
          <w:highlight w:val="none"/>
        </w:rPr>
      </w:pPr>
      <w:r>
        <w:rPr>
          <w:rFonts w:hint="eastAsia" w:ascii="宋体" w:hAnsi="宋体"/>
          <w:b/>
          <w:bCs/>
          <w:color w:val="auto"/>
          <w:sz w:val="24"/>
          <w:szCs w:val="24"/>
          <w:highlight w:val="none"/>
        </w:rPr>
        <w:t>6.投标文件的语言、计量单位</w:t>
      </w:r>
    </w:p>
    <w:p w14:paraId="45F47515">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2B6388BF">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6.2 除技术性能另有规定外，投标文件所使用的度量衡单位，均须采用国家法定计量单位。</w:t>
      </w:r>
    </w:p>
    <w:p w14:paraId="14337FA3">
      <w:pPr>
        <w:widowControl/>
        <w:shd w:val="clear" w:color="auto" w:fill="FFFFFF"/>
        <w:spacing w:line="360" w:lineRule="auto"/>
        <w:ind w:firstLine="422"/>
        <w:rPr>
          <w:rFonts w:hint="eastAsia" w:ascii="宋体" w:hAnsi="宋体"/>
          <w:b/>
          <w:bCs/>
          <w:color w:val="auto"/>
          <w:sz w:val="24"/>
          <w:szCs w:val="24"/>
          <w:highlight w:val="none"/>
        </w:rPr>
      </w:pPr>
      <w:r>
        <w:rPr>
          <w:rFonts w:hint="eastAsia" w:ascii="宋体" w:hAnsi="宋体"/>
          <w:b/>
          <w:bCs/>
          <w:color w:val="auto"/>
          <w:sz w:val="24"/>
          <w:szCs w:val="24"/>
          <w:highlight w:val="none"/>
        </w:rPr>
        <w:t>7.投标文件的组成</w:t>
      </w:r>
    </w:p>
    <w:p w14:paraId="658248A0">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7.1投标人编写的投标文件应包括资格条件证明文件、符合条件证明文件、开标一览表、响应及偏离表、其他证明文件、分项报价表等部分。</w:t>
      </w:r>
    </w:p>
    <w:p w14:paraId="4589FB82">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7.2 如标书制作工具中格式和内容与“江苏政府采购网”发布的招标文件不一致，以“江苏政府采购网”发布的招标文件为准。</w:t>
      </w:r>
    </w:p>
    <w:p w14:paraId="436078A0">
      <w:pPr>
        <w:widowControl/>
        <w:shd w:val="clear" w:color="auto" w:fill="FFFFFF"/>
        <w:spacing w:line="360" w:lineRule="auto"/>
        <w:ind w:firstLine="422"/>
        <w:rPr>
          <w:rFonts w:hint="eastAsia" w:ascii="宋体" w:hAnsi="宋体" w:cs="方正楷体_GBK"/>
          <w:color w:val="auto"/>
          <w:sz w:val="24"/>
          <w:szCs w:val="24"/>
          <w:highlight w:val="none"/>
        </w:rPr>
      </w:pPr>
      <w:r>
        <w:rPr>
          <w:rFonts w:hint="eastAsia" w:ascii="宋体" w:hAnsi="宋体"/>
          <w:b/>
          <w:bCs/>
          <w:color w:val="auto"/>
          <w:sz w:val="24"/>
          <w:szCs w:val="24"/>
          <w:highlight w:val="none"/>
        </w:rPr>
        <w:t>8</w:t>
      </w:r>
      <w:r>
        <w:rPr>
          <w:rFonts w:ascii="宋体" w:hAnsi="宋体" w:cs="方正楷体_GBK"/>
          <w:b/>
          <w:bCs/>
          <w:color w:val="auto"/>
          <w:sz w:val="24"/>
          <w:szCs w:val="24"/>
          <w:highlight w:val="none"/>
        </w:rPr>
        <w:t>.证明投标人及投标标的符合招标文件规定的文件</w:t>
      </w:r>
    </w:p>
    <w:p w14:paraId="0DDD57F6">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8.1 投标人应按照法律、法规、规章和规范性文件以及招标文件要求提交证明文件，证明其投标标的符合招标文件规定。</w:t>
      </w:r>
    </w:p>
    <w:p w14:paraId="58F16454">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8.2 招标文件对证明文件无明确形式要求的，证明文件可以以文字资料、图纸和数据等形式提交。</w:t>
      </w:r>
    </w:p>
    <w:p w14:paraId="07B999DD">
      <w:pPr>
        <w:widowControl/>
        <w:shd w:val="clear" w:color="auto" w:fill="FFFFFF"/>
        <w:spacing w:line="360" w:lineRule="auto"/>
        <w:ind w:firstLine="422"/>
        <w:jc w:val="left"/>
        <w:rPr>
          <w:rFonts w:hint="eastAsia" w:ascii="宋体" w:hAnsi="宋体" w:cs="方正楷体_GBK"/>
          <w:color w:val="auto"/>
          <w:sz w:val="24"/>
          <w:szCs w:val="24"/>
          <w:highlight w:val="none"/>
        </w:rPr>
      </w:pPr>
      <w:r>
        <w:rPr>
          <w:rFonts w:hint="eastAsia" w:ascii="宋体" w:hAnsi="宋体"/>
          <w:b/>
          <w:bCs/>
          <w:color w:val="auto"/>
          <w:sz w:val="24"/>
          <w:szCs w:val="24"/>
          <w:highlight w:val="none"/>
        </w:rPr>
        <w:t>9</w:t>
      </w:r>
      <w:r>
        <w:rPr>
          <w:rFonts w:ascii="宋体" w:hAnsi="宋体" w:cs="方正楷体_GBK"/>
          <w:b/>
          <w:bCs/>
          <w:color w:val="auto"/>
          <w:sz w:val="24"/>
          <w:szCs w:val="24"/>
          <w:highlight w:val="none"/>
        </w:rPr>
        <w:t>.</w:t>
      </w:r>
      <w:r>
        <w:rPr>
          <w:rFonts w:hint="eastAsia" w:ascii="宋体" w:hAnsi="宋体"/>
          <w:b/>
          <w:bCs/>
          <w:color w:val="auto"/>
          <w:sz w:val="24"/>
          <w:szCs w:val="24"/>
          <w:highlight w:val="none"/>
        </w:rPr>
        <w:t xml:space="preserve"> 投标货币</w:t>
      </w:r>
    </w:p>
    <w:p w14:paraId="35E5C7E5">
      <w:pPr>
        <w:widowControl/>
        <w:shd w:val="clear" w:color="auto" w:fill="FFFFFF"/>
        <w:spacing w:line="360" w:lineRule="auto"/>
        <w:ind w:right="210" w:firstLine="420"/>
        <w:jc w:val="left"/>
        <w:rPr>
          <w:rFonts w:hint="eastAsia" w:ascii="宋体" w:hAnsi="宋体"/>
          <w:color w:val="auto"/>
          <w:sz w:val="24"/>
          <w:szCs w:val="24"/>
          <w:highlight w:val="none"/>
        </w:rPr>
      </w:pPr>
      <w:r>
        <w:rPr>
          <w:rFonts w:hint="eastAsia" w:ascii="宋体" w:hAnsi="宋体"/>
          <w:color w:val="auto"/>
          <w:sz w:val="24"/>
          <w:szCs w:val="24"/>
          <w:highlight w:val="none"/>
        </w:rPr>
        <w:t>9.1投标文件中的单价和总价无特殊规定的采用人民币报价，以元为单位标注。招标文件中另有规定的按规定执行。</w:t>
      </w:r>
    </w:p>
    <w:p w14:paraId="39216481">
      <w:pPr>
        <w:widowControl/>
        <w:shd w:val="clear" w:color="auto" w:fill="FFFFFF"/>
        <w:spacing w:line="360" w:lineRule="auto"/>
        <w:ind w:firstLine="422"/>
        <w:jc w:val="left"/>
        <w:rPr>
          <w:rFonts w:hint="eastAsia" w:ascii="宋体" w:hAnsi="宋体" w:cs="方正楷体_GBK"/>
          <w:color w:val="auto"/>
          <w:sz w:val="24"/>
          <w:szCs w:val="24"/>
          <w:highlight w:val="none"/>
        </w:rPr>
      </w:pPr>
      <w:r>
        <w:rPr>
          <w:rFonts w:hint="eastAsia" w:ascii="宋体" w:hAnsi="宋体"/>
          <w:b/>
          <w:bCs/>
          <w:color w:val="auto"/>
          <w:sz w:val="24"/>
          <w:szCs w:val="24"/>
          <w:highlight w:val="none"/>
        </w:rPr>
        <w:t>10</w:t>
      </w:r>
      <w:r>
        <w:rPr>
          <w:rFonts w:ascii="宋体" w:hAnsi="宋体" w:cs="方正楷体_GBK"/>
          <w:b/>
          <w:bCs/>
          <w:color w:val="auto"/>
          <w:sz w:val="24"/>
          <w:szCs w:val="24"/>
          <w:highlight w:val="none"/>
        </w:rPr>
        <w:t>.响应及偏离表</w:t>
      </w:r>
    </w:p>
    <w:p w14:paraId="7F9857ED">
      <w:pPr>
        <w:widowControl/>
        <w:shd w:val="clear" w:color="auto" w:fill="FFFFFF"/>
        <w:spacing w:line="360" w:lineRule="auto"/>
        <w:ind w:right="210" w:firstLine="420"/>
        <w:jc w:val="left"/>
        <w:rPr>
          <w:rFonts w:hint="eastAsia" w:ascii="宋体" w:hAnsi="宋体"/>
          <w:color w:val="auto"/>
          <w:sz w:val="24"/>
          <w:szCs w:val="24"/>
          <w:highlight w:val="none"/>
        </w:rPr>
      </w:pPr>
      <w:r>
        <w:rPr>
          <w:rFonts w:hint="eastAsia" w:ascii="宋体" w:hAnsi="宋体"/>
          <w:color w:val="auto"/>
          <w:sz w:val="24"/>
          <w:szCs w:val="24"/>
          <w:highlight w:val="none"/>
        </w:rPr>
        <w:t>10.1 投标人需对招标文件中的技术要求与商务要求逐项作出响应或偏离说明。</w:t>
      </w:r>
    </w:p>
    <w:p w14:paraId="17D177FD">
      <w:pPr>
        <w:widowControl/>
        <w:shd w:val="clear" w:color="auto" w:fill="FFFFFF"/>
        <w:spacing w:line="360" w:lineRule="auto"/>
        <w:ind w:right="210" w:firstLine="420"/>
        <w:jc w:val="left"/>
        <w:rPr>
          <w:rFonts w:hint="eastAsia" w:ascii="宋体" w:hAnsi="宋体"/>
          <w:color w:val="auto"/>
          <w:sz w:val="24"/>
          <w:szCs w:val="24"/>
          <w:highlight w:val="none"/>
        </w:rPr>
      </w:pPr>
      <w:r>
        <w:rPr>
          <w:rFonts w:hint="eastAsia" w:ascii="宋体" w:hAnsi="宋体"/>
          <w:color w:val="auto"/>
          <w:sz w:val="24"/>
          <w:szCs w:val="24"/>
          <w:highlight w:val="none"/>
        </w:rPr>
        <w:t>10.2 投标人可以在投标文件中提供认为需要的其他技术文件或说明。</w:t>
      </w:r>
    </w:p>
    <w:p w14:paraId="70C8C537">
      <w:pPr>
        <w:widowControl/>
        <w:shd w:val="clear" w:color="auto" w:fill="FFFFFF"/>
        <w:spacing w:line="360" w:lineRule="auto"/>
        <w:ind w:firstLine="422"/>
        <w:jc w:val="left"/>
        <w:rPr>
          <w:rFonts w:hint="eastAsia" w:ascii="宋体" w:hAnsi="宋体" w:cs="方正楷体_GBK"/>
          <w:color w:val="auto"/>
          <w:sz w:val="24"/>
          <w:szCs w:val="24"/>
          <w:highlight w:val="none"/>
        </w:rPr>
      </w:pPr>
      <w:r>
        <w:rPr>
          <w:rFonts w:ascii="宋体" w:hAnsi="宋体" w:cs="方正楷体_GBK"/>
          <w:b/>
          <w:bCs/>
          <w:color w:val="auto"/>
          <w:sz w:val="24"/>
          <w:szCs w:val="24"/>
          <w:highlight w:val="none"/>
        </w:rPr>
        <w:t>1</w:t>
      </w:r>
      <w:r>
        <w:rPr>
          <w:rFonts w:hint="eastAsia" w:ascii="宋体" w:hAnsi="宋体"/>
          <w:b/>
          <w:bCs/>
          <w:color w:val="auto"/>
          <w:sz w:val="24"/>
          <w:szCs w:val="24"/>
          <w:highlight w:val="none"/>
        </w:rPr>
        <w:t>1</w:t>
      </w:r>
      <w:r>
        <w:rPr>
          <w:rFonts w:ascii="宋体" w:hAnsi="宋体" w:cs="方正楷体_GBK"/>
          <w:b/>
          <w:bCs/>
          <w:color w:val="auto"/>
          <w:sz w:val="24"/>
          <w:szCs w:val="24"/>
          <w:highlight w:val="none"/>
        </w:rPr>
        <w:t>.投标函和开标一览表</w:t>
      </w:r>
    </w:p>
    <w:p w14:paraId="6335C699">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11.1 投标人应按照招标文件规定格式完整、正确填报投标函、开标一览表。</w:t>
      </w:r>
    </w:p>
    <w:p w14:paraId="0E10249E">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11.2 对于采用货币报价的项目，开标一览表中的投标总价应与分项报价表中的投标总价一致，如不一致不作为无效投标处理，评标时以开标一览表中价格为准。</w:t>
      </w:r>
    </w:p>
    <w:p w14:paraId="43A9EE56">
      <w:pPr>
        <w:widowControl/>
        <w:shd w:val="clear" w:color="auto" w:fill="FFFFFF"/>
        <w:spacing w:line="360" w:lineRule="auto"/>
        <w:ind w:firstLine="422"/>
        <w:rPr>
          <w:rFonts w:hint="eastAsia" w:ascii="宋体" w:hAnsi="宋体"/>
          <w:b/>
          <w:bCs/>
          <w:color w:val="auto"/>
          <w:sz w:val="24"/>
          <w:szCs w:val="24"/>
          <w:highlight w:val="none"/>
        </w:rPr>
      </w:pPr>
      <w:r>
        <w:rPr>
          <w:rFonts w:hint="eastAsia" w:ascii="宋体" w:hAnsi="宋体"/>
          <w:b/>
          <w:bCs/>
          <w:color w:val="auto"/>
          <w:sz w:val="24"/>
          <w:szCs w:val="24"/>
          <w:highlight w:val="none"/>
        </w:rPr>
        <w:t>12.投标保证金</w:t>
      </w:r>
    </w:p>
    <w:p w14:paraId="1E70962F">
      <w:pPr>
        <w:widowControl/>
        <w:shd w:val="clear" w:color="auto" w:fill="FFFFFF"/>
        <w:spacing w:line="360" w:lineRule="auto"/>
        <w:ind w:firstLine="420"/>
        <w:rPr>
          <w:rFonts w:hint="eastAsia" w:ascii="宋体" w:hAnsi="宋体"/>
          <w:b/>
          <w:bCs/>
          <w:color w:val="auto"/>
          <w:sz w:val="24"/>
          <w:szCs w:val="24"/>
          <w:highlight w:val="none"/>
        </w:rPr>
      </w:pPr>
      <w:r>
        <w:rPr>
          <w:rFonts w:ascii="宋体" w:hAnsi="宋体"/>
          <w:color w:val="auto"/>
          <w:sz w:val="24"/>
          <w:szCs w:val="24"/>
          <w:highlight w:val="none"/>
        </w:rPr>
        <w:t>12.1</w:t>
      </w:r>
      <w:r>
        <w:rPr>
          <w:rFonts w:hint="eastAsia" w:ascii="宋体" w:hAnsi="宋体"/>
          <w:bCs/>
          <w:color w:val="auto"/>
          <w:sz w:val="24"/>
          <w:szCs w:val="24"/>
          <w:highlight w:val="none"/>
        </w:rPr>
        <w:t>本项目不收取投标保证金。</w:t>
      </w:r>
    </w:p>
    <w:p w14:paraId="5F6D23F7">
      <w:pPr>
        <w:widowControl/>
        <w:shd w:val="clear" w:color="auto" w:fill="FFFFFF"/>
        <w:spacing w:line="360" w:lineRule="auto"/>
        <w:ind w:firstLine="422"/>
        <w:rPr>
          <w:rFonts w:hint="eastAsia" w:ascii="宋体" w:hAnsi="宋体"/>
          <w:b/>
          <w:bCs/>
          <w:color w:val="auto"/>
          <w:sz w:val="24"/>
          <w:szCs w:val="24"/>
          <w:highlight w:val="none"/>
        </w:rPr>
      </w:pPr>
      <w:r>
        <w:rPr>
          <w:rFonts w:hint="eastAsia" w:ascii="宋体" w:hAnsi="宋体"/>
          <w:b/>
          <w:bCs/>
          <w:color w:val="auto"/>
          <w:sz w:val="24"/>
          <w:szCs w:val="24"/>
          <w:highlight w:val="none"/>
        </w:rPr>
        <w:t>13.投标有效期</w:t>
      </w:r>
    </w:p>
    <w:p w14:paraId="7B803678">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13.1 自开标之日起</w:t>
      </w:r>
      <w:r>
        <w:rPr>
          <w:rFonts w:ascii="宋体" w:hAnsi="宋体"/>
          <w:color w:val="auto"/>
          <w:sz w:val="24"/>
          <w:szCs w:val="24"/>
          <w:highlight w:val="none"/>
        </w:rPr>
        <w:t>90</w:t>
      </w:r>
      <w:r>
        <w:rPr>
          <w:rFonts w:hint="eastAsia" w:ascii="宋体" w:hAnsi="宋体"/>
          <w:color w:val="auto"/>
          <w:sz w:val="24"/>
          <w:szCs w:val="24"/>
          <w:highlight w:val="none"/>
        </w:rPr>
        <w:t>天内投标有效，投标有效期从提交投标文件的截止之日起算，投标文件中承诺的投标有效期应当不少于招标文件中载明的投标有效期。</w:t>
      </w:r>
    </w:p>
    <w:p w14:paraId="7149FC20">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13.2 特殊情况下，在原投标有效期截止之前，采购代理机构可要求投标人同意延长投标有效期，这种要求与答复均应以书面形式提交。</w:t>
      </w:r>
      <w:bookmarkStart w:id="36" w:name="OLE_LINK7"/>
      <w:r>
        <w:rPr>
          <w:rFonts w:hint="eastAsia" w:ascii="宋体" w:hAnsi="宋体"/>
          <w:color w:val="auto"/>
          <w:sz w:val="24"/>
          <w:szCs w:val="24"/>
          <w:highlight w:val="none"/>
        </w:rPr>
        <w:t>投标人可以拒绝采购代理机构的这一要求而放弃投标</w:t>
      </w:r>
      <w:bookmarkEnd w:id="36"/>
      <w:r>
        <w:rPr>
          <w:rFonts w:hint="eastAsia" w:ascii="宋体" w:hAnsi="宋体"/>
          <w:color w:val="auto"/>
          <w:sz w:val="24"/>
          <w:szCs w:val="24"/>
          <w:highlight w:val="none"/>
        </w:rPr>
        <w:t>。同意延长投标有效期的投标人既不能要求也不允许修改其投标文件，同时受投标有效期约束的所有权利与义务均延长至新的有效期满。</w:t>
      </w:r>
    </w:p>
    <w:p w14:paraId="0DA6B4D0">
      <w:pPr>
        <w:widowControl/>
        <w:shd w:val="clear" w:color="auto" w:fill="FFFFFF"/>
        <w:spacing w:line="360" w:lineRule="auto"/>
        <w:ind w:firstLine="422"/>
        <w:rPr>
          <w:rFonts w:hint="eastAsia" w:ascii="宋体" w:hAnsi="宋体"/>
          <w:color w:val="auto"/>
          <w:sz w:val="24"/>
          <w:szCs w:val="24"/>
          <w:highlight w:val="none"/>
        </w:rPr>
      </w:pPr>
      <w:r>
        <w:rPr>
          <w:rFonts w:hint="eastAsia" w:ascii="宋体" w:hAnsi="宋体"/>
          <w:b/>
          <w:bCs/>
          <w:color w:val="auto"/>
          <w:sz w:val="24"/>
          <w:szCs w:val="24"/>
          <w:highlight w:val="none"/>
        </w:rPr>
        <w:t>14.投标费用</w:t>
      </w:r>
    </w:p>
    <w:p w14:paraId="1460705D">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14.1 投标人应承担所有与准备和参加投标有关的费用，无论采购结果如何，采购代理机构和采购人在任何情况下均无义务和责任承担这些费用。</w:t>
      </w:r>
    </w:p>
    <w:p w14:paraId="1EBCBC22">
      <w:pPr>
        <w:widowControl/>
        <w:shd w:val="clear" w:color="auto" w:fill="FFFFFF"/>
        <w:spacing w:line="360" w:lineRule="auto"/>
        <w:ind w:firstLine="420"/>
        <w:rPr>
          <w:rFonts w:hint="eastAsia" w:ascii="宋体" w:hAnsi="宋体"/>
          <w:b/>
          <w:color w:val="auto"/>
          <w:sz w:val="24"/>
          <w:szCs w:val="24"/>
          <w:highlight w:val="none"/>
        </w:rPr>
      </w:pPr>
      <w:r>
        <w:rPr>
          <w:rFonts w:hint="eastAsia" w:ascii="宋体" w:hAnsi="宋体"/>
          <w:b/>
          <w:color w:val="auto"/>
          <w:sz w:val="24"/>
          <w:szCs w:val="24"/>
          <w:highlight w:val="none"/>
        </w:rPr>
        <w:t>14.2 采购代理服务费</w:t>
      </w:r>
    </w:p>
    <w:p w14:paraId="3658C961">
      <w:pPr>
        <w:widowControl/>
        <w:shd w:val="clear" w:color="auto" w:fill="FFFFFF"/>
        <w:spacing w:line="360" w:lineRule="auto"/>
        <w:ind w:firstLine="420"/>
        <w:rPr>
          <w:rFonts w:hint="eastAsia" w:ascii="宋体" w:hAnsi="宋体"/>
          <w:color w:val="auto"/>
          <w:sz w:val="24"/>
          <w:szCs w:val="24"/>
          <w:highlight w:val="none"/>
          <w:lang w:val="zh-CN" w:eastAsia="zh-CN"/>
        </w:rPr>
      </w:pPr>
      <w:r>
        <w:rPr>
          <w:rFonts w:hint="eastAsia" w:ascii="宋体" w:hAnsi="宋体"/>
          <w:color w:val="auto"/>
          <w:sz w:val="24"/>
          <w:szCs w:val="24"/>
          <w:highlight w:val="none"/>
          <w:lang w:val="zh-CN" w:eastAsia="zh-CN"/>
        </w:rPr>
        <w:t>招标代理费由中标人支付。由投标人在投标报价中包含在综合单价内自行考虑，无论投标人是否计取，中标后均应向代理公司缴纳以上费用，招标代理服务费按计价格〔2002〕1980号文的6</w:t>
      </w:r>
      <w:r>
        <w:rPr>
          <w:rFonts w:hint="eastAsia" w:ascii="宋体" w:hAnsi="宋体"/>
          <w:color w:val="auto"/>
          <w:sz w:val="24"/>
          <w:szCs w:val="24"/>
          <w:highlight w:val="none"/>
          <w:lang w:val="en-US" w:eastAsia="zh-CN"/>
        </w:rPr>
        <w:t>7.5</w:t>
      </w:r>
      <w:r>
        <w:rPr>
          <w:rFonts w:hint="eastAsia" w:ascii="宋体" w:hAnsi="宋体"/>
          <w:color w:val="auto"/>
          <w:sz w:val="24"/>
          <w:szCs w:val="24"/>
          <w:highlight w:val="none"/>
          <w:lang w:val="zh-CN" w:eastAsia="zh-CN"/>
        </w:rPr>
        <w:t>％计取。</w:t>
      </w:r>
    </w:p>
    <w:p w14:paraId="683DE9D3">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四、投标文件的提交</w:t>
      </w:r>
    </w:p>
    <w:p w14:paraId="4E80535D">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15.投标文件的提交</w:t>
      </w:r>
    </w:p>
    <w:p w14:paraId="2DEC3277">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15.1 投标人应当按照《操作手册》规定，在招标公告规定的投标截止时间前制作并上传电子投标文件。</w:t>
      </w:r>
    </w:p>
    <w:p w14:paraId="45C93BAE">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15.2 投标人应充分考虑网络环境、网络带宽等因素可能对投标产生的影响，如因投标人自身原因造成的电子投标文件上传不成功的，按照本招标文件第二章第20.2.3.1条规定做无效投标处理。</w:t>
      </w:r>
    </w:p>
    <w:p w14:paraId="72BC0983">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15.3 采购代理机构可以按照规定，通过修改招标文件酌情延长投标截止时间，在此情况下，投标人的所有权利和义务均以延长后新的截止时间为准。</w:t>
      </w:r>
    </w:p>
    <w:p w14:paraId="7B46B6E3">
      <w:pPr>
        <w:widowControl/>
        <w:shd w:val="clear" w:color="auto" w:fill="FFFFFF"/>
        <w:spacing w:line="360" w:lineRule="auto"/>
        <w:ind w:firstLine="420"/>
        <w:rPr>
          <w:rFonts w:hint="eastAsia" w:ascii="宋体" w:hAnsi="宋体"/>
          <w:b/>
          <w:bCs/>
          <w:color w:val="auto"/>
          <w:sz w:val="24"/>
          <w:szCs w:val="24"/>
          <w:highlight w:val="none"/>
        </w:rPr>
      </w:pPr>
      <w:r>
        <w:rPr>
          <w:rFonts w:hint="eastAsia" w:ascii="宋体" w:hAnsi="宋体"/>
          <w:b/>
          <w:bCs/>
          <w:color w:val="auto"/>
          <w:sz w:val="24"/>
          <w:szCs w:val="24"/>
          <w:highlight w:val="none"/>
        </w:rPr>
        <w:t>16.投标文件的拒收</w:t>
      </w:r>
    </w:p>
    <w:p w14:paraId="76478E4B">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16.1 采购代理机构拒绝接收投标截止时间后上传的任何投标文件。</w:t>
      </w:r>
    </w:p>
    <w:p w14:paraId="0DA9C97B">
      <w:pPr>
        <w:widowControl/>
        <w:shd w:val="clear" w:color="auto" w:fill="FFFFFF"/>
        <w:spacing w:line="360" w:lineRule="auto"/>
        <w:ind w:firstLine="420"/>
        <w:rPr>
          <w:rFonts w:hint="eastAsia" w:ascii="宋体" w:hAnsi="宋体"/>
          <w:b/>
          <w:bCs/>
          <w:color w:val="auto"/>
          <w:sz w:val="24"/>
          <w:szCs w:val="24"/>
          <w:highlight w:val="none"/>
        </w:rPr>
      </w:pPr>
      <w:r>
        <w:rPr>
          <w:rFonts w:hint="eastAsia" w:ascii="宋体" w:hAnsi="宋体"/>
          <w:b/>
          <w:bCs/>
          <w:color w:val="auto"/>
          <w:sz w:val="24"/>
          <w:szCs w:val="24"/>
          <w:highlight w:val="none"/>
        </w:rPr>
        <w:t>17.投标文件的撤回和修改</w:t>
      </w:r>
    </w:p>
    <w:p w14:paraId="5B7987F7">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17.1 投标文件的撤回</w:t>
      </w:r>
    </w:p>
    <w:p w14:paraId="019B6616">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17.1.1 投标人可在投标截止时间前撤回其电子投标文件，具体操作方法见《操作手册》。</w:t>
      </w:r>
    </w:p>
    <w:p w14:paraId="2855D3A3">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17.1.2 投标人撤回电子投标文件，则认为其不再参与本项目投标活动。</w:t>
      </w:r>
    </w:p>
    <w:p w14:paraId="68D1BD9E">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17.2 投标文件的修改</w:t>
      </w:r>
    </w:p>
    <w:p w14:paraId="11A86DD1">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17.2.1 投标人可在投标截止时间前对其电子投标文件进行修改，具体操作方法见《操作手册》。</w:t>
      </w:r>
    </w:p>
    <w:p w14:paraId="5258587D">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17.2.2 投标截止时间之后，投标人不得对其电子投标文件作任何修改。</w:t>
      </w:r>
    </w:p>
    <w:p w14:paraId="2791477F">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17.3 在投标截止时间至招标文件中规定的投标有效期满之间的这段时间内，投标人不得撤回其投标。</w:t>
      </w:r>
    </w:p>
    <w:p w14:paraId="60D774E9">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18.诚实信用</w:t>
      </w:r>
    </w:p>
    <w:p w14:paraId="7199FDAB">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18.1投标人应当遵循公平竞争的原则，不得恶意串通，不得妨碍其他投标人的竞争行为，不得损害采购人或者其他投标人的合法权益。</w:t>
      </w:r>
    </w:p>
    <w:p w14:paraId="26C994C3">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18.2在评标过程中发现投标人有上述情形的，评标委员会应当认定其投标无效，并书面报告本级财政部门。</w:t>
      </w:r>
    </w:p>
    <w:p w14:paraId="34DC589B">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五、开标、评标与定标</w:t>
      </w:r>
    </w:p>
    <w:p w14:paraId="45AF2A48">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19.开标</w:t>
      </w:r>
    </w:p>
    <w:p w14:paraId="3FF7566F">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19.1 采购代理机构在招标公告中规定的时间和地点组织公开开标。投标人按照《操作手册》规定参加开标活动，并在苏采云系统规定的时间内对投标文件进行解密。苏采云系统公布各投标人名称和投标价格。</w:t>
      </w:r>
    </w:p>
    <w:p w14:paraId="4B9DFAF6">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19.2 投标人在开标过程中涉及到的投标文件解密、开标结果确认等工作，应按照《操作手册》规定执行。</w:t>
      </w:r>
    </w:p>
    <w:p w14:paraId="6B86B108">
      <w:pPr>
        <w:spacing w:line="360" w:lineRule="auto"/>
        <w:ind w:firstLine="424"/>
        <w:rPr>
          <w:rFonts w:hint="eastAsia" w:ascii="宋体" w:hAnsi="宋体"/>
          <w:bCs/>
          <w:color w:val="auto"/>
          <w:sz w:val="24"/>
          <w:szCs w:val="24"/>
          <w:highlight w:val="none"/>
        </w:rPr>
      </w:pPr>
      <w:r>
        <w:rPr>
          <w:rFonts w:hint="eastAsia" w:ascii="宋体" w:hAnsi="宋体"/>
          <w:color w:val="auto"/>
          <w:sz w:val="24"/>
          <w:szCs w:val="24"/>
          <w:highlight w:val="none"/>
        </w:rPr>
        <w:t>19.3 投标人如果对开标过程和开标结果有疑义，应当根据《操作手册》规定提出，苏采云系统中《开标一览表》公布后5分钟内未提出的，视同认可开标结果。</w:t>
      </w:r>
    </w:p>
    <w:p w14:paraId="076481FF">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 xml:space="preserve">20.评标 </w:t>
      </w:r>
    </w:p>
    <w:p w14:paraId="313A45E1">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 xml:space="preserve">20.1 评标委员会 </w:t>
      </w:r>
    </w:p>
    <w:p w14:paraId="043973DE">
      <w:pPr>
        <w:widowControl/>
        <w:shd w:val="clear" w:color="auto" w:fill="FFFFFF"/>
        <w:spacing w:line="360" w:lineRule="auto"/>
        <w:ind w:firstLine="420"/>
        <w:rPr>
          <w:rFonts w:hint="eastAsia"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0</w:t>
      </w:r>
      <w:r>
        <w:rPr>
          <w:rFonts w:ascii="宋体" w:hAnsi="宋体"/>
          <w:color w:val="auto"/>
          <w:sz w:val="24"/>
          <w:szCs w:val="24"/>
          <w:highlight w:val="none"/>
        </w:rPr>
        <w:t>.1.1</w:t>
      </w:r>
      <w:r>
        <w:rPr>
          <w:rFonts w:hint="eastAsia" w:ascii="宋体" w:hAnsi="宋体"/>
          <w:color w:val="auto"/>
          <w:sz w:val="24"/>
          <w:szCs w:val="24"/>
          <w:highlight w:val="none"/>
        </w:rPr>
        <w:t>评标委员会负责具体评标事务，并独立履行下列职责：</w:t>
      </w:r>
    </w:p>
    <w:p w14:paraId="3F4C982F">
      <w:pPr>
        <w:widowControl/>
        <w:shd w:val="clear" w:color="auto" w:fill="FFFFFF"/>
        <w:spacing w:line="360" w:lineRule="auto"/>
        <w:ind w:firstLine="420"/>
        <w:rPr>
          <w:rFonts w:hint="eastAsia" w:ascii="宋体" w:hAnsi="宋体"/>
          <w:bCs/>
          <w:color w:val="auto"/>
          <w:sz w:val="24"/>
          <w:szCs w:val="24"/>
          <w:highlight w:val="none"/>
        </w:rPr>
      </w:pPr>
      <w:r>
        <w:rPr>
          <w:rFonts w:hint="eastAsia" w:ascii="宋体" w:hAnsi="宋体"/>
          <w:bCs/>
          <w:color w:val="auto"/>
          <w:sz w:val="24"/>
          <w:szCs w:val="24"/>
          <w:highlight w:val="none"/>
        </w:rPr>
        <w:t>（1）审查、评价投标文件是否符合招标文件的商务、技术等实质性要求；</w:t>
      </w:r>
    </w:p>
    <w:p w14:paraId="28CB9883">
      <w:pPr>
        <w:widowControl/>
        <w:shd w:val="clear" w:color="auto" w:fill="FFFFFF"/>
        <w:spacing w:line="360" w:lineRule="auto"/>
        <w:ind w:firstLine="420"/>
        <w:rPr>
          <w:rFonts w:hint="eastAsia" w:ascii="宋体" w:hAnsi="宋体"/>
          <w:bCs/>
          <w:color w:val="auto"/>
          <w:sz w:val="24"/>
          <w:szCs w:val="24"/>
          <w:highlight w:val="none"/>
        </w:rPr>
      </w:pPr>
      <w:r>
        <w:rPr>
          <w:rFonts w:hint="eastAsia" w:ascii="宋体" w:hAnsi="宋体"/>
          <w:bCs/>
          <w:color w:val="auto"/>
          <w:sz w:val="24"/>
          <w:szCs w:val="24"/>
          <w:highlight w:val="none"/>
        </w:rPr>
        <w:t>（2）要求投标人对投标文件有关事项作出澄清或者说明；</w:t>
      </w:r>
    </w:p>
    <w:p w14:paraId="44516E06">
      <w:pPr>
        <w:widowControl/>
        <w:shd w:val="clear" w:color="auto" w:fill="FFFFFF"/>
        <w:spacing w:line="360" w:lineRule="auto"/>
        <w:ind w:firstLine="420"/>
        <w:rPr>
          <w:rFonts w:hint="eastAsia" w:ascii="宋体" w:hAnsi="宋体"/>
          <w:bCs/>
          <w:color w:val="auto"/>
          <w:sz w:val="24"/>
          <w:szCs w:val="24"/>
          <w:highlight w:val="none"/>
        </w:rPr>
      </w:pPr>
      <w:r>
        <w:rPr>
          <w:rFonts w:hint="eastAsia" w:ascii="宋体" w:hAnsi="宋体"/>
          <w:bCs/>
          <w:color w:val="auto"/>
          <w:sz w:val="24"/>
          <w:szCs w:val="24"/>
          <w:highlight w:val="none"/>
        </w:rPr>
        <w:t>（3）对投标文件进行比较和评价；</w:t>
      </w:r>
    </w:p>
    <w:p w14:paraId="35008D15">
      <w:pPr>
        <w:widowControl/>
        <w:shd w:val="clear" w:color="auto" w:fill="FFFFFF"/>
        <w:spacing w:line="360" w:lineRule="auto"/>
        <w:ind w:firstLine="420"/>
        <w:rPr>
          <w:rFonts w:hint="eastAsia" w:ascii="宋体" w:hAnsi="宋体"/>
          <w:bCs/>
          <w:color w:val="auto"/>
          <w:sz w:val="24"/>
          <w:szCs w:val="24"/>
          <w:highlight w:val="none"/>
        </w:rPr>
      </w:pPr>
      <w:r>
        <w:rPr>
          <w:rFonts w:hint="eastAsia" w:ascii="宋体" w:hAnsi="宋体"/>
          <w:bCs/>
          <w:color w:val="auto"/>
          <w:sz w:val="24"/>
          <w:szCs w:val="24"/>
          <w:highlight w:val="none"/>
        </w:rPr>
        <w:t>（4）确定中标候选人名单，以及根据采购人委托直接确定中标人；</w:t>
      </w:r>
    </w:p>
    <w:p w14:paraId="112B5F72">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Cs/>
          <w:color w:val="auto"/>
          <w:sz w:val="24"/>
          <w:szCs w:val="24"/>
          <w:highlight w:val="none"/>
        </w:rPr>
        <w:t>（5）向采购人、采购代理机构或者有关部门报告评标中发现的违法行为。</w:t>
      </w:r>
    </w:p>
    <w:p w14:paraId="6B1D89D2">
      <w:pPr>
        <w:widowControl/>
        <w:shd w:val="clear" w:color="auto" w:fill="FFFFFF"/>
        <w:spacing w:line="360" w:lineRule="auto"/>
        <w:ind w:firstLine="420"/>
        <w:rPr>
          <w:rFonts w:hint="eastAsia"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0</w:t>
      </w:r>
      <w:r>
        <w:rPr>
          <w:rFonts w:ascii="宋体" w:hAnsi="宋体"/>
          <w:color w:val="auto"/>
          <w:sz w:val="24"/>
          <w:szCs w:val="24"/>
          <w:highlight w:val="none"/>
        </w:rPr>
        <w:t xml:space="preserve">.1.2 </w:t>
      </w:r>
      <w:r>
        <w:rPr>
          <w:rFonts w:hint="eastAsia" w:ascii="宋体" w:hAnsi="宋体"/>
          <w:color w:val="auto"/>
          <w:sz w:val="24"/>
          <w:szCs w:val="24"/>
          <w:highlight w:val="none"/>
        </w:rPr>
        <w:t>评标委员会由采购人代表和有关技术、经济等方面的专家组成，独立开展评审工作。</w:t>
      </w:r>
    </w:p>
    <w:p w14:paraId="17E82135">
      <w:pPr>
        <w:widowControl/>
        <w:shd w:val="clear" w:color="auto" w:fill="FFFFFF"/>
        <w:spacing w:line="360" w:lineRule="auto"/>
        <w:ind w:firstLine="420"/>
        <w:jc w:val="left"/>
        <w:rPr>
          <w:rFonts w:hint="eastAsia" w:ascii="宋体" w:hAnsi="宋体"/>
          <w:b/>
          <w:bCs/>
          <w:color w:val="auto"/>
          <w:sz w:val="24"/>
          <w:szCs w:val="24"/>
          <w:highlight w:val="none"/>
        </w:rPr>
      </w:pPr>
      <w:r>
        <w:rPr>
          <w:rFonts w:hint="eastAsia" w:ascii="宋体" w:hAnsi="宋体"/>
          <w:b/>
          <w:bCs/>
          <w:color w:val="auto"/>
          <w:sz w:val="24"/>
          <w:szCs w:val="24"/>
          <w:highlight w:val="none"/>
        </w:rPr>
        <w:t>20.2  评标程序</w:t>
      </w:r>
    </w:p>
    <w:p w14:paraId="0B3B8A43">
      <w:pPr>
        <w:widowControl/>
        <w:shd w:val="clear" w:color="auto" w:fill="FFFFFF"/>
        <w:spacing w:line="360" w:lineRule="auto"/>
        <w:ind w:firstLine="420"/>
        <w:jc w:val="left"/>
        <w:rPr>
          <w:rFonts w:hint="eastAsia" w:ascii="宋体" w:hAnsi="宋体"/>
          <w:color w:val="auto"/>
          <w:sz w:val="24"/>
          <w:szCs w:val="24"/>
          <w:highlight w:val="none"/>
        </w:rPr>
      </w:pPr>
      <w:r>
        <w:rPr>
          <w:rFonts w:hint="eastAsia" w:ascii="宋体" w:hAnsi="宋体"/>
          <w:color w:val="auto"/>
          <w:sz w:val="24"/>
          <w:szCs w:val="24"/>
          <w:highlight w:val="none"/>
        </w:rPr>
        <w:t>20.</w:t>
      </w:r>
      <w:r>
        <w:rPr>
          <w:rFonts w:hint="eastAsia" w:ascii="宋体" w:hAnsi="宋体" w:cs="宋体"/>
          <w:color w:val="auto"/>
          <w:sz w:val="24"/>
          <w:szCs w:val="24"/>
          <w:highlight w:val="none"/>
        </w:rPr>
        <w:t>2.1</w:t>
      </w:r>
      <w:r>
        <w:rPr>
          <w:rFonts w:hint="eastAsia" w:ascii="宋体" w:hAnsi="宋体"/>
          <w:color w:val="auto"/>
          <w:sz w:val="24"/>
          <w:szCs w:val="24"/>
          <w:highlight w:val="none"/>
        </w:rPr>
        <w:t>投标文件审查分为资格审查和符合性审查。</w:t>
      </w:r>
    </w:p>
    <w:p w14:paraId="3A52429C">
      <w:pPr>
        <w:tabs>
          <w:tab w:val="left" w:pos="4825"/>
        </w:tabs>
        <w:spacing w:line="360" w:lineRule="auto"/>
        <w:ind w:firstLine="422"/>
        <w:jc w:val="left"/>
        <w:rPr>
          <w:rFonts w:hint="eastAsia" w:ascii="宋体" w:hAnsi="宋体" w:cs="宋体"/>
          <w:b/>
          <w:bCs/>
          <w:color w:val="auto"/>
          <w:sz w:val="24"/>
          <w:szCs w:val="24"/>
          <w:highlight w:val="none"/>
        </w:rPr>
      </w:pPr>
      <w:r>
        <w:rPr>
          <w:rFonts w:hint="eastAsia" w:ascii="宋体" w:hAnsi="宋体"/>
          <w:b/>
          <w:bCs/>
          <w:color w:val="auto"/>
          <w:sz w:val="24"/>
          <w:szCs w:val="24"/>
          <w:highlight w:val="none"/>
        </w:rPr>
        <w:t>20.</w:t>
      </w:r>
      <w:r>
        <w:rPr>
          <w:rFonts w:hint="eastAsia" w:ascii="宋体" w:hAnsi="宋体" w:cs="宋体"/>
          <w:b/>
          <w:bCs/>
          <w:color w:val="auto"/>
          <w:sz w:val="24"/>
          <w:szCs w:val="24"/>
          <w:highlight w:val="none"/>
        </w:rPr>
        <w:t>2.2投标文件的资格审查</w:t>
      </w:r>
    </w:p>
    <w:p w14:paraId="73DC75FA">
      <w:pPr>
        <w:tabs>
          <w:tab w:val="left" w:pos="4825"/>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资格审查：依据法律法规和招标文件规定，由采购人或采购代理机构对投标文件中的资格证明文件进行审查，并向评标委员会反馈审查结论。</w:t>
      </w:r>
    </w:p>
    <w:p w14:paraId="77C74074">
      <w:pPr>
        <w:tabs>
          <w:tab w:val="left" w:pos="4825"/>
        </w:tabs>
        <w:spacing w:line="360" w:lineRule="auto"/>
        <w:ind w:firstLine="42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20.2.2.1投标文件有下列情况之一的，在资格审查时按照无效投标处理：</w:t>
      </w:r>
    </w:p>
    <w:p w14:paraId="6295E4A2">
      <w:pPr>
        <w:numPr>
          <w:ilvl w:val="0"/>
          <w:numId w:val="4"/>
        </w:numPr>
        <w:tabs>
          <w:tab w:val="left" w:pos="4825"/>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不具备招标文件中规定资格条件的；</w:t>
      </w:r>
    </w:p>
    <w:p w14:paraId="209187AF">
      <w:pPr>
        <w:tabs>
          <w:tab w:val="left" w:pos="4825"/>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w:t>
      </w:r>
      <w:r>
        <w:rPr>
          <w:rFonts w:hint="eastAsia" w:ascii="宋体" w:hAnsi="宋体" w:cs="宋体"/>
          <w:color w:val="auto"/>
          <w:sz w:val="24"/>
          <w:szCs w:val="24"/>
          <w:highlight w:val="none"/>
        </w:rPr>
        <w:t>）未提供《南京市政府采购供应商信用记录表暨信用承诺书》。</w:t>
      </w:r>
    </w:p>
    <w:p w14:paraId="3AE7073B">
      <w:pPr>
        <w:tabs>
          <w:tab w:val="left" w:pos="4825"/>
        </w:tabs>
        <w:spacing w:line="360" w:lineRule="auto"/>
        <w:ind w:firstLine="42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20.2.3投标文件的符合性检查</w:t>
      </w:r>
    </w:p>
    <w:p w14:paraId="339D7D6D">
      <w:pPr>
        <w:tabs>
          <w:tab w:val="left" w:pos="4825"/>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（1）评标委员会将依据法律法规和招标文件的规定，对投标文件的有效性完整性和对招标文件的响应程度进行审查，以确定是否对招标文件的实质性要求作出响应。</w:t>
      </w:r>
    </w:p>
    <w:p w14:paraId="097EDF55">
      <w:pPr>
        <w:tabs>
          <w:tab w:val="left" w:pos="4825"/>
        </w:tabs>
        <w:spacing w:line="360" w:lineRule="auto"/>
        <w:ind w:firstLine="42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（2）实质性要求是指本招标文件</w:t>
      </w:r>
      <w:bookmarkStart w:id="37" w:name="OLE_LINK9"/>
      <w:r>
        <w:rPr>
          <w:rFonts w:hint="eastAsia" w:ascii="宋体" w:hAnsi="宋体" w:cs="宋体"/>
          <w:b/>
          <w:bCs/>
          <w:color w:val="auto"/>
          <w:sz w:val="24"/>
          <w:szCs w:val="24"/>
          <w:highlight w:val="none"/>
        </w:rPr>
        <w:t>中斜体且有下划线部分，或者打“★”“*”</w:t>
      </w:r>
      <w:bookmarkEnd w:id="37"/>
      <w:r>
        <w:rPr>
          <w:rFonts w:hint="eastAsia" w:ascii="宋体" w:hAnsi="宋体" w:cs="宋体"/>
          <w:b/>
          <w:bCs/>
          <w:color w:val="auto"/>
          <w:sz w:val="24"/>
          <w:szCs w:val="24"/>
          <w:highlight w:val="none"/>
        </w:rPr>
        <w:t>等其他文字说明的商务和技术要求。</w:t>
      </w:r>
    </w:p>
    <w:p w14:paraId="0E8CC780">
      <w:pPr>
        <w:tabs>
          <w:tab w:val="left" w:pos="4825"/>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（3）如果投标文件实质上没有响应招标文件的要求，评标委员会将予以拒绝，投标人不得通过修改或撤销不合要求的偏离或保留而使其投标成为实质性响应的投标。</w:t>
      </w:r>
    </w:p>
    <w:p w14:paraId="44119109">
      <w:pPr>
        <w:tabs>
          <w:tab w:val="left" w:pos="4825"/>
        </w:tabs>
        <w:spacing w:line="360" w:lineRule="auto"/>
        <w:ind w:firstLine="42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20.2.3.1投标文件属于下列情形之一的，在符合性审查时按照无效投标处理：</w:t>
      </w:r>
    </w:p>
    <w:p w14:paraId="19128EAB">
      <w:pPr>
        <w:numPr>
          <w:ilvl w:val="0"/>
          <w:numId w:val="5"/>
        </w:numPr>
        <w:tabs>
          <w:tab w:val="left" w:pos="4825"/>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投标人在苏采云系统规定的时间内未成功解密电子投标文件；</w:t>
      </w:r>
    </w:p>
    <w:p w14:paraId="08D40EA9">
      <w:pPr>
        <w:numPr>
          <w:ilvl w:val="0"/>
          <w:numId w:val="5"/>
        </w:numPr>
        <w:tabs>
          <w:tab w:val="left" w:pos="4825"/>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投标人未按照招标文件要求上传电子投标文件；</w:t>
      </w:r>
    </w:p>
    <w:p w14:paraId="5AA82ECC">
      <w:pPr>
        <w:numPr>
          <w:ilvl w:val="0"/>
          <w:numId w:val="5"/>
        </w:numPr>
        <w:tabs>
          <w:tab w:val="left" w:pos="4825"/>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投标文件未按照招标文件要求加盖电子公章；</w:t>
      </w:r>
    </w:p>
    <w:p w14:paraId="61BA221E">
      <w:pPr>
        <w:numPr>
          <w:ilvl w:val="0"/>
          <w:numId w:val="5"/>
        </w:numPr>
        <w:tabs>
          <w:tab w:val="left" w:pos="4825"/>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不具备招标文件中规定实质性要求的；</w:t>
      </w:r>
    </w:p>
    <w:p w14:paraId="64DCAAAF">
      <w:pPr>
        <w:numPr>
          <w:ilvl w:val="0"/>
          <w:numId w:val="5"/>
        </w:numPr>
        <w:tabs>
          <w:tab w:val="left" w:pos="4825"/>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投标总价超出采购项目预算或者最高限价的；</w:t>
      </w:r>
    </w:p>
    <w:p w14:paraId="14188DD0">
      <w:pPr>
        <w:numPr>
          <w:ilvl w:val="0"/>
          <w:numId w:val="5"/>
        </w:numPr>
        <w:tabs>
          <w:tab w:val="left" w:pos="4825"/>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不同投标人的投标文件由同一单位或者个人编制的；</w:t>
      </w:r>
    </w:p>
    <w:p w14:paraId="1AC511F8">
      <w:pPr>
        <w:numPr>
          <w:ilvl w:val="0"/>
          <w:numId w:val="5"/>
        </w:num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不同投标人委托同一单位或者个人办理投标事宜；</w:t>
      </w:r>
    </w:p>
    <w:p w14:paraId="59E209D5">
      <w:pPr>
        <w:numPr>
          <w:ilvl w:val="0"/>
          <w:numId w:val="5"/>
        </w:num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不同投标人的投标文件载明的项目管理成员或者联系人员为同一人；</w:t>
      </w:r>
    </w:p>
    <w:p w14:paraId="52051043">
      <w:pPr>
        <w:numPr>
          <w:ilvl w:val="0"/>
          <w:numId w:val="5"/>
        </w:num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不同投标人的投标文件异常一致或者投标报价呈规律性差异；</w:t>
      </w:r>
    </w:p>
    <w:p w14:paraId="03C6E890">
      <w:pPr>
        <w:numPr>
          <w:ilvl w:val="0"/>
          <w:numId w:val="5"/>
        </w:num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不同投标人的负责人为同一人或者存在控股、管理关系的；</w:t>
      </w:r>
    </w:p>
    <w:p w14:paraId="3EF7E801">
      <w:pPr>
        <w:numPr>
          <w:ilvl w:val="0"/>
          <w:numId w:val="5"/>
        </w:numPr>
        <w:tabs>
          <w:tab w:val="left" w:pos="4825"/>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14:paraId="41B173F9">
      <w:pPr>
        <w:numPr>
          <w:ilvl w:val="0"/>
          <w:numId w:val="5"/>
        </w:num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投标文件含有采购人不能接受的附加条件的；</w:t>
      </w:r>
    </w:p>
    <w:p w14:paraId="7422E9A0">
      <w:pPr>
        <w:numPr>
          <w:ilvl w:val="0"/>
          <w:numId w:val="5"/>
        </w:num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不符合法律、法规和招标文件规定的其他实质性要求的。</w:t>
      </w:r>
    </w:p>
    <w:p w14:paraId="37865461">
      <w:pPr>
        <w:widowControl/>
        <w:shd w:val="clear" w:color="auto" w:fill="FFFFFF"/>
        <w:spacing w:line="360" w:lineRule="auto"/>
        <w:ind w:firstLine="422"/>
        <w:jc w:val="left"/>
        <w:rPr>
          <w:rFonts w:hint="eastAsia" w:ascii="宋体" w:hAnsi="宋体" w:cs="宋体"/>
          <w:b/>
          <w:bCs/>
          <w:color w:val="auto"/>
          <w:sz w:val="24"/>
          <w:szCs w:val="24"/>
          <w:highlight w:val="none"/>
        </w:rPr>
      </w:pPr>
      <w:r>
        <w:rPr>
          <w:rFonts w:hint="eastAsia" w:ascii="宋体" w:hAnsi="宋体"/>
          <w:b/>
          <w:bCs/>
          <w:color w:val="auto"/>
          <w:sz w:val="24"/>
          <w:szCs w:val="24"/>
          <w:highlight w:val="none"/>
        </w:rPr>
        <w:t>20.</w:t>
      </w:r>
      <w:r>
        <w:rPr>
          <w:rFonts w:hint="eastAsia" w:ascii="宋体" w:hAnsi="宋体" w:cs="宋体"/>
          <w:b/>
          <w:bCs/>
          <w:color w:val="auto"/>
          <w:sz w:val="24"/>
          <w:szCs w:val="24"/>
          <w:highlight w:val="none"/>
        </w:rPr>
        <w:t>2.4有下列情形之一的予以废标：</w:t>
      </w:r>
    </w:p>
    <w:p w14:paraId="76D145C5">
      <w:pPr>
        <w:widowControl/>
        <w:shd w:val="clear" w:color="auto" w:fill="FFFFFF"/>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（1）符合资格条件的投标人或者对招标文件作实质性响应的投标人不足三家的；</w:t>
      </w:r>
    </w:p>
    <w:p w14:paraId="47F745AC">
      <w:pPr>
        <w:widowControl/>
        <w:shd w:val="clear" w:color="auto" w:fill="FFFFFF"/>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（2）出现影响采购公正的违法、违规行为的；</w:t>
      </w:r>
    </w:p>
    <w:p w14:paraId="041E1525">
      <w:pPr>
        <w:widowControl/>
        <w:shd w:val="clear" w:color="auto" w:fill="FFFFFF"/>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（3）因重大变故，采购任务取消的；</w:t>
      </w:r>
    </w:p>
    <w:p w14:paraId="6752848C">
      <w:pPr>
        <w:widowControl/>
        <w:shd w:val="clear" w:color="auto" w:fill="FFFFFF"/>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（4）因苏采云系统故障造成开标不成功。</w:t>
      </w:r>
    </w:p>
    <w:p w14:paraId="4473F34D">
      <w:pPr>
        <w:widowControl/>
        <w:shd w:val="clear" w:color="auto" w:fill="FFFFFF"/>
        <w:spacing w:line="360" w:lineRule="auto"/>
        <w:ind w:firstLine="420"/>
        <w:jc w:val="left"/>
        <w:rPr>
          <w:rFonts w:hint="eastAsia" w:ascii="宋体" w:hAnsi="宋体" w:cs="宋体"/>
          <w:color w:val="auto"/>
          <w:sz w:val="24"/>
          <w:szCs w:val="24"/>
          <w:highlight w:val="none"/>
        </w:rPr>
      </w:pPr>
      <w:r>
        <w:rPr>
          <w:rFonts w:hint="eastAsia" w:ascii="宋体" w:hAnsi="宋体"/>
          <w:color w:val="auto"/>
          <w:sz w:val="24"/>
          <w:szCs w:val="24"/>
          <w:highlight w:val="none"/>
        </w:rPr>
        <w:t>20.</w:t>
      </w:r>
      <w:r>
        <w:rPr>
          <w:rFonts w:hint="eastAsia" w:ascii="宋体" w:hAnsi="宋体" w:cs="宋体"/>
          <w:color w:val="auto"/>
          <w:sz w:val="24"/>
          <w:szCs w:val="24"/>
          <w:highlight w:val="none"/>
        </w:rPr>
        <w:t>2.5未通过资格审查或符合性审查的投标人，采购代理机构将通过苏采云系统告知其具体原因，评标结束后不再接受有关询问。</w:t>
      </w:r>
    </w:p>
    <w:p w14:paraId="6C0B0F64">
      <w:pPr>
        <w:widowControl/>
        <w:shd w:val="clear" w:color="auto" w:fill="FFFFFF"/>
        <w:spacing w:line="360" w:lineRule="auto"/>
        <w:ind w:firstLine="420"/>
        <w:jc w:val="left"/>
        <w:rPr>
          <w:rFonts w:hint="eastAsia" w:ascii="宋体" w:hAnsi="宋体" w:cs="宋体"/>
          <w:color w:val="auto"/>
          <w:sz w:val="24"/>
          <w:szCs w:val="24"/>
          <w:highlight w:val="none"/>
        </w:rPr>
      </w:pPr>
      <w:r>
        <w:rPr>
          <w:rFonts w:hint="eastAsia" w:ascii="宋体" w:hAnsi="宋体"/>
          <w:color w:val="auto"/>
          <w:sz w:val="24"/>
          <w:szCs w:val="24"/>
          <w:highlight w:val="none"/>
        </w:rPr>
        <w:t>20.</w:t>
      </w:r>
      <w:r>
        <w:rPr>
          <w:rFonts w:hint="eastAsia" w:ascii="宋体" w:hAnsi="宋体" w:cs="宋体"/>
          <w:color w:val="auto"/>
          <w:sz w:val="24"/>
          <w:szCs w:val="24"/>
          <w:highlight w:val="none"/>
        </w:rPr>
        <w:t>2.6如出现投标截止时间后参加的投标人或者对招标文件作出实质性响应的投标人不足三家的情况，按政府采购相关规定执行。</w:t>
      </w:r>
    </w:p>
    <w:p w14:paraId="2C82266E">
      <w:pPr>
        <w:widowControl/>
        <w:shd w:val="clear" w:color="auto" w:fill="FFFFFF"/>
        <w:spacing w:line="360" w:lineRule="auto"/>
        <w:ind w:firstLine="420"/>
        <w:jc w:val="left"/>
        <w:rPr>
          <w:rFonts w:hint="eastAsia" w:ascii="宋体" w:hAnsi="宋体"/>
          <w:b/>
          <w:bCs/>
          <w:color w:val="auto"/>
          <w:sz w:val="24"/>
          <w:szCs w:val="24"/>
          <w:highlight w:val="none"/>
        </w:rPr>
      </w:pPr>
      <w:r>
        <w:rPr>
          <w:rFonts w:hint="eastAsia" w:ascii="宋体" w:hAnsi="宋体"/>
          <w:b/>
          <w:bCs/>
          <w:color w:val="auto"/>
          <w:sz w:val="24"/>
          <w:szCs w:val="24"/>
          <w:highlight w:val="none"/>
        </w:rPr>
        <w:t>20.3 评标过程中的澄清</w:t>
      </w:r>
    </w:p>
    <w:p w14:paraId="700AA926">
      <w:pPr>
        <w:widowControl/>
        <w:shd w:val="clear" w:color="auto" w:fill="FFFFFF"/>
        <w:spacing w:line="360" w:lineRule="auto"/>
        <w:ind w:firstLine="420"/>
        <w:rPr>
          <w:rFonts w:hint="eastAsia" w:ascii="宋体" w:hAnsi="宋体"/>
          <w:color w:val="auto"/>
          <w:sz w:val="24"/>
          <w:szCs w:val="24"/>
          <w:highlight w:val="none"/>
          <w:lang w:val="zh-CN" w:eastAsia="zh-CN"/>
        </w:rPr>
      </w:pPr>
      <w:r>
        <w:rPr>
          <w:rFonts w:hint="eastAsia" w:ascii="宋体" w:hAnsi="宋体"/>
          <w:color w:val="auto"/>
          <w:sz w:val="24"/>
          <w:szCs w:val="24"/>
          <w:highlight w:val="none"/>
          <w:lang w:val="zh-CN" w:eastAsia="zh-CN"/>
        </w:rPr>
        <w:t>20.3.1 评标期间，评标委员会对投标文件中含义不明确、同类问题表述不一致或者有明显文字和计算错误的内容，有权要求投标人作出必要的澄清、说明或者补正。</w:t>
      </w:r>
    </w:p>
    <w:p w14:paraId="4559F32D">
      <w:pPr>
        <w:widowControl/>
        <w:shd w:val="clear" w:color="auto" w:fill="FFFFFF"/>
        <w:spacing w:line="360" w:lineRule="auto"/>
        <w:ind w:firstLine="420"/>
        <w:rPr>
          <w:rFonts w:hint="eastAsia" w:ascii="宋体" w:hAnsi="宋体"/>
          <w:color w:val="auto"/>
          <w:sz w:val="24"/>
          <w:szCs w:val="24"/>
          <w:highlight w:val="none"/>
          <w:lang w:val="zh-CN" w:eastAsia="zh-CN"/>
        </w:rPr>
      </w:pPr>
      <w:r>
        <w:rPr>
          <w:rFonts w:hint="eastAsia" w:ascii="宋体" w:hAnsi="宋体"/>
          <w:color w:val="auto"/>
          <w:sz w:val="24"/>
          <w:szCs w:val="24"/>
          <w:highlight w:val="none"/>
          <w:lang w:val="zh-CN" w:eastAsia="zh-CN"/>
        </w:rPr>
        <w:t>投标人的澄清、说明或者补正不得超出投标文件的范围或者改变投标文件的实质性内容。</w:t>
      </w:r>
    </w:p>
    <w:p w14:paraId="762009B7">
      <w:pPr>
        <w:widowControl/>
        <w:shd w:val="clear" w:color="auto" w:fill="FFFFFF"/>
        <w:spacing w:line="360" w:lineRule="auto"/>
        <w:ind w:firstLine="420"/>
        <w:jc w:val="left"/>
        <w:rPr>
          <w:rFonts w:hint="eastAsia" w:ascii="宋体" w:hAnsi="宋体"/>
          <w:color w:val="auto"/>
          <w:sz w:val="24"/>
          <w:szCs w:val="24"/>
          <w:highlight w:val="none"/>
        </w:rPr>
      </w:pPr>
      <w:r>
        <w:rPr>
          <w:rFonts w:hint="eastAsia" w:ascii="宋体" w:hAnsi="宋体"/>
          <w:color w:val="auto"/>
          <w:sz w:val="24"/>
          <w:szCs w:val="24"/>
          <w:highlight w:val="none"/>
        </w:rPr>
        <w:t>评标委员会并非对每个投标人都做澄清要求。</w:t>
      </w:r>
    </w:p>
    <w:p w14:paraId="4E994022">
      <w:pPr>
        <w:widowControl/>
        <w:shd w:val="clear" w:color="auto" w:fill="FFFFFF"/>
        <w:spacing w:line="360" w:lineRule="auto"/>
        <w:ind w:firstLine="420"/>
        <w:jc w:val="left"/>
        <w:rPr>
          <w:rFonts w:hint="eastAsia" w:ascii="宋体" w:hAnsi="宋体"/>
          <w:color w:val="auto"/>
          <w:sz w:val="24"/>
          <w:szCs w:val="24"/>
          <w:highlight w:val="none"/>
        </w:rPr>
      </w:pPr>
      <w:r>
        <w:rPr>
          <w:rFonts w:ascii="宋体" w:hAnsi="宋体"/>
          <w:color w:val="auto"/>
          <w:sz w:val="24"/>
          <w:szCs w:val="24"/>
          <w:highlight w:val="none"/>
        </w:rPr>
        <w:t>20.3</w:t>
      </w:r>
      <w:r>
        <w:rPr>
          <w:rFonts w:hint="eastAsia" w:ascii="宋体" w:hAnsi="宋体"/>
          <w:color w:val="auto"/>
          <w:sz w:val="24"/>
          <w:szCs w:val="24"/>
          <w:highlight w:val="none"/>
        </w:rPr>
        <w:t>.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3FAE96BC">
      <w:pPr>
        <w:widowControl/>
        <w:shd w:val="clear" w:color="auto" w:fill="FFFFFF"/>
        <w:spacing w:line="360" w:lineRule="auto"/>
        <w:ind w:firstLine="420"/>
        <w:jc w:val="left"/>
        <w:rPr>
          <w:rFonts w:hint="eastAsia" w:ascii="宋体" w:hAnsi="宋体"/>
          <w:color w:val="auto"/>
          <w:sz w:val="24"/>
          <w:szCs w:val="24"/>
          <w:highlight w:val="none"/>
        </w:rPr>
      </w:pPr>
      <w:r>
        <w:rPr>
          <w:rFonts w:ascii="宋体" w:hAnsi="宋体"/>
          <w:color w:val="auto"/>
          <w:sz w:val="24"/>
          <w:szCs w:val="24"/>
          <w:highlight w:val="none"/>
        </w:rPr>
        <w:t>20.3</w:t>
      </w:r>
      <w:r>
        <w:rPr>
          <w:rFonts w:hint="eastAsia" w:ascii="宋体" w:hAnsi="宋体"/>
          <w:color w:val="auto"/>
          <w:sz w:val="24"/>
          <w:szCs w:val="24"/>
          <w:highlight w:val="none"/>
        </w:rPr>
        <w:t>.3接到评标委员会澄清、说明和补正要求的，投标人如未按规定作出澄清、说明和补正，其风险由投标人自行承担。</w:t>
      </w:r>
    </w:p>
    <w:p w14:paraId="09573889">
      <w:pPr>
        <w:widowControl/>
        <w:shd w:val="clear" w:color="auto" w:fill="FFFFFF"/>
        <w:spacing w:line="360" w:lineRule="auto"/>
        <w:ind w:firstLine="420"/>
        <w:rPr>
          <w:rFonts w:hint="eastAsia" w:ascii="宋体" w:hAnsi="宋体"/>
          <w:b/>
          <w:bCs/>
          <w:color w:val="auto"/>
          <w:sz w:val="24"/>
          <w:szCs w:val="24"/>
          <w:highlight w:val="none"/>
        </w:rPr>
      </w:pPr>
      <w:r>
        <w:rPr>
          <w:rFonts w:hint="eastAsia" w:ascii="宋体" w:hAnsi="宋体"/>
          <w:b/>
          <w:bCs/>
          <w:color w:val="auto"/>
          <w:sz w:val="24"/>
          <w:szCs w:val="24"/>
          <w:highlight w:val="none"/>
        </w:rPr>
        <w:t>20.3.4投标文件报价出现前后不一致的，除招标文件另有规定外，按照下列规定修正：</w:t>
      </w:r>
    </w:p>
    <w:p w14:paraId="4303D179">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（1）投标文件中开标一览表内容与投标文件中相应内容不一致的，以开标一览表为准；</w:t>
      </w:r>
    </w:p>
    <w:p w14:paraId="6FFF219C">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（2）大写金额和小写金额不一致的，以大写金额为准；</w:t>
      </w:r>
    </w:p>
    <w:p w14:paraId="3989D362">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（3）单价金额小数点或者百分比有明显错位的，以开标一览表的总价为准，并修改单价；</w:t>
      </w:r>
    </w:p>
    <w:p w14:paraId="0F669711">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（4）总价金额与按单价汇总金额不一致的，以单价金额计算结果为准。</w:t>
      </w:r>
    </w:p>
    <w:p w14:paraId="1AECE693">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同时出现两种以上不一致的，按照前款规定的顺序修正。</w:t>
      </w:r>
    </w:p>
    <w:p w14:paraId="08E29103">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评标委员会将按上述修正错误的方法调整投标文件中的投标报价，并通过苏采云系统告知投标人，调整后的价格对投标人具有约束力。如果投标人不接受修正后的价格，则其投标将被拒绝。</w:t>
      </w:r>
    </w:p>
    <w:p w14:paraId="1AB83AC3">
      <w:pPr>
        <w:widowControl/>
        <w:shd w:val="clear" w:color="auto" w:fill="FFFFFF"/>
        <w:spacing w:line="360" w:lineRule="auto"/>
        <w:ind w:firstLine="420"/>
        <w:rPr>
          <w:rFonts w:hint="eastAsia" w:ascii="宋体" w:hAnsi="宋体"/>
          <w:b/>
          <w:bCs/>
          <w:color w:val="auto"/>
          <w:sz w:val="24"/>
          <w:szCs w:val="24"/>
          <w:highlight w:val="none"/>
        </w:rPr>
      </w:pPr>
      <w:r>
        <w:rPr>
          <w:rFonts w:hint="eastAsia" w:ascii="宋体" w:hAnsi="宋体"/>
          <w:b/>
          <w:bCs/>
          <w:color w:val="auto"/>
          <w:sz w:val="24"/>
          <w:szCs w:val="24"/>
          <w:highlight w:val="none"/>
        </w:rPr>
        <w:t>20.3.5投标人在开、评标全过程中应保持通讯畅通，及时登录苏采云系统查阅、答复相关信息，并安排专人与采购代理机构及评标委员会联系。</w:t>
      </w:r>
    </w:p>
    <w:p w14:paraId="1CBF379F">
      <w:pPr>
        <w:widowControl/>
        <w:shd w:val="clear" w:color="auto" w:fill="FFFFFF"/>
        <w:spacing w:line="360" w:lineRule="auto"/>
        <w:ind w:firstLine="420"/>
        <w:rPr>
          <w:rFonts w:hint="eastAsia" w:ascii="宋体" w:hAnsi="宋体"/>
          <w:color w:val="auto"/>
          <w:sz w:val="24"/>
          <w:szCs w:val="24"/>
          <w:highlight w:val="none"/>
          <w:lang w:val="zh-CN" w:eastAsia="zh-CN"/>
        </w:rPr>
      </w:pPr>
      <w:r>
        <w:rPr>
          <w:rFonts w:hint="eastAsia" w:ascii="宋体" w:hAnsi="宋体"/>
          <w:color w:val="auto"/>
          <w:sz w:val="24"/>
          <w:szCs w:val="24"/>
          <w:highlight w:val="none"/>
          <w:lang w:val="zh-CN" w:eastAsia="zh-CN"/>
        </w:rPr>
        <w:t>20.4比较与评价</w:t>
      </w:r>
    </w:p>
    <w:p w14:paraId="4A2336A6">
      <w:pPr>
        <w:widowControl/>
        <w:shd w:val="clear" w:color="auto" w:fill="FFFFFF"/>
        <w:spacing w:line="360" w:lineRule="auto"/>
        <w:ind w:firstLine="420"/>
        <w:rPr>
          <w:rFonts w:hint="eastAsia" w:ascii="宋体" w:hAnsi="宋体"/>
          <w:color w:val="auto"/>
          <w:sz w:val="24"/>
          <w:szCs w:val="24"/>
          <w:highlight w:val="none"/>
          <w:lang w:val="zh-CN" w:eastAsia="zh-CN"/>
        </w:rPr>
      </w:pPr>
      <w:r>
        <w:rPr>
          <w:rFonts w:hint="eastAsia" w:ascii="宋体" w:hAnsi="宋体"/>
          <w:color w:val="auto"/>
          <w:sz w:val="24"/>
          <w:szCs w:val="24"/>
          <w:highlight w:val="none"/>
          <w:lang w:val="zh-CN" w:eastAsia="zh-CN"/>
        </w:rPr>
        <w:t>评标委员会应当按照招标文件中规定的评标方法和标准，对符合性审查合格的投标文件进行商务和技术评估，综合比较与评价。</w:t>
      </w:r>
    </w:p>
    <w:p w14:paraId="145A49ED">
      <w:pPr>
        <w:widowControl/>
        <w:shd w:val="clear" w:color="auto" w:fill="FFFFFF"/>
        <w:spacing w:line="360" w:lineRule="auto"/>
        <w:ind w:firstLine="420"/>
        <w:jc w:val="left"/>
        <w:rPr>
          <w:rFonts w:hint="eastAsia" w:ascii="宋体" w:hAnsi="宋体"/>
          <w:b/>
          <w:bCs/>
          <w:color w:val="auto"/>
          <w:sz w:val="24"/>
          <w:szCs w:val="24"/>
          <w:highlight w:val="none"/>
        </w:rPr>
      </w:pPr>
      <w:r>
        <w:rPr>
          <w:rFonts w:hint="eastAsia" w:ascii="宋体" w:hAnsi="宋体"/>
          <w:b/>
          <w:bCs/>
          <w:color w:val="auto"/>
          <w:sz w:val="24"/>
          <w:szCs w:val="24"/>
          <w:highlight w:val="none"/>
        </w:rPr>
        <w:t>20.5 评标委员会启动异常低价投标审查的情形和具体要求</w:t>
      </w:r>
    </w:p>
    <w:p w14:paraId="56AB1F0F">
      <w:pPr>
        <w:widowControl/>
        <w:shd w:val="clear" w:color="auto" w:fill="FFFFFF"/>
        <w:spacing w:line="360" w:lineRule="auto"/>
        <w:ind w:firstLine="420"/>
        <w:jc w:val="left"/>
        <w:rPr>
          <w:rFonts w:hint="eastAsia" w:ascii="宋体" w:hAnsi="宋体"/>
          <w:color w:val="auto"/>
          <w:sz w:val="24"/>
          <w:szCs w:val="24"/>
          <w:highlight w:val="none"/>
        </w:rPr>
      </w:pPr>
      <w:r>
        <w:rPr>
          <w:rFonts w:hint="eastAsia" w:ascii="宋体" w:hAnsi="宋体"/>
          <w:color w:val="auto"/>
          <w:sz w:val="24"/>
          <w:szCs w:val="24"/>
          <w:highlight w:val="none"/>
        </w:rPr>
        <w:t xml:space="preserve">20.5.1评标过程中出现下列情形之一的，评标委员会应当启动异常低价投标审查程序： </w:t>
      </w:r>
    </w:p>
    <w:p w14:paraId="53F4E558">
      <w:pPr>
        <w:widowControl/>
        <w:shd w:val="clear" w:color="auto" w:fill="FFFFFF"/>
        <w:spacing w:line="360" w:lineRule="auto"/>
        <w:ind w:firstLine="420"/>
        <w:jc w:val="left"/>
        <w:rPr>
          <w:rFonts w:hint="eastAsia" w:ascii="宋体" w:hAnsi="宋体"/>
          <w:color w:val="auto"/>
          <w:sz w:val="24"/>
          <w:szCs w:val="24"/>
          <w:highlight w:val="none"/>
        </w:rPr>
      </w:pPr>
      <w:r>
        <w:rPr>
          <w:rFonts w:hint="eastAsia" w:ascii="宋体" w:hAnsi="宋体"/>
          <w:color w:val="auto"/>
          <w:sz w:val="24"/>
          <w:szCs w:val="24"/>
          <w:highlight w:val="none"/>
        </w:rPr>
        <w:t xml:space="preserve">（1）投标报价低于招标项目预算50%的，即投标报价&lt;招标项目预算×50%； </w:t>
      </w:r>
    </w:p>
    <w:p w14:paraId="4EDC5E3B">
      <w:pPr>
        <w:widowControl/>
        <w:shd w:val="clear" w:color="auto" w:fill="FFFFFF"/>
        <w:spacing w:line="360" w:lineRule="auto"/>
        <w:ind w:firstLine="420"/>
        <w:jc w:val="left"/>
        <w:rPr>
          <w:rFonts w:hint="eastAsia" w:ascii="宋体" w:hAnsi="宋体"/>
          <w:color w:val="auto"/>
          <w:sz w:val="24"/>
          <w:szCs w:val="24"/>
          <w:highlight w:val="none"/>
        </w:rPr>
      </w:pPr>
      <w:r>
        <w:rPr>
          <w:rFonts w:hint="eastAsia" w:ascii="宋体" w:hAnsi="宋体"/>
          <w:color w:val="auto"/>
          <w:sz w:val="24"/>
          <w:szCs w:val="24"/>
          <w:highlight w:val="none"/>
        </w:rPr>
        <w:t xml:space="preserve">（2）投标报价低于招标项目最高限价45%的，即投标报价&lt;招标项目最高限价×45%； </w:t>
      </w:r>
    </w:p>
    <w:p w14:paraId="2AE7533F">
      <w:pPr>
        <w:widowControl/>
        <w:shd w:val="clear" w:color="auto" w:fill="FFFFFF"/>
        <w:spacing w:line="360" w:lineRule="auto"/>
        <w:ind w:firstLine="420"/>
        <w:jc w:val="left"/>
        <w:rPr>
          <w:rFonts w:hint="eastAsia" w:ascii="宋体" w:hAnsi="宋体"/>
          <w:color w:val="auto"/>
          <w:sz w:val="24"/>
          <w:szCs w:val="24"/>
          <w:highlight w:val="none"/>
        </w:rPr>
      </w:pPr>
      <w:r>
        <w:rPr>
          <w:rFonts w:hint="eastAsia" w:ascii="宋体" w:hAnsi="宋体"/>
          <w:color w:val="auto"/>
          <w:sz w:val="24"/>
          <w:szCs w:val="24"/>
          <w:highlight w:val="none"/>
        </w:rPr>
        <w:t>（3）评标委员会认定的投标人报价过低、有可能影响产品质量或者不能诚信履约的其他情形。</w:t>
      </w:r>
    </w:p>
    <w:p w14:paraId="498BDCE0">
      <w:pPr>
        <w:widowControl/>
        <w:shd w:val="clear" w:color="auto" w:fill="FFFFFF"/>
        <w:spacing w:line="360" w:lineRule="auto"/>
        <w:ind w:firstLine="420"/>
        <w:jc w:val="left"/>
        <w:rPr>
          <w:rFonts w:hint="eastAsia" w:ascii="宋体" w:hAnsi="宋体"/>
          <w:color w:val="auto"/>
          <w:sz w:val="24"/>
          <w:szCs w:val="24"/>
          <w:highlight w:val="none"/>
        </w:rPr>
      </w:pPr>
      <w:r>
        <w:rPr>
          <w:rFonts w:hint="eastAsia" w:ascii="宋体" w:hAnsi="宋体"/>
          <w:color w:val="auto"/>
          <w:sz w:val="24"/>
          <w:szCs w:val="24"/>
          <w:highlight w:val="none"/>
        </w:rPr>
        <w:t>20.5.2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宋体" w:hAnsi="宋体"/>
          <w:b/>
          <w:bCs/>
          <w:color w:val="auto"/>
          <w:sz w:val="24"/>
          <w:szCs w:val="24"/>
          <w:highlight w:val="none"/>
        </w:rPr>
        <w:t>投标人不提供书面说明、证明材料，或者提供的书面说明、证明材料不能证明其报价合理性的，评标委员会应当将其作为无效投标处理。审查相关情况应当在评审报告中进行记录。</w:t>
      </w:r>
    </w:p>
    <w:p w14:paraId="0393A606">
      <w:pPr>
        <w:widowControl/>
        <w:shd w:val="clear" w:color="auto" w:fill="FFFFFF"/>
        <w:spacing w:line="360" w:lineRule="auto"/>
        <w:ind w:firstLine="420"/>
        <w:jc w:val="left"/>
        <w:rPr>
          <w:rFonts w:hint="eastAsia" w:ascii="宋体" w:hAnsi="宋体"/>
          <w:color w:val="auto"/>
          <w:sz w:val="24"/>
          <w:szCs w:val="24"/>
          <w:highlight w:val="none"/>
        </w:rPr>
      </w:pPr>
      <w:r>
        <w:rPr>
          <w:rFonts w:hint="eastAsia" w:ascii="宋体" w:hAnsi="宋体"/>
          <w:b/>
          <w:bCs/>
          <w:color w:val="auto"/>
          <w:sz w:val="24"/>
          <w:szCs w:val="24"/>
          <w:highlight w:val="none"/>
        </w:rPr>
        <w:t>21.评标方法和标准</w:t>
      </w:r>
    </w:p>
    <w:p w14:paraId="230CC7A6">
      <w:pPr>
        <w:widowControl/>
        <w:shd w:val="clear" w:color="auto" w:fill="FFFFFF"/>
        <w:spacing w:line="360" w:lineRule="auto"/>
        <w:ind w:firstLine="420"/>
        <w:jc w:val="left"/>
        <w:rPr>
          <w:rFonts w:hint="eastAsia" w:ascii="宋体" w:hAnsi="宋体"/>
          <w:color w:val="auto"/>
          <w:sz w:val="24"/>
          <w:szCs w:val="24"/>
          <w:highlight w:val="none"/>
        </w:rPr>
      </w:pPr>
      <w:r>
        <w:rPr>
          <w:rFonts w:hint="eastAsia" w:ascii="宋体" w:hAnsi="宋体"/>
          <w:color w:val="auto"/>
          <w:sz w:val="24"/>
          <w:szCs w:val="24"/>
          <w:highlight w:val="none"/>
        </w:rPr>
        <w:t>21.1本次采购采用综合评分法，评标方法和标准，详见本招标文件第三章。</w:t>
      </w:r>
    </w:p>
    <w:p w14:paraId="55E28B4B">
      <w:pPr>
        <w:widowControl/>
        <w:shd w:val="clear" w:color="auto" w:fill="FFFFFF"/>
        <w:spacing w:line="360" w:lineRule="auto"/>
        <w:ind w:firstLine="420"/>
        <w:jc w:val="left"/>
        <w:rPr>
          <w:rFonts w:hint="eastAsia" w:ascii="宋体" w:hAnsi="宋体"/>
          <w:color w:val="auto"/>
          <w:sz w:val="24"/>
          <w:szCs w:val="24"/>
          <w:highlight w:val="none"/>
        </w:rPr>
      </w:pPr>
      <w:r>
        <w:rPr>
          <w:rFonts w:hint="eastAsia" w:ascii="宋体" w:hAnsi="宋体"/>
          <w:color w:val="auto"/>
          <w:sz w:val="24"/>
          <w:szCs w:val="24"/>
          <w:highlight w:val="none"/>
        </w:rPr>
        <w:t>21.2综合评分法，是指投标文件满足招标文件全部实质性要求，且按照评审因素的量化指标评审得分最高的投标人为中标候选人的评标方法。</w:t>
      </w:r>
    </w:p>
    <w:p w14:paraId="1BB7A8C6">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22.确定中标人</w:t>
      </w:r>
    </w:p>
    <w:p w14:paraId="7D72021F">
      <w:pPr>
        <w:widowControl/>
        <w:shd w:val="clear" w:color="auto" w:fill="FFFFFF"/>
        <w:spacing w:line="360" w:lineRule="auto"/>
        <w:ind w:firstLine="420"/>
        <w:jc w:val="left"/>
        <w:rPr>
          <w:rFonts w:hint="eastAsia" w:ascii="宋体" w:hAnsi="宋体" w:cs="宋体"/>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1</w:t>
      </w:r>
      <w:r>
        <w:rPr>
          <w:rFonts w:hint="eastAsia" w:ascii="宋体" w:hAnsi="宋体"/>
          <w:color w:val="auto"/>
          <w:sz w:val="24"/>
          <w:szCs w:val="24"/>
          <w:highlight w:val="none"/>
        </w:rPr>
        <w:t>采用综合评分法的，评标结果按评审后得分由高到低顺序排列。得分相同的，按投标报价由低到高顺序排列。得分且投标报价相同的并列，按技术指标优劣顺序排列。投标文件满足招标文件全部实质性要求，且按照评审因素的量化指标评审得分最高的投标人为排名第一的中标候选人，经采购人授权，</w:t>
      </w:r>
      <w:r>
        <w:rPr>
          <w:rFonts w:hint="eastAsia" w:ascii="宋体" w:hAnsi="宋体" w:cs="宋体"/>
          <w:color w:val="auto"/>
          <w:sz w:val="24"/>
          <w:szCs w:val="24"/>
          <w:highlight w:val="none"/>
        </w:rPr>
        <w:t>评标委员会将综合排名第一的中标候选人确定为中标人。</w:t>
      </w:r>
    </w:p>
    <w:p w14:paraId="3151894A">
      <w:pPr>
        <w:widowControl/>
        <w:shd w:val="clear" w:color="auto" w:fill="FFFFFF"/>
        <w:spacing w:line="360" w:lineRule="auto"/>
        <w:ind w:firstLine="422"/>
        <w:jc w:val="left"/>
        <w:rPr>
          <w:rFonts w:hint="eastAsia" w:ascii="宋体" w:hAnsi="宋体" w:cs="宋体"/>
          <w:color w:val="auto"/>
          <w:sz w:val="24"/>
          <w:szCs w:val="24"/>
          <w:highlight w:val="none"/>
        </w:rPr>
      </w:pPr>
      <w:r>
        <w:rPr>
          <w:rFonts w:hint="eastAsia" w:cs="Arial" w:asciiTheme="minorEastAsia" w:hAnsiTheme="minorEastAsia" w:eastAsiaTheme="minorEastAsia"/>
          <w:b/>
          <w:color w:val="auto"/>
          <w:sz w:val="24"/>
          <w:szCs w:val="24"/>
          <w:highlight w:val="none"/>
        </w:rPr>
        <w:t>本项目共分为</w:t>
      </w:r>
      <w:r>
        <w:rPr>
          <w:rFonts w:hint="eastAsia" w:cs="Arial" w:asciiTheme="minorEastAsia" w:hAnsiTheme="minorEastAsia" w:eastAsiaTheme="minorEastAsia"/>
          <w:b/>
          <w:color w:val="auto"/>
          <w:sz w:val="24"/>
          <w:szCs w:val="24"/>
          <w:highlight w:val="none"/>
          <w:lang w:val="en-US" w:eastAsia="zh-CN"/>
        </w:rPr>
        <w:t>2</w:t>
      </w:r>
      <w:r>
        <w:rPr>
          <w:rFonts w:hint="eastAsia" w:cs="Arial" w:asciiTheme="minorEastAsia" w:hAnsiTheme="minorEastAsia" w:eastAsiaTheme="minorEastAsia"/>
          <w:b/>
          <w:color w:val="auto"/>
          <w:sz w:val="24"/>
          <w:szCs w:val="24"/>
          <w:highlight w:val="none"/>
        </w:rPr>
        <w:t>个采购分包，每个分包确定1名中标人，投标人可以同时参与多个分包，但只能在一个分包中中标。本项目按照采购包1、采购包2的顺序依次进行评标，如投标人在前一采购包1中标，依旧参与后续分包的评审，但不再推荐为采购包2的中标人。</w:t>
      </w:r>
    </w:p>
    <w:p w14:paraId="7EF79DCE">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2</w:t>
      </w:r>
      <w:r>
        <w:rPr>
          <w:rFonts w:hint="eastAsia" w:ascii="宋体" w:hAnsi="宋体"/>
          <w:color w:val="auto"/>
          <w:sz w:val="24"/>
          <w:szCs w:val="24"/>
          <w:highlight w:val="none"/>
        </w:rPr>
        <w:t>中标人确定后，采购代理机构在</w:t>
      </w:r>
      <w:r>
        <w:rPr>
          <w:rFonts w:hint="eastAsia" w:ascii="宋体" w:hAnsi="宋体"/>
          <w:color w:val="auto"/>
          <w:sz w:val="24"/>
          <w:szCs w:val="24"/>
          <w:highlight w:val="none"/>
          <w:lang w:val="zh-CN"/>
        </w:rPr>
        <w:t>“江苏政府采购网”发布</w:t>
      </w:r>
      <w:r>
        <w:rPr>
          <w:rFonts w:hint="eastAsia" w:ascii="宋体" w:hAnsi="宋体"/>
          <w:color w:val="auto"/>
          <w:sz w:val="24"/>
          <w:szCs w:val="24"/>
          <w:highlight w:val="none"/>
        </w:rPr>
        <w:t>中标公告，公告期限为1个工作日。</w:t>
      </w:r>
    </w:p>
    <w:p w14:paraId="0C4E3918">
      <w:pPr>
        <w:widowControl/>
        <w:shd w:val="clear" w:color="auto" w:fill="FFFFFF"/>
        <w:spacing w:line="360" w:lineRule="auto"/>
        <w:ind w:firstLine="412"/>
        <w:rPr>
          <w:rFonts w:hint="eastAsia" w:ascii="宋体" w:hAnsi="宋体"/>
          <w:color w:val="auto"/>
          <w:sz w:val="24"/>
          <w:szCs w:val="24"/>
          <w:highlight w:val="none"/>
        </w:rPr>
      </w:pPr>
      <w:r>
        <w:rPr>
          <w:rFonts w:hint="eastAsia" w:ascii="宋体" w:hAnsi="宋体"/>
          <w:b/>
          <w:bCs/>
          <w:color w:val="auto"/>
          <w:sz w:val="24"/>
          <w:szCs w:val="24"/>
          <w:highlight w:val="none"/>
        </w:rPr>
        <w:t>23.</w:t>
      </w:r>
      <w:r>
        <w:rPr>
          <w:rFonts w:hint="eastAsia" w:ascii="宋体" w:hAnsi="宋体"/>
          <w:color w:val="auto"/>
          <w:sz w:val="24"/>
          <w:szCs w:val="24"/>
          <w:highlight w:val="none"/>
        </w:rPr>
        <w:t xml:space="preserve"> </w:t>
      </w:r>
      <w:r>
        <w:rPr>
          <w:rFonts w:hint="eastAsia" w:ascii="宋体" w:hAnsi="宋体"/>
          <w:b/>
          <w:bCs/>
          <w:color w:val="auto"/>
          <w:sz w:val="24"/>
          <w:szCs w:val="24"/>
          <w:highlight w:val="none"/>
        </w:rPr>
        <w:t>中标通知书</w:t>
      </w:r>
    </w:p>
    <w:p w14:paraId="076E4D65">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23.l 中标结果确定后，采购代理机构将向中标人发出中标通知书。中标人可在中标结果公告届满之日起三十日内,登录苏采云系统下载。</w:t>
      </w:r>
    </w:p>
    <w:p w14:paraId="635CC868">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因系统存储空间有限，中标结果公告届满之日起三十日后，苏采云系统不再保证提供下载中标通知书服务，因未及时下载而造成的不利后果由中标人自行承担。</w:t>
      </w:r>
    </w:p>
    <w:p w14:paraId="0C0B457C">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23.2 中标通知书是合同的一个组成部分，对采购人和中标人均具有法律效力。中标通知书发出后，采购人改变中标结果或者中标人放弃中标项目的，应当依法承担法律责任。</w:t>
      </w:r>
    </w:p>
    <w:p w14:paraId="74A4A2BD">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23.3 中标人在领取中标通知书时，需向采购代理机构提供纸质版投标文件一式叁份（盖章版本），投标文件提倡按照A4幅面打印或复印并进行装订（采用胶装形式递交）。</w:t>
      </w:r>
    </w:p>
    <w:p w14:paraId="3E48552A">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24.评标过程的保密性</w:t>
      </w:r>
    </w:p>
    <w:p w14:paraId="503BE341">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24.1 采购人和采购代理机构将采取必要措施，保证评标在严格保密的情况下进行。</w:t>
      </w:r>
    </w:p>
    <w:p w14:paraId="7C7E7845">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24.2 任何单位和个人不得非法干预、影响评标办法的确定，以及评标过程和结果。</w:t>
      </w:r>
    </w:p>
    <w:p w14:paraId="62F9A196">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24.3 凡是与审查、澄清、评价和比较投标的有关资料等，均不向投标人及与评标无关的其他人员透露。</w:t>
      </w:r>
    </w:p>
    <w:p w14:paraId="4093261E">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24.4采购代理机构和评标委员会不向未中标的投标人解释未中标原因，也不公布评标过程中的相关细节。</w:t>
      </w:r>
    </w:p>
    <w:p w14:paraId="326B011A">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六、签订合同</w:t>
      </w:r>
    </w:p>
    <w:p w14:paraId="7875C3AE">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25.签订合同</w:t>
      </w:r>
    </w:p>
    <w:p w14:paraId="5BD46864">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25.1采购人与中标人应当自中标通知书发出之日起</w:t>
      </w:r>
      <w:r>
        <w:rPr>
          <w:rFonts w:ascii="宋体" w:hAnsi="宋体"/>
          <w:color w:val="auto"/>
          <w:sz w:val="24"/>
          <w:szCs w:val="24"/>
          <w:highlight w:val="none"/>
        </w:rPr>
        <w:t>30</w:t>
      </w:r>
      <w:r>
        <w:rPr>
          <w:rFonts w:hint="eastAsia" w:ascii="宋体" w:hAnsi="宋体"/>
          <w:color w:val="auto"/>
          <w:sz w:val="24"/>
          <w:szCs w:val="24"/>
          <w:highlight w:val="none"/>
        </w:rPr>
        <w:t>日内，按照招标文件和中标人投标文件的规定，签订书面合同。所签订的合同不得对招标文件确定的事项和中标人投标文件作实质性修改。</w:t>
      </w:r>
    </w:p>
    <w:p w14:paraId="27ED9DBA">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25.2采购人不得向中标人提出任何不合理的要求作为签订合同的条件。</w:t>
      </w:r>
    </w:p>
    <w:p w14:paraId="53BEBD70">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25.3</w:t>
      </w:r>
      <w:r>
        <w:rPr>
          <w:rFonts w:ascii="宋体" w:hAnsi="宋体"/>
          <w:color w:val="auto"/>
          <w:sz w:val="24"/>
          <w:szCs w:val="24"/>
          <w:highlight w:val="none"/>
        </w:rPr>
        <w:t>中标人拒绝与采购人签订合同的，采购人可以按照</w:t>
      </w:r>
      <w:r>
        <w:rPr>
          <w:rFonts w:hint="eastAsia" w:ascii="宋体" w:hAnsi="宋体"/>
          <w:color w:val="auto"/>
          <w:sz w:val="24"/>
          <w:szCs w:val="24"/>
          <w:highlight w:val="none"/>
        </w:rPr>
        <w:t>评标</w:t>
      </w:r>
      <w:r>
        <w:rPr>
          <w:rFonts w:ascii="宋体" w:hAnsi="宋体"/>
          <w:color w:val="auto"/>
          <w:sz w:val="24"/>
          <w:szCs w:val="24"/>
          <w:highlight w:val="none"/>
        </w:rPr>
        <w:t>报告推荐的中标候选人名单排序，确定下一候选人为中标人，也可以重新开展政府采购活动。</w:t>
      </w:r>
    </w:p>
    <w:p w14:paraId="36619A1F">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25.4 </w:t>
      </w:r>
      <w:r>
        <w:rPr>
          <w:rFonts w:ascii="宋体" w:hAnsi="宋体"/>
          <w:color w:val="auto"/>
          <w:sz w:val="24"/>
          <w:szCs w:val="24"/>
          <w:highlight w:val="none"/>
        </w:rPr>
        <w:t>政府采购合同履行中，采购人需追加与合同标的相同的服务</w:t>
      </w:r>
      <w:r>
        <w:rPr>
          <w:rFonts w:hint="eastAsia" w:ascii="宋体" w:hAnsi="宋体"/>
          <w:color w:val="auto"/>
          <w:sz w:val="24"/>
          <w:szCs w:val="24"/>
          <w:highlight w:val="none"/>
        </w:rPr>
        <w:t>（包含与服务相关的货物）</w:t>
      </w:r>
      <w:r>
        <w:rPr>
          <w:rFonts w:ascii="宋体" w:hAnsi="宋体"/>
          <w:color w:val="auto"/>
          <w:sz w:val="24"/>
          <w:szCs w:val="24"/>
          <w:highlight w:val="none"/>
        </w:rPr>
        <w:t>，在不改变合同其他条款的前提下，可以与</w:t>
      </w:r>
      <w:r>
        <w:rPr>
          <w:rFonts w:hint="eastAsia" w:ascii="宋体" w:hAnsi="宋体"/>
          <w:color w:val="auto"/>
          <w:sz w:val="24"/>
          <w:szCs w:val="24"/>
          <w:highlight w:val="none"/>
        </w:rPr>
        <w:t>中</w:t>
      </w:r>
      <w:r>
        <w:rPr>
          <w:rFonts w:ascii="宋体" w:hAnsi="宋体"/>
          <w:color w:val="auto"/>
          <w:sz w:val="24"/>
          <w:szCs w:val="24"/>
          <w:highlight w:val="none"/>
        </w:rPr>
        <w:t>标人协商签订补充合同，但所有补充合同的采购金额不得超过原合同采购金额的百分之十。</w:t>
      </w:r>
    </w:p>
    <w:p w14:paraId="75733A54">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25.5招标文件、中标人的投标文件及招标过程中有关澄清、承诺文件均作为合同附件。</w:t>
      </w:r>
    </w:p>
    <w:p w14:paraId="4AD817D9">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25.6采购人与中标人应当根据合同的约定依法履行合同义务。</w:t>
      </w:r>
    </w:p>
    <w:p w14:paraId="0AC6AC69">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七、质疑和投诉</w:t>
      </w:r>
    </w:p>
    <w:p w14:paraId="316DB342">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26.质疑</w:t>
      </w:r>
    </w:p>
    <w:p w14:paraId="7FFF7954">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26.1投标人对采购活动事项有疑问的，可以向采购代理机构提出询问，采购代理机构将依法作出答复，但答复的内容不涉及商业秘密。</w:t>
      </w:r>
    </w:p>
    <w:p w14:paraId="5A68A7DB">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26.2</w:t>
      </w:r>
      <w:r>
        <w:rPr>
          <w:rFonts w:ascii="宋体" w:hAnsi="宋体"/>
          <w:color w:val="auto"/>
          <w:sz w:val="24"/>
          <w:szCs w:val="24"/>
          <w:highlight w:val="none"/>
        </w:rPr>
        <w:t>提出质疑的投标人应当是参与所质疑项目采购活动的投标人。潜在投标人已依法获取其可质疑的招标文件的，可以对该文件提出质疑。</w:t>
      </w:r>
    </w:p>
    <w:p w14:paraId="5B222168">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以联合体形式参加政府采购活动的，其质疑应当由组成联合体的所有投标人共同提出，联合体各方均须按要求加盖公章。</w:t>
      </w:r>
    </w:p>
    <w:p w14:paraId="0FC9BED8">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26.3投标人认为招标文件、采购过程和中标结果使自己的合法权益受到损害的，可以在知道或者应知其权益受到损害之日起七个工作日内，将质疑文件原件送达采购人或采购代理机构。</w:t>
      </w:r>
    </w:p>
    <w:p w14:paraId="4C7FB04C">
      <w:pPr>
        <w:widowControl/>
        <w:shd w:val="clear" w:color="auto" w:fill="FFFFFF"/>
        <w:spacing w:line="360" w:lineRule="auto"/>
        <w:ind w:firstLine="420"/>
        <w:rPr>
          <w:rFonts w:hint="eastAsia" w:ascii="宋体" w:hAnsi="宋体"/>
          <w:color w:val="auto"/>
          <w:sz w:val="24"/>
          <w:szCs w:val="24"/>
          <w:highlight w:val="none"/>
        </w:rPr>
      </w:pPr>
      <w:r>
        <w:rPr>
          <w:rFonts w:ascii="宋体" w:hAnsi="宋体"/>
          <w:color w:val="auto"/>
          <w:sz w:val="24"/>
          <w:szCs w:val="24"/>
          <w:highlight w:val="none"/>
        </w:rPr>
        <w:t>投标人应知其权益受到损害之日，是指：对招标文件提出质疑的，应当在获取招标文件或者招标文件公告期限届满之日起7个工作日内提出</w:t>
      </w:r>
      <w:r>
        <w:rPr>
          <w:rFonts w:hint="eastAsia" w:ascii="宋体" w:hAnsi="宋体"/>
          <w:color w:val="auto"/>
          <w:sz w:val="24"/>
          <w:szCs w:val="24"/>
          <w:highlight w:val="none"/>
        </w:rPr>
        <w:t>；</w:t>
      </w:r>
      <w:r>
        <w:rPr>
          <w:rFonts w:ascii="宋体" w:hAnsi="宋体"/>
          <w:color w:val="auto"/>
          <w:sz w:val="24"/>
          <w:szCs w:val="24"/>
          <w:highlight w:val="none"/>
        </w:rPr>
        <w:t>对采购过程提出质疑的，为各采购程序环节结束之日；对中标结果提出质疑的，为中标结果公告期限届满之日。</w:t>
      </w:r>
    </w:p>
    <w:p w14:paraId="7BF278E7">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投标人必须在法定质疑期内一次性提出针对同一采购程序环节的质疑。</w:t>
      </w:r>
    </w:p>
    <w:p w14:paraId="6DF93642">
      <w:pPr>
        <w:widowControl/>
        <w:shd w:val="clear" w:color="auto" w:fill="FFFFFF"/>
        <w:spacing w:line="360" w:lineRule="auto"/>
        <w:ind w:firstLine="420"/>
        <w:rPr>
          <w:rFonts w:hint="eastAsia" w:ascii="宋体" w:hAnsi="宋体"/>
          <w:color w:val="auto"/>
          <w:sz w:val="24"/>
          <w:szCs w:val="24"/>
          <w:highlight w:val="none"/>
        </w:rPr>
      </w:pPr>
      <w:r>
        <w:rPr>
          <w:rFonts w:ascii="宋体" w:hAnsi="宋体"/>
          <w:color w:val="auto"/>
          <w:sz w:val="24"/>
          <w:szCs w:val="24"/>
          <w:highlight w:val="none"/>
        </w:rPr>
        <w:t>26.4 投标人提出质疑</w:t>
      </w:r>
      <w:r>
        <w:rPr>
          <w:rFonts w:hint="eastAsia" w:ascii="宋体" w:hAnsi="宋体"/>
          <w:color w:val="auto"/>
          <w:sz w:val="24"/>
          <w:szCs w:val="24"/>
          <w:highlight w:val="none"/>
        </w:rPr>
        <w:t>应当按照《政府采购质疑和投诉办法》的规定</w:t>
      </w:r>
      <w:r>
        <w:rPr>
          <w:rFonts w:ascii="宋体" w:hAnsi="宋体"/>
          <w:color w:val="auto"/>
          <w:sz w:val="24"/>
          <w:szCs w:val="24"/>
          <w:highlight w:val="none"/>
        </w:rPr>
        <w:t>提交质疑函和必要的证明材料。质疑函应当包括下列内容：</w:t>
      </w:r>
    </w:p>
    <w:p w14:paraId="23D01E98">
      <w:pPr>
        <w:widowControl/>
        <w:shd w:val="clear" w:color="auto" w:fill="FFFFFF"/>
        <w:spacing w:line="360" w:lineRule="auto"/>
        <w:rPr>
          <w:rFonts w:hint="eastAsia" w:ascii="宋体" w:hAnsi="宋体"/>
          <w:color w:val="auto"/>
          <w:sz w:val="24"/>
          <w:szCs w:val="24"/>
          <w:highlight w:val="none"/>
        </w:rPr>
      </w:pPr>
      <w:r>
        <w:rPr>
          <w:rFonts w:ascii="宋体" w:hAnsi="宋体"/>
          <w:color w:val="auto"/>
          <w:sz w:val="24"/>
          <w:szCs w:val="24"/>
          <w:highlight w:val="none"/>
        </w:rPr>
        <w:t>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1</w:t>
      </w:r>
      <w:r>
        <w:rPr>
          <w:rFonts w:ascii="宋体" w:hAnsi="宋体"/>
          <w:color w:val="auto"/>
          <w:sz w:val="24"/>
          <w:szCs w:val="24"/>
          <w:highlight w:val="none"/>
        </w:rPr>
        <w:t>）投标人的姓名或者名称、地址、邮编、联系人及联系电话；</w:t>
      </w:r>
    </w:p>
    <w:p w14:paraId="5712B9D4">
      <w:pPr>
        <w:widowControl/>
        <w:shd w:val="clear" w:color="auto" w:fill="FFFFFF"/>
        <w:spacing w:line="360" w:lineRule="auto"/>
        <w:ind w:firstLine="420"/>
        <w:rPr>
          <w:rFonts w:hint="eastAsia"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）质疑项目的名称、编号；</w:t>
      </w:r>
    </w:p>
    <w:p w14:paraId="4DB9CA95">
      <w:pPr>
        <w:widowControl/>
        <w:shd w:val="clear" w:color="auto" w:fill="FFFFFF"/>
        <w:spacing w:line="360" w:lineRule="auto"/>
        <w:ind w:firstLine="420"/>
        <w:rPr>
          <w:rFonts w:hint="eastAsia"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）具体、明确的质疑事项和与质疑事项相关的请求</w:t>
      </w:r>
      <w:r>
        <w:rPr>
          <w:rFonts w:hint="eastAsia" w:ascii="宋体" w:hAnsi="宋体"/>
          <w:color w:val="auto"/>
          <w:sz w:val="24"/>
          <w:szCs w:val="24"/>
          <w:highlight w:val="none"/>
        </w:rPr>
        <w:t>（具体条款）</w:t>
      </w:r>
      <w:r>
        <w:rPr>
          <w:rFonts w:ascii="宋体" w:hAnsi="宋体"/>
          <w:color w:val="auto"/>
          <w:sz w:val="24"/>
          <w:szCs w:val="24"/>
          <w:highlight w:val="none"/>
        </w:rPr>
        <w:t>；</w:t>
      </w:r>
    </w:p>
    <w:p w14:paraId="564CB22C">
      <w:pPr>
        <w:widowControl/>
        <w:shd w:val="clear" w:color="auto" w:fill="FFFFFF"/>
        <w:spacing w:line="360" w:lineRule="auto"/>
        <w:ind w:firstLine="420"/>
        <w:rPr>
          <w:rFonts w:hint="eastAsia"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）事实依据</w:t>
      </w:r>
      <w:r>
        <w:rPr>
          <w:rFonts w:hint="eastAsia" w:ascii="宋体" w:hAnsi="宋体"/>
          <w:color w:val="auto"/>
          <w:sz w:val="24"/>
          <w:szCs w:val="24"/>
          <w:highlight w:val="none"/>
        </w:rPr>
        <w:t>（具体条款）</w:t>
      </w:r>
      <w:r>
        <w:rPr>
          <w:rFonts w:ascii="宋体" w:hAnsi="宋体"/>
          <w:color w:val="auto"/>
          <w:sz w:val="24"/>
          <w:szCs w:val="24"/>
          <w:highlight w:val="none"/>
        </w:rPr>
        <w:t>；</w:t>
      </w:r>
    </w:p>
    <w:p w14:paraId="56A188B5">
      <w:pPr>
        <w:widowControl/>
        <w:shd w:val="clear" w:color="auto" w:fill="FFFFFF"/>
        <w:spacing w:line="360" w:lineRule="auto"/>
        <w:ind w:firstLine="420"/>
        <w:rPr>
          <w:rFonts w:hint="eastAsia"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）必要的法律依据</w:t>
      </w:r>
      <w:r>
        <w:rPr>
          <w:rFonts w:hint="eastAsia" w:ascii="宋体" w:hAnsi="宋体"/>
          <w:color w:val="auto"/>
          <w:sz w:val="24"/>
          <w:szCs w:val="24"/>
          <w:highlight w:val="none"/>
        </w:rPr>
        <w:t>（具体条款）</w:t>
      </w:r>
      <w:r>
        <w:rPr>
          <w:rFonts w:ascii="宋体" w:hAnsi="宋体"/>
          <w:color w:val="auto"/>
          <w:sz w:val="24"/>
          <w:szCs w:val="24"/>
          <w:highlight w:val="none"/>
        </w:rPr>
        <w:t>；</w:t>
      </w:r>
    </w:p>
    <w:p w14:paraId="2E5C5DFE">
      <w:pPr>
        <w:widowControl/>
        <w:shd w:val="clear" w:color="auto" w:fill="FFFFFF"/>
        <w:spacing w:line="360" w:lineRule="auto"/>
        <w:ind w:firstLine="420"/>
        <w:rPr>
          <w:rFonts w:hint="eastAsia"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6</w:t>
      </w:r>
      <w:r>
        <w:rPr>
          <w:rFonts w:ascii="宋体" w:hAnsi="宋体"/>
          <w:color w:val="auto"/>
          <w:sz w:val="24"/>
          <w:szCs w:val="24"/>
          <w:highlight w:val="none"/>
        </w:rPr>
        <w:t>）提出质疑的日期。</w:t>
      </w:r>
    </w:p>
    <w:p w14:paraId="2DDA92A3">
      <w:pPr>
        <w:widowControl/>
        <w:shd w:val="clear" w:color="auto" w:fill="FFFFFF"/>
        <w:spacing w:line="360" w:lineRule="auto"/>
        <w:ind w:firstLine="420"/>
        <w:rPr>
          <w:rFonts w:hint="eastAsia" w:ascii="宋体" w:hAnsi="宋体"/>
          <w:color w:val="auto"/>
          <w:sz w:val="24"/>
          <w:szCs w:val="24"/>
          <w:highlight w:val="none"/>
        </w:rPr>
      </w:pPr>
      <w:r>
        <w:rPr>
          <w:rFonts w:ascii="宋体" w:hAnsi="宋体"/>
          <w:color w:val="auto"/>
          <w:sz w:val="24"/>
          <w:szCs w:val="24"/>
          <w:highlight w:val="none"/>
        </w:rPr>
        <w:t>投标人为自然人的，应当由本人签字；投标人为法人或者其他组织的，应当由法定代表人、主要负责人，或者其委托代理人签字或者盖章，并加盖公章。</w:t>
      </w:r>
      <w:r>
        <w:rPr>
          <w:rFonts w:hint="eastAsia" w:ascii="宋体" w:hAnsi="宋体"/>
          <w:color w:val="auto"/>
          <w:sz w:val="24"/>
          <w:szCs w:val="24"/>
          <w:highlight w:val="none"/>
        </w:rPr>
        <w:t>代理人提出质疑和投诉，应当提交投标人签署的授权委托书。</w:t>
      </w:r>
      <w:r>
        <w:rPr>
          <w:rFonts w:ascii="宋体" w:hAnsi="宋体"/>
          <w:color w:val="auto"/>
          <w:sz w:val="24"/>
          <w:szCs w:val="24"/>
          <w:highlight w:val="none"/>
        </w:rPr>
        <w:t>其授权委托书应当载明代理人的姓名或者名称、代理事项、具体权限、期限和相关事项。</w:t>
      </w:r>
    </w:p>
    <w:p w14:paraId="561D65A3">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质疑函应当使用中文。相关当事人提供外文书证或者外国语视听资料的，应当附有中文译本，由翻译机构盖章或者翻译人员签名。</w:t>
      </w:r>
    </w:p>
    <w:p w14:paraId="617398C7">
      <w:pPr>
        <w:widowControl/>
        <w:shd w:val="clear" w:color="auto" w:fill="FFFFFF"/>
        <w:spacing w:line="360" w:lineRule="auto"/>
        <w:ind w:firstLine="420"/>
        <w:rPr>
          <w:rFonts w:hint="eastAsia" w:ascii="宋体" w:hAnsi="宋体"/>
          <w:color w:val="auto"/>
          <w:sz w:val="24"/>
          <w:szCs w:val="24"/>
          <w:highlight w:val="none"/>
        </w:rPr>
      </w:pPr>
      <w:r>
        <w:rPr>
          <w:rFonts w:ascii="宋体" w:hAnsi="宋体"/>
          <w:color w:val="auto"/>
          <w:sz w:val="24"/>
          <w:szCs w:val="24"/>
          <w:highlight w:val="none"/>
        </w:rPr>
        <w:t xml:space="preserve">26.5 </w:t>
      </w:r>
      <w:r>
        <w:rPr>
          <w:rFonts w:hint="eastAsia" w:ascii="宋体" w:hAnsi="宋体"/>
          <w:color w:val="auto"/>
          <w:sz w:val="24"/>
          <w:szCs w:val="24"/>
          <w:highlight w:val="none"/>
        </w:rPr>
        <w:t>质疑函应当现场提交至采购代理机构联系人处，提交时应出示有效身份证明。未按上述要求提交质疑函的，质疑不予受理。</w:t>
      </w:r>
    </w:p>
    <w:p w14:paraId="0EC93E40">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6370ABE9">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26.7 采购代理机构在收到投标人的书面质疑后将及时组织调查核实，在</w:t>
      </w:r>
      <w:r>
        <w:rPr>
          <w:rFonts w:hint="eastAsia" w:ascii="宋体" w:hAnsi="宋体"/>
          <w:b/>
          <w:bCs/>
          <w:color w:val="auto"/>
          <w:sz w:val="24"/>
          <w:szCs w:val="24"/>
          <w:highlight w:val="none"/>
        </w:rPr>
        <w:t>七个工作日内</w:t>
      </w:r>
      <w:r>
        <w:rPr>
          <w:rFonts w:hint="eastAsia" w:ascii="宋体" w:hAnsi="宋体"/>
          <w:color w:val="auto"/>
          <w:sz w:val="24"/>
          <w:szCs w:val="24"/>
          <w:highlight w:val="none"/>
        </w:rPr>
        <w:t>作出答复，并以书面或在网站公告形式通知质疑投标人和其他有关投标人，答复的内容不涉及商业秘密。</w:t>
      </w:r>
    </w:p>
    <w:p w14:paraId="7709494F">
      <w:pPr>
        <w:widowControl/>
        <w:shd w:val="clear" w:color="auto" w:fill="FFFFFF"/>
        <w:spacing w:line="360" w:lineRule="auto"/>
        <w:ind w:firstLine="420"/>
        <w:rPr>
          <w:rFonts w:hint="eastAsia" w:ascii="宋体" w:hAnsi="宋体"/>
          <w:color w:val="auto"/>
          <w:sz w:val="24"/>
          <w:szCs w:val="24"/>
          <w:highlight w:val="none"/>
        </w:rPr>
      </w:pPr>
      <w:r>
        <w:rPr>
          <w:rFonts w:hint="eastAsia" w:ascii="宋体" w:hAnsi="宋体"/>
          <w:b/>
          <w:bCs/>
          <w:color w:val="auto"/>
          <w:sz w:val="24"/>
          <w:szCs w:val="24"/>
          <w:highlight w:val="none"/>
        </w:rPr>
        <w:t>27.投诉</w:t>
      </w:r>
    </w:p>
    <w:p w14:paraId="759B6B9A">
      <w:pPr>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27.1质疑投标人对采购代理机构的答复不满意或者采购代理机构未在规定的时间内作出答复的，可以在答复期满后十五个工作日内向同级政府采购监督管理部门投诉。</w:t>
      </w:r>
    </w:p>
    <w:p w14:paraId="355EDD35">
      <w:pPr>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27.2</w:t>
      </w:r>
      <w:r>
        <w:rPr>
          <w:rFonts w:ascii="宋体" w:hAnsi="宋体"/>
          <w:color w:val="auto"/>
          <w:sz w:val="24"/>
          <w:szCs w:val="24"/>
          <w:highlight w:val="none"/>
        </w:rPr>
        <w:t xml:space="preserve"> </w:t>
      </w:r>
      <w:r>
        <w:rPr>
          <w:rFonts w:hint="eastAsia" w:ascii="宋体" w:hAnsi="宋体"/>
          <w:color w:val="auto"/>
          <w:sz w:val="24"/>
          <w:szCs w:val="24"/>
          <w:highlight w:val="none"/>
        </w:rPr>
        <w:t>投标人投诉应当有明确的请求和必要的证明材料。投标人投诉的事项不得超出已质疑事项的范围。</w:t>
      </w:r>
    </w:p>
    <w:p w14:paraId="544826BD">
      <w:pPr>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27.3</w:t>
      </w:r>
      <w:r>
        <w:rPr>
          <w:rFonts w:ascii="宋体" w:hAnsi="宋体"/>
          <w:color w:val="auto"/>
          <w:sz w:val="24"/>
          <w:szCs w:val="24"/>
          <w:highlight w:val="none"/>
        </w:rPr>
        <w:t>投诉人对政府采购监督管理部门的投诉处理决定不服或者政府采购监督管理部门逾期未作处理的，可以依法申请行政复议或者向人民法院提起行政诉讼。</w:t>
      </w:r>
    </w:p>
    <w:p w14:paraId="754CEDA5">
      <w:pPr>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27.4 投诉人在全国范围12个月内3次以上投诉查无实据的，由财政部门列入不良行为记录名单。</w:t>
      </w:r>
    </w:p>
    <w:p w14:paraId="39BCF8EC">
      <w:pPr>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7.5</w:t>
      </w:r>
      <w:r>
        <w:rPr>
          <w:rFonts w:hint="eastAsia" w:ascii="宋体" w:hAnsi="宋体"/>
          <w:color w:val="auto"/>
          <w:sz w:val="24"/>
          <w:szCs w:val="24"/>
          <w:highlight w:val="none"/>
        </w:rPr>
        <w:t>投诉人有下列行为之一的，属于虚假、恶意投诉，由财政部门列入不良行为记录名单，禁止其1至3年内参加政府采购活动：</w:t>
      </w:r>
    </w:p>
    <w:p w14:paraId="10E7C0E2">
      <w:pPr>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（1）捏造事实；</w:t>
      </w:r>
    </w:p>
    <w:p w14:paraId="21B4EDFC">
      <w:pPr>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（2）提供虚假材料；</w:t>
      </w:r>
    </w:p>
    <w:p w14:paraId="6A70574C">
      <w:pPr>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（3）以非法手段取得证明材料。证据来源的合法性存在明显疑问，投诉人无法证明其取得方式合法的，视为以非法手段取得证明材料。</w:t>
      </w:r>
    </w:p>
    <w:p w14:paraId="507E0904">
      <w:pPr>
        <w:widowControl/>
        <w:shd w:val="clear" w:color="auto" w:fill="FFFFFF"/>
        <w:spacing w:line="360" w:lineRule="auto"/>
        <w:ind w:firstLine="422"/>
        <w:jc w:val="left"/>
        <w:rPr>
          <w:rFonts w:hint="eastAsia" w:ascii="宋体" w:hAnsi="宋体" w:cs="宋体"/>
          <w:b/>
          <w:bCs/>
          <w:color w:val="auto"/>
          <w:szCs w:val="21"/>
          <w:highlight w:val="none"/>
        </w:rPr>
      </w:pPr>
    </w:p>
    <w:p w14:paraId="0B05D93D">
      <w:pPr>
        <w:pStyle w:val="3"/>
        <w:keepNext/>
        <w:keepLines/>
        <w:pageBreakBefore w:val="0"/>
        <w:widowControl w:val="0"/>
        <w:numPr>
          <w:ilvl w:val="0"/>
          <w:numId w:val="0"/>
        </w:numPr>
        <w:kinsoku/>
        <w:wordWrap/>
        <w:overflowPunct/>
        <w:topLinePunct w:val="0"/>
        <w:autoSpaceDE/>
        <w:autoSpaceDN/>
        <w:bidi w:val="0"/>
        <w:adjustRightInd/>
        <w:snapToGrid/>
        <w:spacing w:before="0" w:line="240" w:lineRule="auto"/>
        <w:textAlignment w:val="auto"/>
        <w:rPr>
          <w:rFonts w:hint="eastAsia" w:asciiTheme="minorEastAsia" w:hAnsiTheme="minorEastAsia" w:eastAsiaTheme="minorEastAsia"/>
          <w:color w:val="auto"/>
          <w:highlight w:val="none"/>
        </w:rPr>
      </w:pPr>
      <w:r>
        <w:rPr>
          <w:rFonts w:asciiTheme="minorEastAsia" w:hAnsiTheme="minorEastAsia" w:eastAsiaTheme="minorEastAsia"/>
          <w:color w:val="auto"/>
          <w:sz w:val="21"/>
          <w:szCs w:val="21"/>
          <w:highlight w:val="none"/>
        </w:rPr>
        <w:br w:type="page" w:clear="all"/>
      </w:r>
      <w:bookmarkStart w:id="38" w:name="_Toc9379"/>
      <w:bookmarkStart w:id="39" w:name="_Toc2754"/>
      <w:bookmarkStart w:id="40" w:name="_Toc481057145"/>
      <w:r>
        <w:rPr>
          <w:rFonts w:hint="eastAsia" w:asciiTheme="minorEastAsia" w:hAnsiTheme="minorEastAsia" w:eastAsiaTheme="minorEastAsia"/>
          <w:color w:val="auto"/>
          <w:highlight w:val="none"/>
        </w:rPr>
        <w:t>第三章 评标标准</w:t>
      </w:r>
      <w:bookmarkEnd w:id="38"/>
      <w:bookmarkEnd w:id="39"/>
      <w:bookmarkEnd w:id="40"/>
    </w:p>
    <w:p w14:paraId="4C4B1BA2">
      <w:pPr>
        <w:widowControl/>
        <w:shd w:val="clear" w:color="auto" w:fill="FFFFFF"/>
        <w:spacing w:line="360" w:lineRule="auto"/>
        <w:ind w:firstLine="420"/>
        <w:jc w:val="left"/>
        <w:rPr>
          <w:rFonts w:hint="eastAsia" w:asciiTheme="minorEastAsia" w:hAnsiTheme="minorEastAsia" w:eastAsiaTheme="minorEastAsia"/>
          <w:color w:val="auto"/>
          <w:sz w:val="24"/>
          <w:szCs w:val="24"/>
          <w:highlight w:val="none"/>
        </w:rPr>
      </w:pPr>
      <w:bookmarkStart w:id="41" w:name="_Hlk44577066"/>
      <w:r>
        <w:rPr>
          <w:rFonts w:hint="eastAsia" w:asciiTheme="minorEastAsia" w:hAnsiTheme="minorEastAsia" w:eastAsiaTheme="minorEastAsia"/>
          <w:color w:val="auto"/>
          <w:sz w:val="24"/>
          <w:szCs w:val="24"/>
          <w:highlight w:val="none"/>
        </w:rPr>
        <w:t>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42" w:name="_Hlk176529455"/>
    </w:p>
    <w:p w14:paraId="52152167">
      <w:pPr>
        <w:widowControl/>
        <w:shd w:val="clear" w:color="auto" w:fill="FFFFFF"/>
        <w:spacing w:line="360" w:lineRule="auto"/>
        <w:ind w:firstLine="422"/>
        <w:jc w:val="left"/>
        <w:rPr>
          <w:rFonts w:hint="eastAsia" w:cs="Arial" w:asciiTheme="minorEastAsia" w:hAnsiTheme="minorEastAsia" w:eastAsiaTheme="minorEastAsia"/>
          <w:b/>
          <w:color w:val="auto"/>
          <w:sz w:val="24"/>
          <w:szCs w:val="24"/>
          <w:highlight w:val="none"/>
        </w:rPr>
      </w:pPr>
      <w:r>
        <w:rPr>
          <w:rFonts w:hint="eastAsia" w:cs="Arial" w:asciiTheme="minorEastAsia" w:hAnsiTheme="minorEastAsia" w:eastAsiaTheme="minorEastAsia"/>
          <w:b/>
          <w:color w:val="auto"/>
          <w:sz w:val="24"/>
          <w:szCs w:val="24"/>
          <w:highlight w:val="none"/>
        </w:rPr>
        <w:t>注：本项目共分为</w:t>
      </w:r>
      <w:r>
        <w:rPr>
          <w:rFonts w:hint="eastAsia" w:cs="Arial" w:asciiTheme="minorEastAsia" w:hAnsiTheme="minorEastAsia" w:eastAsiaTheme="minorEastAsia"/>
          <w:b/>
          <w:color w:val="auto"/>
          <w:sz w:val="24"/>
          <w:szCs w:val="24"/>
          <w:highlight w:val="none"/>
          <w:lang w:val="en-US" w:eastAsia="zh-CN"/>
        </w:rPr>
        <w:t>2</w:t>
      </w:r>
      <w:r>
        <w:rPr>
          <w:rFonts w:hint="eastAsia" w:cs="Arial" w:asciiTheme="minorEastAsia" w:hAnsiTheme="minorEastAsia" w:eastAsiaTheme="minorEastAsia"/>
          <w:b/>
          <w:color w:val="auto"/>
          <w:sz w:val="24"/>
          <w:szCs w:val="24"/>
          <w:highlight w:val="none"/>
        </w:rPr>
        <w:t>个采购分包，每个分包确定1名中标人，投标人可以同时参与多个分包，但只能在一个分包中中标。本项目按照采购包1、采购包2的顺序依次进行评标，如投标人在前一采购包1中标，依旧参与后续分包的评审，但不再推荐为采购包2的中标人。</w:t>
      </w:r>
    </w:p>
    <w:tbl>
      <w:tblPr>
        <w:tblStyle w:val="48"/>
        <w:tblW w:w="971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817"/>
        <w:gridCol w:w="1261"/>
        <w:gridCol w:w="6768"/>
        <w:gridCol w:w="864"/>
      </w:tblGrid>
      <w:tr w14:paraId="6962F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00" w:hRule="atLeast"/>
          <w:jc w:val="center"/>
        </w:trPr>
        <w:tc>
          <w:tcPr>
            <w:tcW w:w="817" w:type="dxa"/>
            <w:noWrap w:val="0"/>
            <w:vAlign w:val="center"/>
          </w:tcPr>
          <w:p w14:paraId="2230684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序号</w:t>
            </w:r>
          </w:p>
        </w:tc>
        <w:tc>
          <w:tcPr>
            <w:tcW w:w="1261" w:type="dxa"/>
            <w:noWrap w:val="0"/>
            <w:vAlign w:val="center"/>
          </w:tcPr>
          <w:p w14:paraId="22F7334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评审因素</w:t>
            </w:r>
          </w:p>
        </w:tc>
        <w:tc>
          <w:tcPr>
            <w:tcW w:w="6768" w:type="dxa"/>
            <w:noWrap w:val="0"/>
            <w:vAlign w:val="center"/>
          </w:tcPr>
          <w:p w14:paraId="1A5B95B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评审细则</w:t>
            </w:r>
          </w:p>
        </w:tc>
        <w:tc>
          <w:tcPr>
            <w:tcW w:w="864" w:type="dxa"/>
            <w:noWrap w:val="0"/>
            <w:vAlign w:val="center"/>
          </w:tcPr>
          <w:p w14:paraId="672163FD">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pacing w:val="-3"/>
                <w:sz w:val="24"/>
                <w:szCs w:val="24"/>
                <w:highlight w:val="none"/>
              </w:rPr>
              <w:t>分值</w:t>
            </w:r>
          </w:p>
        </w:tc>
      </w:tr>
      <w:tr w14:paraId="6F26F1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098" w:hRule="atLeast"/>
          <w:jc w:val="center"/>
        </w:trPr>
        <w:tc>
          <w:tcPr>
            <w:tcW w:w="817" w:type="dxa"/>
            <w:noWrap w:val="0"/>
            <w:vAlign w:val="center"/>
          </w:tcPr>
          <w:p w14:paraId="0A5C84AB">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w:t>
            </w:r>
          </w:p>
        </w:tc>
        <w:tc>
          <w:tcPr>
            <w:tcW w:w="1261" w:type="dxa"/>
            <w:noWrap w:val="0"/>
            <w:vAlign w:val="center"/>
          </w:tcPr>
          <w:p w14:paraId="2FA87A86">
            <w:pPr>
              <w:spacing w:line="360" w:lineRule="auto"/>
              <w:jc w:val="center"/>
              <w:rPr>
                <w:rFonts w:hint="eastAsia" w:ascii="宋体" w:hAnsi="宋体" w:eastAsia="宋体" w:cs="Times New Roman"/>
                <w:color w:val="auto"/>
                <w:kern w:val="2"/>
                <w:sz w:val="24"/>
                <w:highlight w:val="none"/>
                <w:lang w:val="zh-CN" w:eastAsia="zh-CN" w:bidi="ar-SA"/>
              </w:rPr>
            </w:pPr>
            <w:r>
              <w:rPr>
                <w:rFonts w:hint="eastAsia" w:ascii="宋体" w:hAnsi="宋体" w:eastAsia="宋体" w:cs="Times New Roman"/>
                <w:color w:val="auto"/>
                <w:kern w:val="2"/>
                <w:sz w:val="24"/>
                <w:highlight w:val="none"/>
                <w:lang w:val="zh-CN" w:eastAsia="zh-CN" w:bidi="ar-SA"/>
              </w:rPr>
              <w:t>价格</w:t>
            </w:r>
          </w:p>
        </w:tc>
        <w:tc>
          <w:tcPr>
            <w:tcW w:w="6768" w:type="dxa"/>
            <w:noWrap w:val="0"/>
            <w:vAlign w:val="center"/>
          </w:tcPr>
          <w:p w14:paraId="2023700E">
            <w:pPr>
              <w:spacing w:line="360" w:lineRule="auto"/>
              <w:jc w:val="left"/>
              <w:rPr>
                <w:rFonts w:hint="eastAsia" w:ascii="宋体" w:hAnsi="宋体" w:eastAsia="宋体" w:cs="Times New Roman"/>
                <w:color w:val="auto"/>
                <w:kern w:val="2"/>
                <w:sz w:val="24"/>
                <w:highlight w:val="none"/>
                <w:lang w:val="en-US" w:eastAsia="zh-CN" w:bidi="ar-SA"/>
              </w:rPr>
            </w:pPr>
            <w:r>
              <w:rPr>
                <w:rFonts w:hint="eastAsia" w:ascii="宋体" w:hAnsi="宋体" w:eastAsia="宋体" w:cs="Times New Roman"/>
                <w:color w:val="auto"/>
                <w:kern w:val="2"/>
                <w:sz w:val="24"/>
                <w:highlight w:val="none"/>
                <w:lang w:val="en-US" w:eastAsia="zh-CN" w:bidi="ar-SA"/>
              </w:rPr>
              <w:t>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s="Times New Roman"/>
                <w:color w:val="auto"/>
                <w:kern w:val="2"/>
                <w:sz w:val="24"/>
                <w:highlight w:val="none"/>
                <w:lang w:val="en-US" w:eastAsia="zh-CN" w:bidi="ar-SA"/>
              </w:rPr>
              <w:t>15</w:t>
            </w:r>
            <w:r>
              <w:rPr>
                <w:rFonts w:hint="eastAsia" w:ascii="宋体" w:hAnsi="宋体" w:eastAsia="宋体" w:cs="Times New Roman"/>
                <w:color w:val="auto"/>
                <w:kern w:val="2"/>
                <w:sz w:val="24"/>
                <w:highlight w:val="none"/>
                <w:lang w:val="en-US" w:eastAsia="zh-CN" w:bidi="ar-SA"/>
              </w:rPr>
              <w:t>.00</w:t>
            </w:r>
          </w:p>
        </w:tc>
        <w:tc>
          <w:tcPr>
            <w:tcW w:w="864" w:type="dxa"/>
            <w:noWrap w:val="0"/>
            <w:vAlign w:val="center"/>
          </w:tcPr>
          <w:p w14:paraId="181215F4">
            <w:pPr>
              <w:jc w:val="center"/>
              <w:rPr>
                <w:rFonts w:hint="default" w:ascii="宋体" w:hAnsi="宋体" w:eastAsia="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15</w:t>
            </w:r>
          </w:p>
        </w:tc>
      </w:tr>
      <w:tr w14:paraId="35C2B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604" w:hRule="atLeast"/>
          <w:jc w:val="center"/>
        </w:trPr>
        <w:tc>
          <w:tcPr>
            <w:tcW w:w="817" w:type="dxa"/>
            <w:noWrap w:val="0"/>
            <w:vAlign w:val="center"/>
          </w:tcPr>
          <w:p w14:paraId="44C4ACE4">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w:t>
            </w:r>
          </w:p>
        </w:tc>
        <w:tc>
          <w:tcPr>
            <w:tcW w:w="1261" w:type="dxa"/>
            <w:noWrap w:val="0"/>
            <w:vAlign w:val="center"/>
          </w:tcPr>
          <w:p w14:paraId="3D3531EB">
            <w:pPr>
              <w:spacing w:line="360" w:lineRule="auto"/>
              <w:jc w:val="center"/>
              <w:rPr>
                <w:rFonts w:hint="eastAsia" w:ascii="宋体" w:hAnsi="宋体" w:eastAsia="宋体" w:cs="Times New Roman"/>
                <w:color w:val="auto"/>
                <w:kern w:val="2"/>
                <w:sz w:val="24"/>
                <w:highlight w:val="none"/>
                <w:lang w:val="zh-CN" w:eastAsia="zh-CN" w:bidi="ar-SA"/>
              </w:rPr>
            </w:pPr>
            <w:r>
              <w:rPr>
                <w:rFonts w:hint="default" w:ascii="宋体" w:hAnsi="宋体" w:eastAsia="宋体" w:cs="Times New Roman"/>
                <w:color w:val="auto"/>
                <w:kern w:val="2"/>
                <w:sz w:val="24"/>
                <w:highlight w:val="none"/>
                <w:lang w:val="zh-CN" w:eastAsia="zh-CN" w:bidi="ar-SA"/>
              </w:rPr>
              <w:t>污泥处置工艺</w:t>
            </w:r>
          </w:p>
        </w:tc>
        <w:tc>
          <w:tcPr>
            <w:tcW w:w="6768" w:type="dxa"/>
            <w:noWrap w:val="0"/>
            <w:vAlign w:val="center"/>
          </w:tcPr>
          <w:p w14:paraId="4E192FD2">
            <w:pPr>
              <w:spacing w:line="360" w:lineRule="auto"/>
              <w:jc w:val="left"/>
              <w:rPr>
                <w:rFonts w:hint="eastAsia" w:ascii="宋体" w:hAnsi="宋体" w:eastAsia="宋体" w:cs="Times New Roman"/>
                <w:color w:val="auto"/>
                <w:kern w:val="2"/>
                <w:sz w:val="24"/>
                <w:highlight w:val="none"/>
                <w:lang w:val="en-US" w:eastAsia="zh-CN" w:bidi="ar-SA"/>
              </w:rPr>
            </w:pPr>
            <w:r>
              <w:rPr>
                <w:rFonts w:hint="eastAsia" w:ascii="宋体" w:hAnsi="宋体" w:eastAsia="宋体" w:cs="Times New Roman"/>
                <w:color w:val="auto"/>
                <w:kern w:val="2"/>
                <w:sz w:val="24"/>
                <w:highlight w:val="none"/>
                <w:lang w:val="en-US" w:eastAsia="zh-CN" w:bidi="ar-SA"/>
              </w:rPr>
              <w:t>评委根据供应商针对本项目</w:t>
            </w:r>
            <w:r>
              <w:rPr>
                <w:rFonts w:hint="default" w:ascii="宋体" w:hAnsi="宋体" w:eastAsia="宋体" w:cs="Times New Roman"/>
                <w:color w:val="auto"/>
                <w:kern w:val="2"/>
                <w:sz w:val="24"/>
                <w:highlight w:val="none"/>
                <w:lang w:val="zh-CN" w:eastAsia="zh-CN" w:bidi="ar-SA"/>
              </w:rPr>
              <w:t>提供的污泥处理工艺方案</w:t>
            </w:r>
            <w:r>
              <w:rPr>
                <w:rFonts w:hint="eastAsia" w:ascii="宋体" w:hAnsi="宋体" w:eastAsia="宋体" w:cs="Times New Roman"/>
                <w:color w:val="auto"/>
                <w:kern w:val="2"/>
                <w:sz w:val="24"/>
                <w:highlight w:val="none"/>
                <w:lang w:val="zh-CN" w:eastAsia="zh-CN" w:bidi="ar-SA"/>
              </w:rPr>
              <w:t>（方案中需详细阐述在污泥处置过程中确保废水、废气、废渣不对周围环境产生二次污染的实施办法或措施）</w:t>
            </w:r>
            <w:r>
              <w:rPr>
                <w:rFonts w:hint="eastAsia" w:ascii="宋体" w:hAnsi="宋体" w:eastAsia="宋体" w:cs="Times New Roman"/>
                <w:color w:val="auto"/>
                <w:kern w:val="2"/>
                <w:sz w:val="24"/>
                <w:highlight w:val="none"/>
                <w:lang w:val="en-US" w:eastAsia="zh-CN" w:bidi="ar-SA"/>
              </w:rPr>
              <w:t>进行综合评分：</w:t>
            </w:r>
          </w:p>
          <w:p w14:paraId="1C25148E">
            <w:pPr>
              <w:spacing w:line="360" w:lineRule="auto"/>
              <w:jc w:val="left"/>
              <w:rPr>
                <w:rFonts w:hint="eastAsia" w:ascii="宋体" w:hAnsi="宋体" w:eastAsia="宋体" w:cs="Times New Roman"/>
                <w:color w:val="auto"/>
                <w:kern w:val="2"/>
                <w:sz w:val="24"/>
                <w:highlight w:val="none"/>
                <w:lang w:val="en-US" w:eastAsia="zh-CN" w:bidi="ar-SA"/>
              </w:rPr>
            </w:pPr>
            <w:r>
              <w:rPr>
                <w:rFonts w:hint="default" w:ascii="宋体" w:hAnsi="宋体" w:eastAsia="宋体" w:cs="Times New Roman"/>
                <w:color w:val="auto"/>
                <w:kern w:val="2"/>
                <w:sz w:val="24"/>
                <w:highlight w:val="none"/>
                <w:lang w:val="zh-CN" w:eastAsia="zh-CN" w:bidi="ar-SA"/>
              </w:rPr>
              <w:t>提供的污泥处理工艺方案成熟，处置</w:t>
            </w:r>
            <w:r>
              <w:rPr>
                <w:rFonts w:hint="eastAsia" w:ascii="宋体" w:hAnsi="宋体" w:cs="Times New Roman"/>
                <w:color w:val="auto"/>
                <w:kern w:val="2"/>
                <w:sz w:val="24"/>
                <w:highlight w:val="none"/>
                <w:lang w:val="en-US" w:eastAsia="zh-CN" w:bidi="ar-SA"/>
              </w:rPr>
              <w:t>工艺</w:t>
            </w:r>
            <w:r>
              <w:rPr>
                <w:rFonts w:hint="default" w:ascii="宋体" w:hAnsi="宋体" w:eastAsia="宋体" w:cs="Times New Roman"/>
                <w:color w:val="auto"/>
                <w:kern w:val="2"/>
                <w:sz w:val="24"/>
                <w:highlight w:val="none"/>
                <w:lang w:val="zh-CN" w:eastAsia="zh-CN" w:bidi="ar-SA"/>
              </w:rPr>
              <w:t>可靠、可行性强</w:t>
            </w:r>
            <w:r>
              <w:rPr>
                <w:rFonts w:hint="eastAsia" w:ascii="宋体" w:hAnsi="宋体" w:eastAsia="宋体" w:cs="Times New Roman"/>
                <w:color w:val="auto"/>
                <w:kern w:val="2"/>
                <w:sz w:val="24"/>
                <w:highlight w:val="none"/>
                <w:lang w:val="en-US" w:eastAsia="zh-CN" w:bidi="ar-SA"/>
              </w:rPr>
              <w:t>的</w:t>
            </w:r>
            <w:r>
              <w:rPr>
                <w:rFonts w:hint="default" w:ascii="宋体" w:hAnsi="宋体" w:eastAsia="宋体" w:cs="Times New Roman"/>
                <w:color w:val="auto"/>
                <w:kern w:val="2"/>
                <w:sz w:val="24"/>
                <w:highlight w:val="none"/>
                <w:lang w:val="zh-CN" w:eastAsia="zh-CN" w:bidi="ar-SA"/>
              </w:rPr>
              <w:t>，得</w:t>
            </w:r>
            <w:r>
              <w:rPr>
                <w:rFonts w:hint="eastAsia" w:ascii="宋体" w:hAnsi="宋体" w:eastAsia="宋体" w:cs="Times New Roman"/>
                <w:color w:val="auto"/>
                <w:kern w:val="2"/>
                <w:sz w:val="24"/>
                <w:highlight w:val="none"/>
                <w:lang w:val="en-US" w:eastAsia="zh-CN" w:bidi="ar-SA"/>
              </w:rPr>
              <w:t>10</w:t>
            </w:r>
            <w:r>
              <w:rPr>
                <w:rFonts w:hint="default" w:ascii="宋体" w:hAnsi="宋体" w:eastAsia="宋体" w:cs="Times New Roman"/>
                <w:color w:val="auto"/>
                <w:kern w:val="2"/>
                <w:sz w:val="24"/>
                <w:highlight w:val="none"/>
                <w:lang w:val="zh-CN" w:eastAsia="zh-CN" w:bidi="ar-SA"/>
              </w:rPr>
              <w:t>分；提供的污泥处理工艺方案较成熟，处置</w:t>
            </w:r>
            <w:r>
              <w:rPr>
                <w:rFonts w:hint="eastAsia" w:ascii="宋体" w:hAnsi="宋体" w:cs="Times New Roman"/>
                <w:color w:val="auto"/>
                <w:kern w:val="2"/>
                <w:sz w:val="24"/>
                <w:highlight w:val="none"/>
                <w:lang w:val="en-US" w:eastAsia="zh-CN" w:bidi="ar-SA"/>
              </w:rPr>
              <w:t>工艺</w:t>
            </w:r>
            <w:r>
              <w:rPr>
                <w:rFonts w:hint="default" w:ascii="宋体" w:hAnsi="宋体" w:eastAsia="宋体" w:cs="Times New Roman"/>
                <w:color w:val="auto"/>
                <w:kern w:val="2"/>
                <w:sz w:val="24"/>
                <w:highlight w:val="none"/>
                <w:lang w:val="zh-CN" w:eastAsia="zh-CN" w:bidi="ar-SA"/>
              </w:rPr>
              <w:t>较可靠、可行性较强</w:t>
            </w:r>
            <w:r>
              <w:rPr>
                <w:rFonts w:hint="eastAsia" w:ascii="宋体" w:hAnsi="宋体" w:eastAsia="宋体" w:cs="Times New Roman"/>
                <w:color w:val="auto"/>
                <w:kern w:val="2"/>
                <w:sz w:val="24"/>
                <w:highlight w:val="none"/>
                <w:lang w:val="en-US" w:eastAsia="zh-CN" w:bidi="ar-SA"/>
              </w:rPr>
              <w:t>的</w:t>
            </w:r>
            <w:r>
              <w:rPr>
                <w:rFonts w:hint="default" w:ascii="宋体" w:hAnsi="宋体" w:eastAsia="宋体" w:cs="Times New Roman"/>
                <w:color w:val="auto"/>
                <w:kern w:val="2"/>
                <w:sz w:val="24"/>
                <w:highlight w:val="none"/>
                <w:lang w:val="zh-CN" w:eastAsia="zh-CN" w:bidi="ar-SA"/>
              </w:rPr>
              <w:t>，得</w:t>
            </w:r>
            <w:r>
              <w:rPr>
                <w:rFonts w:hint="eastAsia" w:ascii="宋体" w:hAnsi="宋体" w:eastAsia="宋体" w:cs="Times New Roman"/>
                <w:color w:val="auto"/>
                <w:kern w:val="2"/>
                <w:sz w:val="24"/>
                <w:highlight w:val="none"/>
                <w:lang w:val="en-US" w:eastAsia="zh-CN" w:bidi="ar-SA"/>
              </w:rPr>
              <w:t>7</w:t>
            </w:r>
            <w:r>
              <w:rPr>
                <w:rFonts w:hint="default" w:ascii="宋体" w:hAnsi="宋体" w:eastAsia="宋体" w:cs="Times New Roman"/>
                <w:color w:val="auto"/>
                <w:kern w:val="2"/>
                <w:sz w:val="24"/>
                <w:highlight w:val="none"/>
                <w:lang w:val="zh-CN" w:eastAsia="zh-CN" w:bidi="ar-SA"/>
              </w:rPr>
              <w:t>分；提供的污泥处理工艺方案一般，处置</w:t>
            </w:r>
            <w:r>
              <w:rPr>
                <w:rFonts w:hint="eastAsia" w:ascii="宋体" w:hAnsi="宋体" w:cs="Times New Roman"/>
                <w:color w:val="auto"/>
                <w:kern w:val="2"/>
                <w:sz w:val="24"/>
                <w:highlight w:val="none"/>
                <w:lang w:val="en-US" w:eastAsia="zh-CN" w:bidi="ar-SA"/>
              </w:rPr>
              <w:t>工艺</w:t>
            </w:r>
            <w:r>
              <w:rPr>
                <w:rFonts w:hint="default" w:ascii="宋体" w:hAnsi="宋体" w:eastAsia="宋体" w:cs="Times New Roman"/>
                <w:color w:val="auto"/>
                <w:kern w:val="2"/>
                <w:sz w:val="24"/>
                <w:highlight w:val="none"/>
                <w:lang w:val="zh-CN" w:eastAsia="zh-CN" w:bidi="ar-SA"/>
              </w:rPr>
              <w:t>可靠度、可行性均一般</w:t>
            </w:r>
            <w:r>
              <w:rPr>
                <w:rFonts w:hint="eastAsia" w:ascii="宋体" w:hAnsi="宋体" w:eastAsia="宋体" w:cs="Times New Roman"/>
                <w:color w:val="auto"/>
                <w:kern w:val="2"/>
                <w:sz w:val="24"/>
                <w:highlight w:val="none"/>
                <w:lang w:val="en-US" w:eastAsia="zh-CN" w:bidi="ar-SA"/>
              </w:rPr>
              <w:t>的</w:t>
            </w:r>
            <w:r>
              <w:rPr>
                <w:rFonts w:hint="default" w:ascii="宋体" w:hAnsi="宋体" w:eastAsia="宋体" w:cs="Times New Roman"/>
                <w:color w:val="auto"/>
                <w:kern w:val="2"/>
                <w:sz w:val="24"/>
                <w:highlight w:val="none"/>
                <w:lang w:val="zh-CN" w:eastAsia="zh-CN" w:bidi="ar-SA"/>
              </w:rPr>
              <w:t>，得</w:t>
            </w:r>
            <w:r>
              <w:rPr>
                <w:rFonts w:hint="eastAsia" w:ascii="宋体" w:hAnsi="宋体" w:eastAsia="宋体" w:cs="Times New Roman"/>
                <w:color w:val="auto"/>
                <w:kern w:val="2"/>
                <w:sz w:val="24"/>
                <w:highlight w:val="none"/>
                <w:lang w:val="en-US" w:eastAsia="zh-CN" w:bidi="ar-SA"/>
              </w:rPr>
              <w:t>4</w:t>
            </w:r>
            <w:r>
              <w:rPr>
                <w:rFonts w:hint="default" w:ascii="宋体" w:hAnsi="宋体" w:eastAsia="宋体" w:cs="Times New Roman"/>
                <w:color w:val="auto"/>
                <w:kern w:val="2"/>
                <w:sz w:val="24"/>
                <w:highlight w:val="none"/>
                <w:lang w:val="zh-CN" w:eastAsia="zh-CN" w:bidi="ar-SA"/>
              </w:rPr>
              <w:t>分；提供的污泥处理工艺方案成熟度差，处置</w:t>
            </w:r>
            <w:r>
              <w:rPr>
                <w:rFonts w:hint="eastAsia" w:ascii="宋体" w:hAnsi="宋体" w:cs="Times New Roman"/>
                <w:color w:val="auto"/>
                <w:kern w:val="2"/>
                <w:sz w:val="24"/>
                <w:highlight w:val="none"/>
                <w:lang w:val="en-US" w:eastAsia="zh-CN" w:bidi="ar-SA"/>
              </w:rPr>
              <w:t>工艺</w:t>
            </w:r>
            <w:r>
              <w:rPr>
                <w:rFonts w:hint="default" w:ascii="宋体" w:hAnsi="宋体" w:eastAsia="宋体" w:cs="Times New Roman"/>
                <w:color w:val="auto"/>
                <w:kern w:val="2"/>
                <w:sz w:val="24"/>
                <w:highlight w:val="none"/>
                <w:lang w:val="zh-CN" w:eastAsia="zh-CN" w:bidi="ar-SA"/>
              </w:rPr>
              <w:t>不可靠、可行性差</w:t>
            </w:r>
            <w:r>
              <w:rPr>
                <w:rFonts w:hint="eastAsia" w:ascii="宋体" w:hAnsi="宋体" w:eastAsia="宋体" w:cs="Times New Roman"/>
                <w:color w:val="auto"/>
                <w:kern w:val="2"/>
                <w:sz w:val="24"/>
                <w:highlight w:val="none"/>
                <w:lang w:val="en-US" w:eastAsia="zh-CN" w:bidi="ar-SA"/>
              </w:rPr>
              <w:t>的</w:t>
            </w:r>
            <w:r>
              <w:rPr>
                <w:rFonts w:hint="default" w:ascii="宋体" w:hAnsi="宋体" w:eastAsia="宋体" w:cs="Times New Roman"/>
                <w:color w:val="auto"/>
                <w:kern w:val="2"/>
                <w:sz w:val="24"/>
                <w:highlight w:val="none"/>
                <w:lang w:val="zh-CN" w:eastAsia="zh-CN" w:bidi="ar-SA"/>
              </w:rPr>
              <w:t>，得</w:t>
            </w:r>
            <w:r>
              <w:rPr>
                <w:rFonts w:hint="eastAsia" w:ascii="宋体" w:hAnsi="宋体" w:eastAsia="宋体" w:cs="Times New Roman"/>
                <w:color w:val="auto"/>
                <w:kern w:val="2"/>
                <w:sz w:val="24"/>
                <w:highlight w:val="none"/>
                <w:lang w:val="en-US" w:eastAsia="zh-CN" w:bidi="ar-SA"/>
              </w:rPr>
              <w:t>1</w:t>
            </w:r>
            <w:r>
              <w:rPr>
                <w:rFonts w:hint="default" w:ascii="宋体" w:hAnsi="宋体" w:eastAsia="宋体" w:cs="Times New Roman"/>
                <w:color w:val="auto"/>
                <w:kern w:val="2"/>
                <w:sz w:val="24"/>
                <w:highlight w:val="none"/>
                <w:lang w:val="zh-CN" w:eastAsia="zh-CN" w:bidi="ar-SA"/>
              </w:rPr>
              <w:t>分；</w:t>
            </w:r>
            <w:r>
              <w:rPr>
                <w:rFonts w:hint="eastAsia" w:ascii="宋体" w:hAnsi="宋体" w:eastAsia="宋体" w:cs="Times New Roman"/>
                <w:color w:val="auto"/>
                <w:kern w:val="2"/>
                <w:sz w:val="24"/>
                <w:highlight w:val="none"/>
                <w:lang w:val="en-US" w:eastAsia="zh-CN" w:bidi="ar-SA"/>
              </w:rPr>
              <w:t>不提供不得分。</w:t>
            </w:r>
          </w:p>
        </w:tc>
        <w:tc>
          <w:tcPr>
            <w:tcW w:w="864" w:type="dxa"/>
            <w:noWrap w:val="0"/>
            <w:vAlign w:val="center"/>
          </w:tcPr>
          <w:p w14:paraId="2D0AF410">
            <w:pPr>
              <w:jc w:val="center"/>
              <w:rPr>
                <w:rFonts w:hint="default" w:ascii="宋体" w:hAnsi="宋体" w:eastAsia="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10</w:t>
            </w:r>
          </w:p>
        </w:tc>
      </w:tr>
      <w:tr w14:paraId="196FD9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17" w:type="dxa"/>
            <w:noWrap w:val="0"/>
            <w:vAlign w:val="center"/>
          </w:tcPr>
          <w:p w14:paraId="18FB265A">
            <w:pPr>
              <w:jc w:val="center"/>
              <w:rPr>
                <w:rFonts w:hint="default" w:ascii="宋体" w:hAnsi="宋体" w:eastAsia="宋体" w:cs="宋体"/>
                <w:color w:val="auto"/>
                <w:spacing w:val="-3"/>
                <w:sz w:val="24"/>
                <w:szCs w:val="24"/>
                <w:highlight w:val="none"/>
                <w:lang w:val="en-US" w:eastAsia="zh-CN"/>
              </w:rPr>
            </w:pPr>
            <w:r>
              <w:rPr>
                <w:rFonts w:hint="eastAsia" w:ascii="宋体" w:hAnsi="宋体" w:cs="宋体"/>
                <w:color w:val="auto"/>
                <w:spacing w:val="-3"/>
                <w:sz w:val="24"/>
                <w:szCs w:val="24"/>
                <w:highlight w:val="none"/>
                <w:lang w:val="en-US" w:eastAsia="zh-CN"/>
              </w:rPr>
              <w:t>3</w:t>
            </w:r>
          </w:p>
        </w:tc>
        <w:tc>
          <w:tcPr>
            <w:tcW w:w="1261" w:type="dxa"/>
            <w:noWrap w:val="0"/>
            <w:vAlign w:val="center"/>
          </w:tcPr>
          <w:p w14:paraId="05E800C7">
            <w:pPr>
              <w:spacing w:line="360" w:lineRule="auto"/>
              <w:jc w:val="center"/>
              <w:rPr>
                <w:rFonts w:hint="eastAsia" w:ascii="宋体" w:hAnsi="宋体" w:eastAsia="宋体" w:cs="Times New Roman"/>
                <w:color w:val="auto"/>
                <w:kern w:val="2"/>
                <w:sz w:val="24"/>
                <w:highlight w:val="none"/>
                <w:lang w:val="zh-CN" w:eastAsia="zh-CN" w:bidi="ar-SA"/>
              </w:rPr>
            </w:pPr>
            <w:r>
              <w:rPr>
                <w:rFonts w:hint="default" w:ascii="宋体" w:hAnsi="宋体" w:eastAsia="宋体" w:cs="Times New Roman"/>
                <w:color w:val="auto"/>
                <w:kern w:val="2"/>
                <w:sz w:val="24"/>
                <w:highlight w:val="none"/>
                <w:lang w:val="zh-CN" w:eastAsia="zh-CN" w:bidi="ar-SA"/>
              </w:rPr>
              <w:t>监督方案</w:t>
            </w:r>
          </w:p>
        </w:tc>
        <w:tc>
          <w:tcPr>
            <w:tcW w:w="6768" w:type="dxa"/>
            <w:noWrap w:val="0"/>
            <w:vAlign w:val="center"/>
          </w:tcPr>
          <w:p w14:paraId="1D958052">
            <w:pPr>
              <w:spacing w:line="360" w:lineRule="auto"/>
              <w:jc w:val="left"/>
              <w:rPr>
                <w:rFonts w:hint="default" w:ascii="宋体" w:hAnsi="宋体" w:eastAsia="宋体" w:cs="Times New Roman"/>
                <w:color w:val="auto"/>
                <w:kern w:val="2"/>
                <w:sz w:val="24"/>
                <w:highlight w:val="none"/>
                <w:lang w:val="zh-CN" w:eastAsia="zh-CN" w:bidi="ar-SA"/>
              </w:rPr>
            </w:pPr>
            <w:r>
              <w:rPr>
                <w:rFonts w:hint="eastAsia" w:ascii="宋体" w:hAnsi="宋体" w:eastAsia="宋体" w:cs="Times New Roman"/>
                <w:color w:val="auto"/>
                <w:kern w:val="2"/>
                <w:sz w:val="24"/>
                <w:highlight w:val="none"/>
                <w:lang w:val="en-US" w:eastAsia="zh-CN" w:bidi="ar-SA"/>
              </w:rPr>
              <w:t>评委根据供应商针对本项目</w:t>
            </w:r>
            <w:r>
              <w:rPr>
                <w:rFonts w:hint="default" w:ascii="宋体" w:hAnsi="宋体" w:eastAsia="宋体" w:cs="Times New Roman"/>
                <w:color w:val="auto"/>
                <w:kern w:val="2"/>
                <w:sz w:val="24"/>
                <w:highlight w:val="none"/>
                <w:lang w:val="zh-CN" w:eastAsia="zh-CN" w:bidi="ar-SA"/>
              </w:rPr>
              <w:t>提供的监督方案（包括但不限于：人员配置情况、日常作业管理流程图、岗位设置及岗位职责、管理制度四项内容）进行</w:t>
            </w:r>
            <w:r>
              <w:rPr>
                <w:rFonts w:hint="eastAsia" w:ascii="宋体" w:hAnsi="宋体" w:eastAsia="宋体" w:cs="Times New Roman"/>
                <w:color w:val="auto"/>
                <w:kern w:val="2"/>
                <w:sz w:val="24"/>
                <w:highlight w:val="none"/>
                <w:lang w:val="en-US" w:eastAsia="zh-CN" w:bidi="ar-SA"/>
              </w:rPr>
              <w:t>综合评分</w:t>
            </w:r>
            <w:r>
              <w:rPr>
                <w:rFonts w:hint="default" w:ascii="宋体" w:hAnsi="宋体" w:eastAsia="宋体" w:cs="Times New Roman"/>
                <w:color w:val="auto"/>
                <w:kern w:val="2"/>
                <w:sz w:val="24"/>
                <w:highlight w:val="none"/>
                <w:lang w:val="zh-CN" w:eastAsia="zh-CN" w:bidi="ar-SA"/>
              </w:rPr>
              <w:t>：</w:t>
            </w:r>
          </w:p>
          <w:p w14:paraId="148B2521">
            <w:pPr>
              <w:spacing w:line="360" w:lineRule="auto"/>
              <w:jc w:val="left"/>
              <w:rPr>
                <w:rFonts w:hint="default" w:ascii="宋体" w:hAnsi="宋体" w:eastAsia="宋体" w:cs="Times New Roman"/>
                <w:color w:val="auto"/>
                <w:kern w:val="2"/>
                <w:sz w:val="24"/>
                <w:highlight w:val="none"/>
                <w:lang w:val="zh-CN" w:eastAsia="zh-CN" w:bidi="ar-SA"/>
              </w:rPr>
            </w:pPr>
            <w:r>
              <w:rPr>
                <w:rFonts w:hint="default" w:ascii="宋体" w:hAnsi="宋体" w:eastAsia="宋体" w:cs="Times New Roman"/>
                <w:color w:val="auto"/>
                <w:kern w:val="2"/>
                <w:sz w:val="24"/>
                <w:highlight w:val="none"/>
                <w:lang w:val="zh-CN" w:eastAsia="zh-CN" w:bidi="ar-SA"/>
              </w:rPr>
              <w:t>人员配置合理、日常作业管理流程图明确、具体，岗位设置及岗位职责设置科学合理，管理制度具体，可操作性强</w:t>
            </w:r>
            <w:r>
              <w:rPr>
                <w:rFonts w:hint="eastAsia" w:ascii="宋体" w:hAnsi="宋体" w:eastAsia="宋体" w:cs="Times New Roman"/>
                <w:color w:val="auto"/>
                <w:kern w:val="2"/>
                <w:sz w:val="24"/>
                <w:highlight w:val="none"/>
                <w:lang w:val="en-US" w:eastAsia="zh-CN" w:bidi="ar-SA"/>
              </w:rPr>
              <w:t>的</w:t>
            </w:r>
            <w:r>
              <w:rPr>
                <w:rFonts w:hint="default" w:ascii="宋体" w:hAnsi="宋体" w:eastAsia="宋体" w:cs="Times New Roman"/>
                <w:color w:val="auto"/>
                <w:kern w:val="2"/>
                <w:sz w:val="24"/>
                <w:highlight w:val="none"/>
                <w:lang w:val="zh-CN" w:eastAsia="zh-CN" w:bidi="ar-SA"/>
              </w:rPr>
              <w:t>，得</w:t>
            </w:r>
            <w:r>
              <w:rPr>
                <w:rFonts w:hint="eastAsia" w:ascii="宋体" w:hAnsi="宋体" w:eastAsia="宋体" w:cs="Times New Roman"/>
                <w:color w:val="auto"/>
                <w:kern w:val="2"/>
                <w:sz w:val="24"/>
                <w:highlight w:val="none"/>
                <w:lang w:val="en-US" w:eastAsia="zh-CN" w:bidi="ar-SA"/>
              </w:rPr>
              <w:t>10</w:t>
            </w:r>
            <w:r>
              <w:rPr>
                <w:rFonts w:hint="default" w:ascii="宋体" w:hAnsi="宋体" w:eastAsia="宋体" w:cs="Times New Roman"/>
                <w:color w:val="auto"/>
                <w:kern w:val="2"/>
                <w:sz w:val="24"/>
                <w:highlight w:val="none"/>
                <w:lang w:val="zh-CN" w:eastAsia="zh-CN" w:bidi="ar-SA"/>
              </w:rPr>
              <w:t>分；人员配置较合理、日常作业管理流程图较明确、较具体，岗位设置及岗位职责设置较科学合理，管理制度较具体，可操作性较强</w:t>
            </w:r>
            <w:r>
              <w:rPr>
                <w:rFonts w:hint="eastAsia" w:ascii="宋体" w:hAnsi="宋体" w:eastAsia="宋体" w:cs="Times New Roman"/>
                <w:color w:val="auto"/>
                <w:kern w:val="2"/>
                <w:sz w:val="24"/>
                <w:highlight w:val="none"/>
                <w:lang w:val="en-US" w:eastAsia="zh-CN" w:bidi="ar-SA"/>
              </w:rPr>
              <w:t>的</w:t>
            </w:r>
            <w:r>
              <w:rPr>
                <w:rFonts w:hint="default" w:ascii="宋体" w:hAnsi="宋体" w:eastAsia="宋体" w:cs="Times New Roman"/>
                <w:color w:val="auto"/>
                <w:kern w:val="2"/>
                <w:sz w:val="24"/>
                <w:highlight w:val="none"/>
                <w:lang w:val="zh-CN" w:eastAsia="zh-CN" w:bidi="ar-SA"/>
              </w:rPr>
              <w:t>，得</w:t>
            </w:r>
            <w:r>
              <w:rPr>
                <w:rFonts w:hint="eastAsia" w:ascii="宋体" w:hAnsi="宋体" w:eastAsia="宋体" w:cs="Times New Roman"/>
                <w:color w:val="auto"/>
                <w:kern w:val="2"/>
                <w:sz w:val="24"/>
                <w:highlight w:val="none"/>
                <w:lang w:val="en-US" w:eastAsia="zh-CN" w:bidi="ar-SA"/>
              </w:rPr>
              <w:t>7</w:t>
            </w:r>
            <w:r>
              <w:rPr>
                <w:rFonts w:hint="default" w:ascii="宋体" w:hAnsi="宋体" w:eastAsia="宋体" w:cs="Times New Roman"/>
                <w:color w:val="auto"/>
                <w:kern w:val="2"/>
                <w:sz w:val="24"/>
                <w:highlight w:val="none"/>
                <w:lang w:val="zh-CN" w:eastAsia="zh-CN" w:bidi="ar-SA"/>
              </w:rPr>
              <w:t>分；人员配置合理性一般、日常作业管理流程图不够明确、不够具体，岗位设置及岗位职责设置科学性合理性一般，管理制度不够具体，可操作性一般，得</w:t>
            </w:r>
            <w:r>
              <w:rPr>
                <w:rFonts w:hint="eastAsia" w:ascii="宋体" w:hAnsi="宋体" w:eastAsia="宋体" w:cs="Times New Roman"/>
                <w:color w:val="auto"/>
                <w:kern w:val="2"/>
                <w:sz w:val="24"/>
                <w:highlight w:val="none"/>
                <w:lang w:val="en-US" w:eastAsia="zh-CN" w:bidi="ar-SA"/>
              </w:rPr>
              <w:t>4</w:t>
            </w:r>
            <w:r>
              <w:rPr>
                <w:rFonts w:hint="default" w:ascii="宋体" w:hAnsi="宋体" w:eastAsia="宋体" w:cs="Times New Roman"/>
                <w:color w:val="auto"/>
                <w:kern w:val="2"/>
                <w:sz w:val="24"/>
                <w:highlight w:val="none"/>
                <w:lang w:val="zh-CN" w:eastAsia="zh-CN" w:bidi="ar-SA"/>
              </w:rPr>
              <w:t>分；人员配置合理性</w:t>
            </w:r>
            <w:r>
              <w:rPr>
                <w:rFonts w:hint="eastAsia" w:ascii="宋体" w:hAnsi="宋体" w:eastAsia="宋体" w:cs="Times New Roman"/>
                <w:color w:val="auto"/>
                <w:kern w:val="2"/>
                <w:sz w:val="24"/>
                <w:highlight w:val="none"/>
                <w:lang w:val="en-US" w:eastAsia="zh-CN" w:bidi="ar-SA"/>
              </w:rPr>
              <w:t>差</w:t>
            </w:r>
            <w:r>
              <w:rPr>
                <w:rFonts w:hint="default" w:ascii="宋体" w:hAnsi="宋体" w:eastAsia="宋体" w:cs="Times New Roman"/>
                <w:color w:val="auto"/>
                <w:kern w:val="2"/>
                <w:sz w:val="24"/>
                <w:highlight w:val="none"/>
                <w:lang w:val="zh-CN" w:eastAsia="zh-CN" w:bidi="ar-SA"/>
              </w:rPr>
              <w:t>、日常作业管理流程图</w:t>
            </w:r>
            <w:r>
              <w:rPr>
                <w:rFonts w:hint="eastAsia" w:ascii="宋体" w:hAnsi="宋体" w:eastAsia="宋体" w:cs="Times New Roman"/>
                <w:color w:val="auto"/>
                <w:kern w:val="2"/>
                <w:sz w:val="24"/>
                <w:highlight w:val="none"/>
                <w:lang w:val="en-US" w:eastAsia="zh-CN" w:bidi="ar-SA"/>
              </w:rPr>
              <w:t>混乱</w:t>
            </w:r>
            <w:r>
              <w:rPr>
                <w:rFonts w:hint="default" w:ascii="宋体" w:hAnsi="宋体" w:eastAsia="宋体" w:cs="Times New Roman"/>
                <w:color w:val="auto"/>
                <w:kern w:val="2"/>
                <w:sz w:val="24"/>
                <w:highlight w:val="none"/>
                <w:lang w:val="zh-CN" w:eastAsia="zh-CN" w:bidi="ar-SA"/>
              </w:rPr>
              <w:t>，岗位设置及岗位职责设置科学性</w:t>
            </w:r>
            <w:r>
              <w:rPr>
                <w:rFonts w:hint="eastAsia" w:ascii="宋体" w:hAnsi="宋体" w:eastAsia="宋体" w:cs="Times New Roman"/>
                <w:color w:val="auto"/>
                <w:kern w:val="2"/>
                <w:sz w:val="24"/>
                <w:highlight w:val="none"/>
                <w:lang w:val="en-US" w:eastAsia="zh-CN" w:bidi="ar-SA"/>
              </w:rPr>
              <w:t>差</w:t>
            </w:r>
            <w:r>
              <w:rPr>
                <w:rFonts w:hint="default" w:ascii="宋体" w:hAnsi="宋体" w:eastAsia="宋体" w:cs="Times New Roman"/>
                <w:color w:val="auto"/>
                <w:kern w:val="2"/>
                <w:sz w:val="24"/>
                <w:highlight w:val="none"/>
                <w:lang w:val="zh-CN" w:eastAsia="zh-CN" w:bidi="ar-SA"/>
              </w:rPr>
              <w:t>，管理制度</w:t>
            </w:r>
            <w:r>
              <w:rPr>
                <w:rFonts w:hint="eastAsia" w:ascii="宋体" w:hAnsi="宋体" w:eastAsia="宋体" w:cs="Times New Roman"/>
                <w:color w:val="auto"/>
                <w:kern w:val="2"/>
                <w:sz w:val="24"/>
                <w:highlight w:val="none"/>
                <w:lang w:val="en-US" w:eastAsia="zh-CN" w:bidi="ar-SA"/>
              </w:rPr>
              <w:t>混乱</w:t>
            </w:r>
            <w:r>
              <w:rPr>
                <w:rFonts w:hint="default" w:ascii="宋体" w:hAnsi="宋体" w:eastAsia="宋体" w:cs="Times New Roman"/>
                <w:color w:val="auto"/>
                <w:kern w:val="2"/>
                <w:sz w:val="24"/>
                <w:highlight w:val="none"/>
                <w:lang w:val="zh-CN" w:eastAsia="zh-CN" w:bidi="ar-SA"/>
              </w:rPr>
              <w:t>，可操作性</w:t>
            </w:r>
            <w:r>
              <w:rPr>
                <w:rFonts w:hint="eastAsia" w:ascii="宋体" w:hAnsi="宋体" w:eastAsia="宋体" w:cs="Times New Roman"/>
                <w:color w:val="auto"/>
                <w:kern w:val="2"/>
                <w:sz w:val="24"/>
                <w:highlight w:val="none"/>
                <w:lang w:val="en-US" w:eastAsia="zh-CN" w:bidi="ar-SA"/>
              </w:rPr>
              <w:t>差</w:t>
            </w:r>
            <w:r>
              <w:rPr>
                <w:rFonts w:hint="default" w:ascii="宋体" w:hAnsi="宋体" w:eastAsia="宋体" w:cs="Times New Roman"/>
                <w:color w:val="auto"/>
                <w:kern w:val="2"/>
                <w:sz w:val="24"/>
                <w:highlight w:val="none"/>
                <w:lang w:val="zh-CN" w:eastAsia="zh-CN" w:bidi="ar-SA"/>
              </w:rPr>
              <w:t>，得</w:t>
            </w:r>
            <w:r>
              <w:rPr>
                <w:rFonts w:hint="eastAsia" w:ascii="宋体" w:hAnsi="宋体" w:eastAsia="宋体" w:cs="Times New Roman"/>
                <w:color w:val="auto"/>
                <w:kern w:val="2"/>
                <w:sz w:val="24"/>
                <w:highlight w:val="none"/>
                <w:lang w:val="en-US" w:eastAsia="zh-CN" w:bidi="ar-SA"/>
              </w:rPr>
              <w:t>1</w:t>
            </w:r>
            <w:r>
              <w:rPr>
                <w:rFonts w:hint="default" w:ascii="宋体" w:hAnsi="宋体" w:eastAsia="宋体" w:cs="Times New Roman"/>
                <w:color w:val="auto"/>
                <w:kern w:val="2"/>
                <w:sz w:val="24"/>
                <w:highlight w:val="none"/>
                <w:lang w:val="zh-CN" w:eastAsia="zh-CN" w:bidi="ar-SA"/>
              </w:rPr>
              <w:t>分；</w:t>
            </w:r>
            <w:r>
              <w:rPr>
                <w:rFonts w:hint="eastAsia" w:ascii="宋体" w:hAnsi="宋体" w:eastAsia="宋体" w:cs="Times New Roman"/>
                <w:color w:val="auto"/>
                <w:kern w:val="2"/>
                <w:sz w:val="24"/>
                <w:highlight w:val="none"/>
                <w:lang w:val="en-US" w:eastAsia="zh-CN" w:bidi="ar-SA"/>
              </w:rPr>
              <w:t>不提供不得分</w:t>
            </w:r>
            <w:r>
              <w:rPr>
                <w:rFonts w:hint="default" w:ascii="宋体" w:hAnsi="宋体" w:eastAsia="宋体" w:cs="Times New Roman"/>
                <w:color w:val="auto"/>
                <w:kern w:val="2"/>
                <w:sz w:val="24"/>
                <w:highlight w:val="none"/>
                <w:lang w:val="zh-CN" w:eastAsia="zh-CN" w:bidi="ar-SA"/>
              </w:rPr>
              <w:t>。</w:t>
            </w:r>
          </w:p>
        </w:tc>
        <w:tc>
          <w:tcPr>
            <w:tcW w:w="864" w:type="dxa"/>
            <w:noWrap w:val="0"/>
            <w:vAlign w:val="center"/>
          </w:tcPr>
          <w:p w14:paraId="5E108FA7">
            <w:pPr>
              <w:jc w:val="center"/>
              <w:rPr>
                <w:rFonts w:hint="default" w:ascii="宋体" w:hAnsi="宋体" w:eastAsia="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10</w:t>
            </w:r>
          </w:p>
        </w:tc>
      </w:tr>
      <w:tr w14:paraId="7E5687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17" w:type="dxa"/>
            <w:noWrap w:val="0"/>
            <w:vAlign w:val="center"/>
          </w:tcPr>
          <w:p w14:paraId="527FB1BD">
            <w:pPr>
              <w:jc w:val="center"/>
              <w:rPr>
                <w:rFonts w:hint="eastAsia" w:ascii="宋体" w:hAnsi="宋体" w:eastAsia="宋体" w:cs="宋体"/>
                <w:color w:val="auto"/>
                <w:spacing w:val="-3"/>
                <w:sz w:val="24"/>
                <w:szCs w:val="24"/>
                <w:highlight w:val="none"/>
                <w:lang w:eastAsia="zh-CN"/>
              </w:rPr>
            </w:pPr>
            <w:r>
              <w:rPr>
                <w:rFonts w:hint="eastAsia" w:ascii="宋体" w:hAnsi="宋体" w:cs="宋体"/>
                <w:color w:val="auto"/>
                <w:spacing w:val="-3"/>
                <w:sz w:val="24"/>
                <w:szCs w:val="24"/>
                <w:highlight w:val="none"/>
                <w:lang w:val="en-US" w:eastAsia="zh-CN"/>
              </w:rPr>
              <w:t>4</w:t>
            </w:r>
          </w:p>
        </w:tc>
        <w:tc>
          <w:tcPr>
            <w:tcW w:w="1261" w:type="dxa"/>
            <w:noWrap w:val="0"/>
            <w:vAlign w:val="center"/>
          </w:tcPr>
          <w:p w14:paraId="365DE2F2">
            <w:pPr>
              <w:spacing w:line="360" w:lineRule="auto"/>
              <w:jc w:val="center"/>
              <w:rPr>
                <w:rFonts w:hint="eastAsia" w:ascii="宋体" w:hAnsi="宋体" w:eastAsia="宋体" w:cs="Times New Roman"/>
                <w:color w:val="auto"/>
                <w:kern w:val="2"/>
                <w:sz w:val="24"/>
                <w:highlight w:val="none"/>
                <w:lang w:val="zh-CN" w:eastAsia="zh-CN" w:bidi="ar-SA"/>
              </w:rPr>
            </w:pPr>
            <w:r>
              <w:rPr>
                <w:rFonts w:hint="eastAsia" w:ascii="宋体" w:hAnsi="宋体" w:eastAsia="宋体" w:cs="Times New Roman"/>
                <w:color w:val="auto"/>
                <w:kern w:val="2"/>
                <w:sz w:val="24"/>
                <w:highlight w:val="none"/>
                <w:lang w:val="zh-CN" w:eastAsia="zh-CN" w:bidi="ar-SA"/>
              </w:rPr>
              <w:t>运输管理方案</w:t>
            </w:r>
          </w:p>
        </w:tc>
        <w:tc>
          <w:tcPr>
            <w:tcW w:w="6768" w:type="dxa"/>
            <w:noWrap w:val="0"/>
            <w:vAlign w:val="center"/>
          </w:tcPr>
          <w:p w14:paraId="328321E8">
            <w:pPr>
              <w:spacing w:line="360" w:lineRule="auto"/>
              <w:jc w:val="left"/>
              <w:rPr>
                <w:rFonts w:hint="eastAsia" w:ascii="宋体" w:hAnsi="宋体" w:eastAsia="宋体" w:cs="Times New Roman"/>
                <w:color w:val="auto"/>
                <w:kern w:val="2"/>
                <w:sz w:val="24"/>
                <w:highlight w:val="none"/>
                <w:lang w:val="en-US" w:eastAsia="zh-CN" w:bidi="ar-SA"/>
              </w:rPr>
            </w:pPr>
            <w:r>
              <w:rPr>
                <w:rFonts w:hint="eastAsia" w:ascii="宋体" w:hAnsi="宋体" w:eastAsia="宋体" w:cs="Times New Roman"/>
                <w:color w:val="auto"/>
                <w:kern w:val="2"/>
                <w:sz w:val="24"/>
                <w:highlight w:val="none"/>
                <w:lang w:val="en-US" w:eastAsia="zh-CN" w:bidi="ar-SA"/>
              </w:rPr>
              <w:t>评委根据供应商提供的污泥运输服务方案（包含车辆调度措施，污泥运输路线等），对运输过程中环保措施（包含污泥防滴漏措施，防止二次污染措施）等情况进行综合评分：</w:t>
            </w:r>
          </w:p>
          <w:p w14:paraId="772E86BE">
            <w:pPr>
              <w:spacing w:line="360" w:lineRule="auto"/>
              <w:jc w:val="left"/>
              <w:rPr>
                <w:rFonts w:hint="eastAsia" w:ascii="宋体" w:hAnsi="宋体" w:eastAsia="宋体" w:cs="Times New Roman"/>
                <w:color w:val="auto"/>
                <w:kern w:val="2"/>
                <w:sz w:val="24"/>
                <w:highlight w:val="none"/>
                <w:lang w:val="en-US" w:eastAsia="zh-CN" w:bidi="ar-SA"/>
              </w:rPr>
            </w:pPr>
            <w:r>
              <w:rPr>
                <w:rFonts w:hint="default" w:ascii="宋体" w:hAnsi="宋体" w:eastAsia="宋体" w:cs="Times New Roman"/>
                <w:color w:val="auto"/>
                <w:kern w:val="2"/>
                <w:sz w:val="24"/>
                <w:highlight w:val="none"/>
                <w:lang w:val="zh-CN" w:eastAsia="zh-CN" w:bidi="ar-SA"/>
              </w:rPr>
              <w:t>提供的</w:t>
            </w:r>
            <w:r>
              <w:rPr>
                <w:rFonts w:hint="eastAsia" w:ascii="宋体" w:hAnsi="宋体" w:eastAsia="宋体" w:cs="Times New Roman"/>
                <w:color w:val="auto"/>
                <w:kern w:val="2"/>
                <w:sz w:val="24"/>
                <w:highlight w:val="none"/>
                <w:lang w:val="en-US" w:eastAsia="zh-CN" w:bidi="ar-SA"/>
              </w:rPr>
              <w:t>运输服务方案、环保措施内容完善，合理可行的，得10分；</w:t>
            </w:r>
            <w:r>
              <w:rPr>
                <w:rFonts w:hint="default" w:ascii="宋体" w:hAnsi="宋体" w:eastAsia="宋体" w:cs="Times New Roman"/>
                <w:color w:val="auto"/>
                <w:kern w:val="2"/>
                <w:sz w:val="24"/>
                <w:highlight w:val="none"/>
                <w:lang w:val="zh-CN" w:eastAsia="zh-CN" w:bidi="ar-SA"/>
              </w:rPr>
              <w:t>提供的</w:t>
            </w:r>
            <w:r>
              <w:rPr>
                <w:rFonts w:hint="eastAsia" w:ascii="宋体" w:hAnsi="宋体" w:eastAsia="宋体" w:cs="Times New Roman"/>
                <w:color w:val="auto"/>
                <w:kern w:val="2"/>
                <w:sz w:val="24"/>
                <w:highlight w:val="none"/>
                <w:lang w:val="en-US" w:eastAsia="zh-CN" w:bidi="ar-SA"/>
              </w:rPr>
              <w:t>运输服务方案、环保措施内容基本完善，基本合理的，得7分；</w:t>
            </w:r>
            <w:r>
              <w:rPr>
                <w:rFonts w:hint="default" w:ascii="宋体" w:hAnsi="宋体" w:eastAsia="宋体" w:cs="Times New Roman"/>
                <w:color w:val="auto"/>
                <w:kern w:val="2"/>
                <w:sz w:val="24"/>
                <w:highlight w:val="none"/>
                <w:lang w:val="zh-CN" w:eastAsia="zh-CN" w:bidi="ar-SA"/>
              </w:rPr>
              <w:t>提供的</w:t>
            </w:r>
            <w:r>
              <w:rPr>
                <w:rFonts w:hint="eastAsia" w:ascii="宋体" w:hAnsi="宋体" w:eastAsia="宋体" w:cs="Times New Roman"/>
                <w:color w:val="auto"/>
                <w:kern w:val="2"/>
                <w:sz w:val="24"/>
                <w:highlight w:val="none"/>
                <w:lang w:val="en-US" w:eastAsia="zh-CN" w:bidi="ar-SA"/>
              </w:rPr>
              <w:t>运输服务方案、环保措施有相应内容，但不完善具体的，得4分；</w:t>
            </w:r>
            <w:r>
              <w:rPr>
                <w:rFonts w:hint="default" w:ascii="宋体" w:hAnsi="宋体" w:eastAsia="宋体" w:cs="Times New Roman"/>
                <w:color w:val="auto"/>
                <w:kern w:val="2"/>
                <w:sz w:val="24"/>
                <w:highlight w:val="none"/>
                <w:lang w:val="zh-CN" w:eastAsia="zh-CN" w:bidi="ar-SA"/>
              </w:rPr>
              <w:t>提供的</w:t>
            </w:r>
            <w:r>
              <w:rPr>
                <w:rFonts w:hint="eastAsia" w:ascii="宋体" w:hAnsi="宋体" w:eastAsia="宋体" w:cs="Times New Roman"/>
                <w:color w:val="auto"/>
                <w:kern w:val="2"/>
                <w:sz w:val="24"/>
                <w:highlight w:val="none"/>
                <w:lang w:val="en-US" w:eastAsia="zh-CN" w:bidi="ar-SA"/>
              </w:rPr>
              <w:t>运输服务方案、环保措施差的，得1分；不提供不得分。</w:t>
            </w:r>
          </w:p>
        </w:tc>
        <w:tc>
          <w:tcPr>
            <w:tcW w:w="864" w:type="dxa"/>
            <w:noWrap w:val="0"/>
            <w:vAlign w:val="center"/>
          </w:tcPr>
          <w:p w14:paraId="04CB390C">
            <w:pPr>
              <w:jc w:val="center"/>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10</w:t>
            </w:r>
          </w:p>
        </w:tc>
      </w:tr>
      <w:tr w14:paraId="72EF67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721" w:hRule="atLeast"/>
          <w:jc w:val="center"/>
        </w:trPr>
        <w:tc>
          <w:tcPr>
            <w:tcW w:w="817" w:type="dxa"/>
            <w:noWrap w:val="0"/>
            <w:vAlign w:val="center"/>
          </w:tcPr>
          <w:p w14:paraId="2757A191">
            <w:pPr>
              <w:jc w:val="center"/>
              <w:rPr>
                <w:rFonts w:hint="eastAsia" w:ascii="宋体" w:hAnsi="宋体" w:eastAsia="宋体" w:cs="宋体"/>
                <w:color w:val="auto"/>
                <w:spacing w:val="-3"/>
                <w:sz w:val="24"/>
                <w:szCs w:val="24"/>
                <w:highlight w:val="none"/>
                <w:lang w:eastAsia="zh-CN"/>
              </w:rPr>
            </w:pPr>
            <w:r>
              <w:rPr>
                <w:rFonts w:hint="eastAsia" w:ascii="宋体" w:hAnsi="宋体" w:cs="宋体"/>
                <w:color w:val="auto"/>
                <w:spacing w:val="-3"/>
                <w:sz w:val="24"/>
                <w:szCs w:val="24"/>
                <w:highlight w:val="none"/>
                <w:lang w:val="en-US" w:eastAsia="zh-CN"/>
              </w:rPr>
              <w:t>5</w:t>
            </w:r>
          </w:p>
        </w:tc>
        <w:tc>
          <w:tcPr>
            <w:tcW w:w="1261" w:type="dxa"/>
            <w:noWrap w:val="0"/>
            <w:vAlign w:val="center"/>
          </w:tcPr>
          <w:p w14:paraId="5F6DA22E">
            <w:pPr>
              <w:spacing w:line="360" w:lineRule="auto"/>
              <w:jc w:val="center"/>
              <w:rPr>
                <w:rFonts w:hint="eastAsia" w:ascii="宋体" w:hAnsi="宋体" w:eastAsia="宋体" w:cs="Times New Roman"/>
                <w:color w:val="auto"/>
                <w:kern w:val="2"/>
                <w:sz w:val="24"/>
                <w:highlight w:val="none"/>
                <w:lang w:val="zh-CN" w:eastAsia="zh-CN" w:bidi="ar-SA"/>
              </w:rPr>
            </w:pPr>
            <w:r>
              <w:rPr>
                <w:rFonts w:hint="eastAsia" w:ascii="宋体" w:hAnsi="宋体" w:eastAsia="宋体" w:cs="Times New Roman"/>
                <w:color w:val="auto"/>
                <w:kern w:val="2"/>
                <w:sz w:val="24"/>
                <w:highlight w:val="none"/>
                <w:lang w:val="zh-CN" w:eastAsia="zh-CN" w:bidi="ar-SA"/>
              </w:rPr>
              <w:t>应急方案</w:t>
            </w:r>
          </w:p>
        </w:tc>
        <w:tc>
          <w:tcPr>
            <w:tcW w:w="6768" w:type="dxa"/>
            <w:noWrap w:val="0"/>
            <w:vAlign w:val="center"/>
          </w:tcPr>
          <w:p w14:paraId="03C97A3C">
            <w:pPr>
              <w:spacing w:line="360" w:lineRule="auto"/>
              <w:jc w:val="left"/>
              <w:rPr>
                <w:rFonts w:hint="eastAsia" w:ascii="宋体" w:hAnsi="宋体" w:eastAsia="宋体" w:cs="Times New Roman"/>
                <w:color w:val="auto"/>
                <w:kern w:val="2"/>
                <w:sz w:val="24"/>
                <w:highlight w:val="none"/>
                <w:lang w:val="en-US" w:eastAsia="zh-CN" w:bidi="ar-SA"/>
              </w:rPr>
            </w:pPr>
            <w:r>
              <w:rPr>
                <w:rFonts w:hint="eastAsia" w:ascii="宋体" w:hAnsi="宋体" w:eastAsia="宋体" w:cs="Times New Roman"/>
                <w:color w:val="auto"/>
                <w:kern w:val="2"/>
                <w:sz w:val="24"/>
                <w:highlight w:val="none"/>
                <w:lang w:val="en-US" w:eastAsia="zh-CN" w:bidi="ar-SA"/>
              </w:rPr>
              <w:t>评委根据供应商提供的</w:t>
            </w:r>
            <w:r>
              <w:rPr>
                <w:rFonts w:hint="eastAsia" w:ascii="宋体" w:hAnsi="宋体" w:cs="Times New Roman"/>
                <w:color w:val="auto"/>
                <w:kern w:val="2"/>
                <w:sz w:val="24"/>
                <w:highlight w:val="none"/>
                <w:lang w:val="en-US" w:eastAsia="zh-CN" w:bidi="ar-SA"/>
              </w:rPr>
              <w:t>污泥运输、处置</w:t>
            </w:r>
            <w:r>
              <w:rPr>
                <w:rFonts w:hint="eastAsia" w:ascii="宋体" w:hAnsi="宋体" w:eastAsia="宋体" w:cs="Times New Roman"/>
                <w:color w:val="auto"/>
                <w:kern w:val="2"/>
                <w:sz w:val="24"/>
                <w:highlight w:val="none"/>
                <w:lang w:val="en-US" w:eastAsia="zh-CN" w:bidi="ar-SA"/>
              </w:rPr>
              <w:t>应急方案（包括：应急响应时间、应急处理能力等，能提供遇特殊情况或交通事故的应急保障和各种自然灾害情况的应急处理方案）进行综合评分：</w:t>
            </w:r>
          </w:p>
          <w:p w14:paraId="5297D993">
            <w:pPr>
              <w:spacing w:line="360" w:lineRule="auto"/>
              <w:jc w:val="left"/>
              <w:rPr>
                <w:rFonts w:hint="eastAsia" w:ascii="宋体" w:hAnsi="宋体" w:eastAsia="宋体" w:cs="Times New Roman"/>
                <w:color w:val="auto"/>
                <w:kern w:val="2"/>
                <w:sz w:val="24"/>
                <w:highlight w:val="none"/>
                <w:lang w:val="en-US" w:eastAsia="zh-CN" w:bidi="ar-SA"/>
              </w:rPr>
            </w:pPr>
            <w:r>
              <w:rPr>
                <w:rFonts w:hint="default" w:ascii="宋体" w:hAnsi="宋体" w:eastAsia="宋体" w:cs="Times New Roman"/>
                <w:color w:val="auto"/>
                <w:kern w:val="2"/>
                <w:sz w:val="24"/>
                <w:highlight w:val="none"/>
                <w:lang w:val="zh-CN" w:eastAsia="zh-CN" w:bidi="ar-SA"/>
              </w:rPr>
              <w:t>提供的</w:t>
            </w:r>
            <w:r>
              <w:rPr>
                <w:rFonts w:hint="eastAsia" w:ascii="宋体" w:hAnsi="宋体" w:eastAsia="宋体" w:cs="Times New Roman"/>
                <w:color w:val="auto"/>
                <w:kern w:val="2"/>
                <w:sz w:val="24"/>
                <w:highlight w:val="none"/>
                <w:lang w:val="en-US" w:eastAsia="zh-CN" w:bidi="ar-SA"/>
              </w:rPr>
              <w:t>应急方案内容完善、准确、清晰、切实可行、配备合理的，得10分</w:t>
            </w:r>
            <w:r>
              <w:rPr>
                <w:rFonts w:hint="eastAsia" w:ascii="宋体" w:hAnsi="宋体" w:cs="Times New Roman"/>
                <w:color w:val="auto"/>
                <w:kern w:val="2"/>
                <w:sz w:val="24"/>
                <w:highlight w:val="none"/>
                <w:lang w:val="en-US" w:eastAsia="zh-CN" w:bidi="ar-SA"/>
              </w:rPr>
              <w:t>；</w:t>
            </w:r>
            <w:r>
              <w:rPr>
                <w:rFonts w:hint="default" w:ascii="宋体" w:hAnsi="宋体" w:eastAsia="宋体" w:cs="Times New Roman"/>
                <w:color w:val="auto"/>
                <w:kern w:val="2"/>
                <w:sz w:val="24"/>
                <w:highlight w:val="none"/>
                <w:lang w:val="zh-CN" w:eastAsia="zh-CN" w:bidi="ar-SA"/>
              </w:rPr>
              <w:t>提供的</w:t>
            </w:r>
            <w:r>
              <w:rPr>
                <w:rFonts w:hint="eastAsia" w:ascii="宋体" w:hAnsi="宋体" w:eastAsia="宋体" w:cs="Times New Roman"/>
                <w:color w:val="auto"/>
                <w:kern w:val="2"/>
                <w:sz w:val="24"/>
                <w:highlight w:val="none"/>
                <w:lang w:val="en-US" w:eastAsia="zh-CN" w:bidi="ar-SA"/>
              </w:rPr>
              <w:t>应急方案内容基本完善，合理可行的，得7分</w:t>
            </w:r>
            <w:r>
              <w:rPr>
                <w:rFonts w:hint="eastAsia" w:ascii="宋体" w:hAnsi="宋体" w:cs="Times New Roman"/>
                <w:color w:val="auto"/>
                <w:kern w:val="2"/>
                <w:sz w:val="24"/>
                <w:highlight w:val="none"/>
                <w:lang w:val="en-US" w:eastAsia="zh-CN" w:bidi="ar-SA"/>
              </w:rPr>
              <w:t>；</w:t>
            </w:r>
            <w:r>
              <w:rPr>
                <w:rFonts w:hint="default" w:ascii="宋体" w:hAnsi="宋体" w:eastAsia="宋体" w:cs="Times New Roman"/>
                <w:color w:val="auto"/>
                <w:kern w:val="2"/>
                <w:sz w:val="24"/>
                <w:highlight w:val="none"/>
                <w:lang w:val="zh-CN" w:eastAsia="zh-CN" w:bidi="ar-SA"/>
              </w:rPr>
              <w:t>提供的</w:t>
            </w:r>
            <w:r>
              <w:rPr>
                <w:rFonts w:hint="eastAsia" w:ascii="宋体" w:hAnsi="宋体" w:eastAsia="宋体" w:cs="Times New Roman"/>
                <w:color w:val="auto"/>
                <w:kern w:val="2"/>
                <w:sz w:val="24"/>
                <w:highlight w:val="none"/>
                <w:lang w:val="en-US" w:eastAsia="zh-CN" w:bidi="ar-SA"/>
              </w:rPr>
              <w:t>应急方案有相应内容，但不完善</w:t>
            </w:r>
            <w:r>
              <w:rPr>
                <w:rFonts w:hint="eastAsia" w:ascii="宋体" w:hAnsi="宋体" w:cs="Times New Roman"/>
                <w:color w:val="auto"/>
                <w:kern w:val="2"/>
                <w:sz w:val="24"/>
                <w:highlight w:val="none"/>
                <w:lang w:val="en-US" w:eastAsia="zh-CN" w:bidi="ar-SA"/>
              </w:rPr>
              <w:t>、不</w:t>
            </w:r>
            <w:r>
              <w:rPr>
                <w:rFonts w:hint="eastAsia" w:ascii="宋体" w:hAnsi="宋体" w:eastAsia="宋体" w:cs="Times New Roman"/>
                <w:color w:val="auto"/>
                <w:kern w:val="2"/>
                <w:sz w:val="24"/>
                <w:highlight w:val="none"/>
                <w:lang w:val="en-US" w:eastAsia="zh-CN" w:bidi="ar-SA"/>
              </w:rPr>
              <w:t>具体的，得4分</w:t>
            </w:r>
            <w:r>
              <w:rPr>
                <w:rFonts w:hint="eastAsia" w:ascii="宋体" w:hAnsi="宋体" w:cs="Times New Roman"/>
                <w:color w:val="auto"/>
                <w:kern w:val="2"/>
                <w:sz w:val="24"/>
                <w:highlight w:val="none"/>
                <w:lang w:val="en-US" w:eastAsia="zh-CN" w:bidi="ar-SA"/>
              </w:rPr>
              <w:t>；</w:t>
            </w:r>
            <w:r>
              <w:rPr>
                <w:rFonts w:hint="default" w:ascii="宋体" w:hAnsi="宋体" w:eastAsia="宋体" w:cs="Times New Roman"/>
                <w:color w:val="auto"/>
                <w:kern w:val="2"/>
                <w:sz w:val="24"/>
                <w:highlight w:val="none"/>
                <w:lang w:val="zh-CN" w:eastAsia="zh-CN" w:bidi="ar-SA"/>
              </w:rPr>
              <w:t>提供的</w:t>
            </w:r>
            <w:r>
              <w:rPr>
                <w:rFonts w:hint="eastAsia" w:ascii="宋体" w:hAnsi="宋体" w:eastAsia="宋体" w:cs="Times New Roman"/>
                <w:color w:val="auto"/>
                <w:kern w:val="2"/>
                <w:sz w:val="24"/>
                <w:highlight w:val="none"/>
                <w:lang w:val="en-US" w:eastAsia="zh-CN" w:bidi="ar-SA"/>
              </w:rPr>
              <w:t>应急方案</w:t>
            </w:r>
            <w:r>
              <w:rPr>
                <w:rFonts w:hint="eastAsia" w:ascii="宋体" w:hAnsi="宋体" w:cs="Times New Roman"/>
                <w:color w:val="auto"/>
                <w:kern w:val="2"/>
                <w:sz w:val="24"/>
                <w:highlight w:val="none"/>
                <w:lang w:val="en-US" w:eastAsia="zh-CN" w:bidi="ar-SA"/>
              </w:rPr>
              <w:t>内容差的，得1分；</w:t>
            </w:r>
            <w:r>
              <w:rPr>
                <w:rFonts w:hint="eastAsia" w:ascii="宋体" w:hAnsi="宋体" w:eastAsia="宋体" w:cs="Times New Roman"/>
                <w:color w:val="auto"/>
                <w:kern w:val="2"/>
                <w:sz w:val="24"/>
                <w:highlight w:val="none"/>
                <w:lang w:val="en-US" w:eastAsia="zh-CN" w:bidi="ar-SA"/>
              </w:rPr>
              <w:t>不提供不得分。</w:t>
            </w:r>
          </w:p>
        </w:tc>
        <w:tc>
          <w:tcPr>
            <w:tcW w:w="864" w:type="dxa"/>
            <w:noWrap w:val="0"/>
            <w:vAlign w:val="center"/>
          </w:tcPr>
          <w:p w14:paraId="72666F0C">
            <w:pPr>
              <w:jc w:val="center"/>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10</w:t>
            </w:r>
          </w:p>
        </w:tc>
      </w:tr>
      <w:tr w14:paraId="4AF78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5" w:hRule="atLeast"/>
          <w:jc w:val="center"/>
        </w:trPr>
        <w:tc>
          <w:tcPr>
            <w:tcW w:w="817" w:type="dxa"/>
            <w:noWrap w:val="0"/>
            <w:vAlign w:val="center"/>
          </w:tcPr>
          <w:p w14:paraId="7AF4239B">
            <w:pPr>
              <w:jc w:val="center"/>
              <w:rPr>
                <w:rFonts w:hint="eastAsia" w:ascii="宋体" w:hAnsi="宋体" w:eastAsia="宋体" w:cs="宋体"/>
                <w:color w:val="auto"/>
                <w:sz w:val="24"/>
                <w:szCs w:val="24"/>
                <w:highlight w:val="none"/>
                <w:lang w:eastAsia="zh-CN"/>
              </w:rPr>
            </w:pPr>
            <w:r>
              <w:rPr>
                <w:rFonts w:hint="eastAsia" w:ascii="宋体" w:hAnsi="宋体" w:cs="宋体"/>
                <w:color w:val="auto"/>
                <w:spacing w:val="-3"/>
                <w:sz w:val="24"/>
                <w:szCs w:val="24"/>
                <w:highlight w:val="none"/>
                <w:lang w:val="en-US" w:eastAsia="zh-CN"/>
              </w:rPr>
              <w:t>6</w:t>
            </w:r>
          </w:p>
        </w:tc>
        <w:tc>
          <w:tcPr>
            <w:tcW w:w="1261" w:type="dxa"/>
            <w:noWrap w:val="0"/>
            <w:vAlign w:val="center"/>
          </w:tcPr>
          <w:p w14:paraId="4FB18CD1">
            <w:pPr>
              <w:spacing w:line="360" w:lineRule="auto"/>
              <w:jc w:val="center"/>
              <w:rPr>
                <w:rFonts w:hint="eastAsia" w:ascii="宋体" w:hAnsi="宋体" w:eastAsia="宋体" w:cs="Times New Roman"/>
                <w:color w:val="auto"/>
                <w:kern w:val="2"/>
                <w:sz w:val="24"/>
                <w:highlight w:val="none"/>
                <w:lang w:val="zh-CN" w:eastAsia="zh-CN" w:bidi="ar-SA"/>
              </w:rPr>
            </w:pPr>
            <w:r>
              <w:rPr>
                <w:rFonts w:hint="eastAsia" w:ascii="宋体" w:hAnsi="宋体" w:eastAsia="宋体" w:cs="Times New Roman"/>
                <w:color w:val="auto"/>
                <w:kern w:val="2"/>
                <w:sz w:val="24"/>
                <w:highlight w:val="none"/>
                <w:lang w:val="zh-CN" w:eastAsia="zh-CN" w:bidi="ar-SA"/>
              </w:rPr>
              <w:t>安全保障</w:t>
            </w:r>
          </w:p>
        </w:tc>
        <w:tc>
          <w:tcPr>
            <w:tcW w:w="6768" w:type="dxa"/>
            <w:noWrap w:val="0"/>
            <w:vAlign w:val="center"/>
          </w:tcPr>
          <w:p w14:paraId="1F3DA95A">
            <w:pPr>
              <w:spacing w:line="360" w:lineRule="auto"/>
              <w:jc w:val="left"/>
              <w:rPr>
                <w:rFonts w:hint="eastAsia" w:ascii="宋体" w:hAnsi="宋体" w:eastAsia="宋体" w:cs="Times New Roman"/>
                <w:color w:val="auto"/>
                <w:kern w:val="2"/>
                <w:sz w:val="24"/>
                <w:highlight w:val="none"/>
                <w:lang w:val="en-US" w:eastAsia="zh-CN" w:bidi="ar-SA"/>
              </w:rPr>
            </w:pPr>
            <w:r>
              <w:rPr>
                <w:rFonts w:hint="eastAsia" w:ascii="宋体" w:hAnsi="宋体" w:eastAsia="宋体" w:cs="Times New Roman"/>
                <w:color w:val="auto"/>
                <w:kern w:val="2"/>
                <w:sz w:val="24"/>
                <w:highlight w:val="none"/>
                <w:lang w:val="en-US" w:eastAsia="zh-CN" w:bidi="ar-SA"/>
              </w:rPr>
              <w:t>评委根据供应商提供的针对本项目</w:t>
            </w:r>
            <w:r>
              <w:rPr>
                <w:rFonts w:hint="eastAsia" w:ascii="宋体" w:hAnsi="宋体" w:cs="Times New Roman"/>
                <w:color w:val="auto"/>
                <w:kern w:val="2"/>
                <w:sz w:val="24"/>
                <w:highlight w:val="none"/>
                <w:lang w:val="en-US" w:eastAsia="zh-CN" w:bidi="ar-SA"/>
              </w:rPr>
              <w:t>污泥运输、处置</w:t>
            </w:r>
            <w:r>
              <w:rPr>
                <w:rFonts w:hint="eastAsia" w:ascii="宋体" w:hAnsi="宋体" w:eastAsia="宋体" w:cs="Times New Roman"/>
                <w:color w:val="auto"/>
                <w:kern w:val="2"/>
                <w:sz w:val="24"/>
                <w:highlight w:val="none"/>
                <w:lang w:val="en-US" w:eastAsia="zh-CN" w:bidi="ar-SA"/>
              </w:rPr>
              <w:t>实施期间安全保障措施（包括但不限于有全面的安全管理方案、有针对性的安全防护制度、安全事故下的应急处理方案等）等进行综合评分：</w:t>
            </w:r>
          </w:p>
          <w:p w14:paraId="46C91F79">
            <w:pPr>
              <w:spacing w:line="360" w:lineRule="auto"/>
              <w:jc w:val="left"/>
              <w:rPr>
                <w:rFonts w:hint="eastAsia" w:ascii="宋体" w:hAnsi="宋体" w:eastAsia="宋体" w:cs="Times New Roman"/>
                <w:color w:val="auto"/>
                <w:kern w:val="2"/>
                <w:sz w:val="24"/>
                <w:highlight w:val="none"/>
                <w:lang w:val="en-US" w:eastAsia="zh-CN" w:bidi="ar-SA"/>
              </w:rPr>
            </w:pPr>
            <w:r>
              <w:rPr>
                <w:rFonts w:hint="default" w:ascii="宋体" w:hAnsi="宋体" w:eastAsia="宋体" w:cs="Times New Roman"/>
                <w:color w:val="auto"/>
                <w:kern w:val="2"/>
                <w:sz w:val="24"/>
                <w:highlight w:val="none"/>
                <w:lang w:val="zh-CN" w:eastAsia="zh-CN" w:bidi="ar-SA"/>
              </w:rPr>
              <w:t>提供的</w:t>
            </w:r>
            <w:r>
              <w:rPr>
                <w:rFonts w:hint="eastAsia" w:ascii="宋体" w:hAnsi="宋体" w:eastAsia="宋体" w:cs="Times New Roman"/>
                <w:color w:val="auto"/>
                <w:kern w:val="2"/>
                <w:sz w:val="24"/>
                <w:highlight w:val="none"/>
                <w:lang w:val="en-US" w:eastAsia="zh-CN" w:bidi="ar-SA"/>
              </w:rPr>
              <w:t>安全保障措施规范全面、合理、针对性强，具体性强、可靠性强、操作规程科学性强的，得10分；</w:t>
            </w:r>
            <w:r>
              <w:rPr>
                <w:rFonts w:hint="default" w:ascii="宋体" w:hAnsi="宋体" w:eastAsia="宋体" w:cs="Times New Roman"/>
                <w:color w:val="auto"/>
                <w:kern w:val="2"/>
                <w:sz w:val="24"/>
                <w:highlight w:val="none"/>
                <w:lang w:val="zh-CN" w:eastAsia="zh-CN" w:bidi="ar-SA"/>
              </w:rPr>
              <w:t>提供的</w:t>
            </w:r>
            <w:r>
              <w:rPr>
                <w:rFonts w:hint="eastAsia" w:ascii="宋体" w:hAnsi="宋体" w:eastAsia="宋体" w:cs="Times New Roman"/>
                <w:color w:val="auto"/>
                <w:kern w:val="2"/>
                <w:sz w:val="24"/>
                <w:highlight w:val="none"/>
                <w:lang w:val="en-US" w:eastAsia="zh-CN" w:bidi="ar-SA"/>
              </w:rPr>
              <w:t>安全保障措施较为规范、基本合理、有一定针对性，具体性、可靠性、操作规程科学性满足要求的，得7分；</w:t>
            </w:r>
            <w:r>
              <w:rPr>
                <w:rFonts w:hint="default" w:ascii="宋体" w:hAnsi="宋体" w:eastAsia="宋体" w:cs="Times New Roman"/>
                <w:color w:val="auto"/>
                <w:kern w:val="2"/>
                <w:sz w:val="24"/>
                <w:highlight w:val="none"/>
                <w:lang w:val="zh-CN" w:eastAsia="zh-CN" w:bidi="ar-SA"/>
              </w:rPr>
              <w:t>提供的</w:t>
            </w:r>
            <w:r>
              <w:rPr>
                <w:rFonts w:hint="eastAsia" w:ascii="宋体" w:hAnsi="宋体" w:eastAsia="宋体" w:cs="Times New Roman"/>
                <w:color w:val="auto"/>
                <w:kern w:val="2"/>
                <w:sz w:val="24"/>
                <w:highlight w:val="none"/>
                <w:lang w:val="en-US" w:eastAsia="zh-CN" w:bidi="ar-SA"/>
              </w:rPr>
              <w:t>安全保障措施规范性一般、有</w:t>
            </w:r>
            <w:r>
              <w:rPr>
                <w:rFonts w:hint="eastAsia" w:ascii="宋体" w:hAnsi="宋体" w:cs="Times New Roman"/>
                <w:color w:val="auto"/>
                <w:kern w:val="2"/>
                <w:sz w:val="24"/>
                <w:highlight w:val="none"/>
                <w:lang w:val="en-US" w:eastAsia="zh-CN" w:bidi="ar-SA"/>
              </w:rPr>
              <w:t>一定</w:t>
            </w:r>
            <w:r>
              <w:rPr>
                <w:rFonts w:hint="eastAsia" w:ascii="宋体" w:hAnsi="宋体" w:eastAsia="宋体" w:cs="Times New Roman"/>
                <w:color w:val="auto"/>
                <w:kern w:val="2"/>
                <w:sz w:val="24"/>
                <w:highlight w:val="none"/>
                <w:lang w:val="en-US" w:eastAsia="zh-CN" w:bidi="ar-SA"/>
              </w:rPr>
              <w:t>安全隐患、针对性</w:t>
            </w:r>
            <w:r>
              <w:rPr>
                <w:rFonts w:hint="eastAsia" w:ascii="宋体" w:hAnsi="宋体" w:cs="Times New Roman"/>
                <w:color w:val="auto"/>
                <w:kern w:val="2"/>
                <w:sz w:val="24"/>
                <w:highlight w:val="none"/>
                <w:lang w:val="en-US" w:eastAsia="zh-CN" w:bidi="ar-SA"/>
              </w:rPr>
              <w:t>一般</w:t>
            </w:r>
            <w:r>
              <w:rPr>
                <w:rFonts w:hint="eastAsia" w:ascii="宋体" w:hAnsi="宋体" w:eastAsia="宋体" w:cs="Times New Roman"/>
                <w:color w:val="auto"/>
                <w:kern w:val="2"/>
                <w:sz w:val="24"/>
                <w:highlight w:val="none"/>
                <w:lang w:val="en-US" w:eastAsia="zh-CN" w:bidi="ar-SA"/>
              </w:rPr>
              <w:t>，措施</w:t>
            </w:r>
            <w:r>
              <w:rPr>
                <w:rFonts w:hint="eastAsia" w:ascii="宋体" w:hAnsi="宋体" w:cs="Times New Roman"/>
                <w:color w:val="auto"/>
                <w:kern w:val="2"/>
                <w:sz w:val="24"/>
                <w:highlight w:val="none"/>
                <w:lang w:val="en-US" w:eastAsia="zh-CN" w:bidi="ar-SA"/>
              </w:rPr>
              <w:t>一般</w:t>
            </w:r>
            <w:r>
              <w:rPr>
                <w:rFonts w:hint="eastAsia" w:ascii="宋体" w:hAnsi="宋体" w:eastAsia="宋体" w:cs="Times New Roman"/>
                <w:color w:val="auto"/>
                <w:kern w:val="2"/>
                <w:sz w:val="24"/>
                <w:highlight w:val="none"/>
                <w:lang w:val="en-US" w:eastAsia="zh-CN" w:bidi="ar-SA"/>
              </w:rPr>
              <w:t>、可靠性</w:t>
            </w:r>
            <w:r>
              <w:rPr>
                <w:rFonts w:hint="eastAsia" w:ascii="宋体" w:hAnsi="宋体" w:cs="Times New Roman"/>
                <w:color w:val="auto"/>
                <w:kern w:val="2"/>
                <w:sz w:val="24"/>
                <w:highlight w:val="none"/>
                <w:lang w:val="en-US" w:eastAsia="zh-CN" w:bidi="ar-SA"/>
              </w:rPr>
              <w:t>一般</w:t>
            </w:r>
            <w:r>
              <w:rPr>
                <w:rFonts w:hint="eastAsia" w:ascii="宋体" w:hAnsi="宋体" w:eastAsia="宋体" w:cs="Times New Roman"/>
                <w:color w:val="auto"/>
                <w:kern w:val="2"/>
                <w:sz w:val="24"/>
                <w:highlight w:val="none"/>
                <w:lang w:val="en-US" w:eastAsia="zh-CN" w:bidi="ar-SA"/>
              </w:rPr>
              <w:t>、操作规程科学性</w:t>
            </w:r>
            <w:r>
              <w:rPr>
                <w:rFonts w:hint="eastAsia" w:ascii="宋体" w:hAnsi="宋体" w:cs="Times New Roman"/>
                <w:color w:val="auto"/>
                <w:kern w:val="2"/>
                <w:sz w:val="24"/>
                <w:highlight w:val="none"/>
                <w:lang w:val="en-US" w:eastAsia="zh-CN" w:bidi="ar-SA"/>
              </w:rPr>
              <w:t>一般</w:t>
            </w:r>
            <w:r>
              <w:rPr>
                <w:rFonts w:hint="eastAsia" w:ascii="宋体" w:hAnsi="宋体" w:eastAsia="宋体" w:cs="Times New Roman"/>
                <w:color w:val="auto"/>
                <w:kern w:val="2"/>
                <w:sz w:val="24"/>
                <w:highlight w:val="none"/>
                <w:lang w:val="en-US" w:eastAsia="zh-CN" w:bidi="ar-SA"/>
              </w:rPr>
              <w:t>的，得</w:t>
            </w:r>
            <w:r>
              <w:rPr>
                <w:rFonts w:hint="eastAsia" w:ascii="宋体" w:hAnsi="宋体" w:cs="Times New Roman"/>
                <w:color w:val="auto"/>
                <w:kern w:val="2"/>
                <w:sz w:val="24"/>
                <w:highlight w:val="none"/>
                <w:lang w:val="en-US" w:eastAsia="zh-CN" w:bidi="ar-SA"/>
              </w:rPr>
              <w:t>4</w:t>
            </w:r>
            <w:r>
              <w:rPr>
                <w:rFonts w:hint="eastAsia" w:ascii="宋体" w:hAnsi="宋体" w:eastAsia="宋体" w:cs="Times New Roman"/>
                <w:color w:val="auto"/>
                <w:kern w:val="2"/>
                <w:sz w:val="24"/>
                <w:highlight w:val="none"/>
                <w:lang w:val="en-US" w:eastAsia="zh-CN" w:bidi="ar-SA"/>
              </w:rPr>
              <w:t>分；</w:t>
            </w:r>
            <w:r>
              <w:rPr>
                <w:rFonts w:hint="default" w:ascii="宋体" w:hAnsi="宋体" w:eastAsia="宋体" w:cs="Times New Roman"/>
                <w:color w:val="auto"/>
                <w:kern w:val="2"/>
                <w:sz w:val="24"/>
                <w:highlight w:val="none"/>
                <w:lang w:val="zh-CN" w:eastAsia="zh-CN" w:bidi="ar-SA"/>
              </w:rPr>
              <w:t>提供的</w:t>
            </w:r>
            <w:r>
              <w:rPr>
                <w:rFonts w:hint="eastAsia" w:ascii="宋体" w:hAnsi="宋体" w:eastAsia="宋体" w:cs="Times New Roman"/>
                <w:color w:val="auto"/>
                <w:kern w:val="2"/>
                <w:sz w:val="24"/>
                <w:highlight w:val="none"/>
                <w:lang w:val="en-US" w:eastAsia="zh-CN" w:bidi="ar-SA"/>
              </w:rPr>
              <w:t>安全保障措施规范性</w:t>
            </w:r>
            <w:r>
              <w:rPr>
                <w:rFonts w:hint="eastAsia" w:ascii="宋体" w:hAnsi="宋体" w:cs="Times New Roman"/>
                <w:color w:val="auto"/>
                <w:kern w:val="2"/>
                <w:sz w:val="24"/>
                <w:highlight w:val="none"/>
                <w:lang w:val="en-US" w:eastAsia="zh-CN" w:bidi="ar-SA"/>
              </w:rPr>
              <w:t>差</w:t>
            </w:r>
            <w:r>
              <w:rPr>
                <w:rFonts w:hint="eastAsia" w:ascii="宋体" w:hAnsi="宋体" w:eastAsia="宋体" w:cs="Times New Roman"/>
                <w:color w:val="auto"/>
                <w:kern w:val="2"/>
                <w:sz w:val="24"/>
                <w:highlight w:val="none"/>
                <w:lang w:val="en-US" w:eastAsia="zh-CN" w:bidi="ar-SA"/>
              </w:rPr>
              <w:t>、有重大安全隐患、没有针对性，措施不具体、可靠性</w:t>
            </w:r>
            <w:r>
              <w:rPr>
                <w:rFonts w:hint="eastAsia" w:ascii="宋体" w:hAnsi="宋体" w:cs="Times New Roman"/>
                <w:color w:val="auto"/>
                <w:kern w:val="2"/>
                <w:sz w:val="24"/>
                <w:highlight w:val="none"/>
                <w:lang w:val="en-US" w:eastAsia="zh-CN" w:bidi="ar-SA"/>
              </w:rPr>
              <w:t>差</w:t>
            </w:r>
            <w:r>
              <w:rPr>
                <w:rFonts w:hint="eastAsia" w:ascii="宋体" w:hAnsi="宋体" w:eastAsia="宋体" w:cs="Times New Roman"/>
                <w:color w:val="auto"/>
                <w:kern w:val="2"/>
                <w:sz w:val="24"/>
                <w:highlight w:val="none"/>
                <w:lang w:val="en-US" w:eastAsia="zh-CN" w:bidi="ar-SA"/>
              </w:rPr>
              <w:t>、操作规程不科学的，得</w:t>
            </w:r>
            <w:r>
              <w:rPr>
                <w:rFonts w:hint="eastAsia" w:ascii="宋体" w:hAnsi="宋体" w:cs="Times New Roman"/>
                <w:color w:val="auto"/>
                <w:kern w:val="2"/>
                <w:sz w:val="24"/>
                <w:highlight w:val="none"/>
                <w:lang w:val="en-US" w:eastAsia="zh-CN" w:bidi="ar-SA"/>
              </w:rPr>
              <w:t>1</w:t>
            </w:r>
            <w:r>
              <w:rPr>
                <w:rFonts w:hint="eastAsia" w:ascii="宋体" w:hAnsi="宋体" w:eastAsia="宋体" w:cs="Times New Roman"/>
                <w:color w:val="auto"/>
                <w:kern w:val="2"/>
                <w:sz w:val="24"/>
                <w:highlight w:val="none"/>
                <w:lang w:val="en-US" w:eastAsia="zh-CN" w:bidi="ar-SA"/>
              </w:rPr>
              <w:t>分；不提供不得分。</w:t>
            </w:r>
          </w:p>
        </w:tc>
        <w:tc>
          <w:tcPr>
            <w:tcW w:w="864" w:type="dxa"/>
            <w:noWrap w:val="0"/>
            <w:vAlign w:val="center"/>
          </w:tcPr>
          <w:p w14:paraId="15E1F39C">
            <w:pPr>
              <w:jc w:val="center"/>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10</w:t>
            </w:r>
          </w:p>
        </w:tc>
      </w:tr>
      <w:tr w14:paraId="59DA8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326" w:hRule="atLeast"/>
          <w:jc w:val="center"/>
        </w:trPr>
        <w:tc>
          <w:tcPr>
            <w:tcW w:w="817" w:type="dxa"/>
            <w:noWrap w:val="0"/>
            <w:vAlign w:val="center"/>
          </w:tcPr>
          <w:p w14:paraId="7137181E">
            <w:pPr>
              <w:jc w:val="center"/>
              <w:rPr>
                <w:rFonts w:hint="eastAsia" w:ascii="宋体" w:hAnsi="宋体" w:eastAsia="宋体" w:cs="宋体"/>
                <w:color w:val="auto"/>
                <w:sz w:val="24"/>
                <w:szCs w:val="24"/>
                <w:highlight w:val="none"/>
                <w:lang w:eastAsia="zh-CN"/>
              </w:rPr>
            </w:pPr>
            <w:r>
              <w:rPr>
                <w:rFonts w:hint="eastAsia" w:ascii="宋体" w:hAnsi="宋体" w:cs="宋体"/>
                <w:color w:val="auto"/>
                <w:spacing w:val="-3"/>
                <w:sz w:val="24"/>
                <w:szCs w:val="24"/>
                <w:highlight w:val="none"/>
                <w:lang w:val="en-US" w:eastAsia="zh-CN"/>
              </w:rPr>
              <w:t>7</w:t>
            </w:r>
          </w:p>
        </w:tc>
        <w:tc>
          <w:tcPr>
            <w:tcW w:w="1261" w:type="dxa"/>
            <w:noWrap w:val="0"/>
            <w:vAlign w:val="center"/>
          </w:tcPr>
          <w:p w14:paraId="4DF2F83E">
            <w:pPr>
              <w:spacing w:line="360" w:lineRule="auto"/>
              <w:jc w:val="center"/>
              <w:rPr>
                <w:rFonts w:hint="eastAsia" w:ascii="宋体" w:hAnsi="宋体" w:eastAsia="宋体" w:cs="Times New Roman"/>
                <w:color w:val="auto"/>
                <w:kern w:val="2"/>
                <w:sz w:val="24"/>
                <w:highlight w:val="none"/>
                <w:lang w:val="zh-CN" w:eastAsia="zh-CN" w:bidi="ar-SA"/>
              </w:rPr>
            </w:pPr>
            <w:r>
              <w:rPr>
                <w:rFonts w:hint="eastAsia" w:ascii="宋体" w:hAnsi="宋体" w:eastAsia="宋体" w:cs="Times New Roman"/>
                <w:color w:val="auto"/>
                <w:kern w:val="2"/>
                <w:sz w:val="24"/>
                <w:highlight w:val="none"/>
                <w:lang w:val="zh-CN" w:eastAsia="zh-CN" w:bidi="ar-SA"/>
              </w:rPr>
              <w:t>类似业绩</w:t>
            </w:r>
          </w:p>
        </w:tc>
        <w:tc>
          <w:tcPr>
            <w:tcW w:w="6768" w:type="dxa"/>
            <w:noWrap w:val="0"/>
            <w:vAlign w:val="center"/>
          </w:tcPr>
          <w:p w14:paraId="51E775BB">
            <w:pPr>
              <w:spacing w:line="360" w:lineRule="auto"/>
              <w:jc w:val="left"/>
              <w:rPr>
                <w:rFonts w:hint="eastAsia" w:ascii="宋体" w:hAnsi="宋体" w:eastAsia="宋体" w:cs="Times New Roman"/>
                <w:color w:val="auto"/>
                <w:kern w:val="2"/>
                <w:sz w:val="24"/>
                <w:highlight w:val="none"/>
                <w:lang w:val="en-US" w:eastAsia="zh-CN" w:bidi="ar-SA"/>
              </w:rPr>
            </w:pPr>
            <w:r>
              <w:rPr>
                <w:rFonts w:hint="eastAsia" w:ascii="宋体" w:hAnsi="宋体" w:eastAsia="宋体" w:cs="Times New Roman"/>
                <w:color w:val="auto"/>
                <w:kern w:val="2"/>
                <w:sz w:val="24"/>
                <w:highlight w:val="none"/>
                <w:lang w:val="en-US" w:eastAsia="zh-CN" w:bidi="ar-SA"/>
              </w:rPr>
              <w:t>供应商</w:t>
            </w:r>
            <w:r>
              <w:rPr>
                <w:rFonts w:hint="eastAsia" w:ascii="宋体" w:hAnsi="宋体" w:cs="Times New Roman"/>
                <w:color w:val="auto"/>
                <w:kern w:val="2"/>
                <w:sz w:val="24"/>
                <w:highlight w:val="none"/>
                <w:lang w:val="en-US" w:eastAsia="zh-CN" w:bidi="ar-SA"/>
              </w:rPr>
              <w:t>自</w:t>
            </w:r>
            <w:r>
              <w:rPr>
                <w:rFonts w:hint="eastAsia" w:ascii="宋体" w:hAnsi="宋体" w:eastAsia="宋体" w:cs="Times New Roman"/>
                <w:color w:val="auto"/>
                <w:kern w:val="2"/>
                <w:sz w:val="24"/>
                <w:highlight w:val="none"/>
                <w:lang w:val="en-US" w:eastAsia="zh-CN" w:bidi="ar-SA"/>
              </w:rPr>
              <w:t>202</w:t>
            </w:r>
            <w:r>
              <w:rPr>
                <w:rFonts w:hint="eastAsia" w:ascii="宋体" w:hAnsi="宋体" w:cs="Times New Roman"/>
                <w:color w:val="auto"/>
                <w:kern w:val="2"/>
                <w:sz w:val="24"/>
                <w:highlight w:val="none"/>
                <w:lang w:val="en-US" w:eastAsia="zh-CN" w:bidi="ar-SA"/>
              </w:rPr>
              <w:t>3</w:t>
            </w:r>
            <w:r>
              <w:rPr>
                <w:rFonts w:hint="eastAsia" w:ascii="宋体" w:hAnsi="宋体" w:eastAsia="宋体" w:cs="Times New Roman"/>
                <w:color w:val="auto"/>
                <w:kern w:val="2"/>
                <w:sz w:val="24"/>
                <w:highlight w:val="none"/>
                <w:lang w:val="en-US" w:eastAsia="zh-CN" w:bidi="ar-SA"/>
              </w:rPr>
              <w:t>年</w:t>
            </w:r>
            <w:r>
              <w:rPr>
                <w:rFonts w:hint="eastAsia" w:ascii="宋体" w:hAnsi="宋体" w:cs="Times New Roman"/>
                <w:color w:val="auto"/>
                <w:kern w:val="2"/>
                <w:sz w:val="24"/>
                <w:highlight w:val="none"/>
                <w:lang w:val="en-US" w:eastAsia="zh-CN" w:bidi="ar-SA"/>
              </w:rPr>
              <w:t>1</w:t>
            </w:r>
            <w:r>
              <w:rPr>
                <w:rFonts w:hint="eastAsia" w:ascii="宋体" w:hAnsi="宋体" w:eastAsia="宋体" w:cs="Times New Roman"/>
                <w:color w:val="auto"/>
                <w:kern w:val="2"/>
                <w:sz w:val="24"/>
                <w:highlight w:val="none"/>
                <w:lang w:val="en-US" w:eastAsia="zh-CN" w:bidi="ar-SA"/>
              </w:rPr>
              <w:t>月1日（</w:t>
            </w:r>
            <w:r>
              <w:rPr>
                <w:rFonts w:hint="eastAsia" w:ascii="宋体" w:hAnsi="宋体" w:cs="Times New Roman"/>
                <w:color w:val="auto"/>
                <w:kern w:val="2"/>
                <w:sz w:val="24"/>
                <w:highlight w:val="none"/>
                <w:lang w:val="en-US" w:eastAsia="zh-CN" w:bidi="ar-SA"/>
              </w:rPr>
              <w:t>含</w:t>
            </w:r>
            <w:r>
              <w:rPr>
                <w:rFonts w:hint="eastAsia" w:ascii="宋体" w:hAnsi="宋体" w:eastAsia="宋体" w:cs="Times New Roman"/>
                <w:color w:val="auto"/>
                <w:kern w:val="2"/>
                <w:sz w:val="24"/>
                <w:highlight w:val="none"/>
                <w:lang w:val="en-US" w:eastAsia="zh-CN" w:bidi="ar-SA"/>
              </w:rPr>
              <w:t>）以来承担过类似污泥处置项目的，每提供1个得3分，</w:t>
            </w:r>
            <w:r>
              <w:rPr>
                <w:rFonts w:hint="eastAsia" w:ascii="宋体" w:hAnsi="宋体" w:cs="Times New Roman"/>
                <w:color w:val="auto"/>
                <w:kern w:val="2"/>
                <w:sz w:val="24"/>
                <w:highlight w:val="none"/>
                <w:lang w:val="en-US" w:eastAsia="zh-CN" w:bidi="ar-SA"/>
              </w:rPr>
              <w:t>满分</w:t>
            </w:r>
            <w:r>
              <w:rPr>
                <w:rFonts w:hint="eastAsia" w:ascii="宋体" w:hAnsi="宋体" w:eastAsia="宋体" w:cs="Times New Roman"/>
                <w:color w:val="auto"/>
                <w:kern w:val="2"/>
                <w:sz w:val="24"/>
                <w:highlight w:val="none"/>
                <w:lang w:val="en-US" w:eastAsia="zh-CN" w:bidi="ar-SA"/>
              </w:rPr>
              <w:t>9分。</w:t>
            </w:r>
            <w:r>
              <w:rPr>
                <w:rFonts w:hint="eastAsia" w:ascii="宋体" w:hAnsi="宋体" w:eastAsia="宋体" w:cs="Times New Roman"/>
                <w:b/>
                <w:bCs/>
                <w:color w:val="auto"/>
                <w:kern w:val="2"/>
                <w:sz w:val="24"/>
                <w:highlight w:val="none"/>
                <w:lang w:val="en-US" w:eastAsia="zh-CN" w:bidi="ar-SA"/>
              </w:rPr>
              <w:t>（须提供合同</w:t>
            </w:r>
            <w:r>
              <w:rPr>
                <w:rFonts w:hint="eastAsia" w:ascii="宋体" w:hAnsi="宋体" w:cs="Times New Roman"/>
                <w:b/>
                <w:bCs/>
                <w:color w:val="auto"/>
                <w:kern w:val="2"/>
                <w:sz w:val="24"/>
                <w:highlight w:val="none"/>
                <w:lang w:val="en-US" w:eastAsia="zh-CN" w:bidi="ar-SA"/>
              </w:rPr>
              <w:t>原件扫描件上传系统</w:t>
            </w:r>
            <w:r>
              <w:rPr>
                <w:rFonts w:hint="eastAsia" w:ascii="宋体" w:hAnsi="宋体" w:eastAsia="宋体" w:cs="Times New Roman"/>
                <w:b/>
                <w:bCs/>
                <w:color w:val="auto"/>
                <w:kern w:val="2"/>
                <w:sz w:val="24"/>
                <w:highlight w:val="none"/>
                <w:lang w:val="en-US" w:eastAsia="zh-CN" w:bidi="ar-SA"/>
              </w:rPr>
              <w:t>，时间以合同签订时间为准）</w:t>
            </w:r>
          </w:p>
        </w:tc>
        <w:tc>
          <w:tcPr>
            <w:tcW w:w="864" w:type="dxa"/>
            <w:noWrap w:val="0"/>
            <w:vAlign w:val="center"/>
          </w:tcPr>
          <w:p w14:paraId="1A027F6B">
            <w:pPr>
              <w:jc w:val="center"/>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val="en-US" w:eastAsia="zh-CN"/>
              </w:rPr>
              <w:t>9</w:t>
            </w:r>
          </w:p>
        </w:tc>
      </w:tr>
      <w:tr w14:paraId="38636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94" w:hRule="atLeast"/>
          <w:jc w:val="center"/>
        </w:trPr>
        <w:tc>
          <w:tcPr>
            <w:tcW w:w="817" w:type="dxa"/>
            <w:noWrap w:val="0"/>
            <w:vAlign w:val="center"/>
          </w:tcPr>
          <w:p w14:paraId="40DF8C52">
            <w:pPr>
              <w:jc w:val="center"/>
              <w:rPr>
                <w:rFonts w:hint="default" w:ascii="宋体" w:hAnsi="宋体" w:eastAsia="宋体" w:cs="宋体"/>
                <w:color w:val="auto"/>
                <w:spacing w:val="-3"/>
                <w:sz w:val="24"/>
                <w:szCs w:val="24"/>
                <w:highlight w:val="none"/>
                <w:lang w:val="en-US" w:eastAsia="zh-CN"/>
              </w:rPr>
            </w:pPr>
            <w:r>
              <w:rPr>
                <w:rFonts w:hint="eastAsia" w:ascii="宋体" w:hAnsi="宋体" w:cs="宋体"/>
                <w:color w:val="auto"/>
                <w:spacing w:val="-3"/>
                <w:sz w:val="24"/>
                <w:szCs w:val="24"/>
                <w:highlight w:val="none"/>
                <w:lang w:val="en-US" w:eastAsia="zh-CN"/>
              </w:rPr>
              <w:t>8</w:t>
            </w:r>
          </w:p>
        </w:tc>
        <w:tc>
          <w:tcPr>
            <w:tcW w:w="1261" w:type="dxa"/>
            <w:noWrap w:val="0"/>
            <w:vAlign w:val="center"/>
          </w:tcPr>
          <w:p w14:paraId="69FAA7B4">
            <w:pPr>
              <w:spacing w:line="360" w:lineRule="auto"/>
              <w:jc w:val="center"/>
              <w:rPr>
                <w:rFonts w:hint="default" w:ascii="宋体" w:hAnsi="宋体" w:eastAsia="宋体" w:cs="Times New Roman"/>
                <w:color w:val="auto"/>
                <w:kern w:val="2"/>
                <w:sz w:val="24"/>
                <w:highlight w:val="none"/>
                <w:lang w:val="en-US" w:eastAsia="zh-CN" w:bidi="ar-SA"/>
              </w:rPr>
            </w:pPr>
            <w:r>
              <w:rPr>
                <w:rFonts w:hint="eastAsia" w:ascii="宋体" w:hAnsi="宋体" w:cs="Times New Roman"/>
                <w:color w:val="auto"/>
                <w:kern w:val="2"/>
                <w:sz w:val="24"/>
                <w:highlight w:val="none"/>
                <w:lang w:val="en-US" w:eastAsia="zh-CN" w:bidi="ar-SA"/>
              </w:rPr>
              <w:t>履约能力</w:t>
            </w:r>
          </w:p>
        </w:tc>
        <w:tc>
          <w:tcPr>
            <w:tcW w:w="6768" w:type="dxa"/>
            <w:noWrap w:val="0"/>
            <w:vAlign w:val="center"/>
          </w:tcPr>
          <w:p w14:paraId="35B928D5">
            <w:pPr>
              <w:spacing w:line="360" w:lineRule="auto"/>
              <w:jc w:val="left"/>
              <w:rPr>
                <w:rFonts w:hint="eastAsia" w:ascii="宋体" w:hAnsi="宋体" w:eastAsia="宋体" w:cs="Times New Roman"/>
                <w:color w:val="auto"/>
                <w:kern w:val="2"/>
                <w:sz w:val="24"/>
                <w:highlight w:val="none"/>
                <w:lang w:val="en-US" w:eastAsia="zh-CN" w:bidi="ar-SA"/>
              </w:rPr>
            </w:pPr>
            <w:r>
              <w:rPr>
                <w:rFonts w:hint="eastAsia" w:ascii="宋体" w:hAnsi="宋体" w:eastAsia="宋体" w:cs="Times New Roman"/>
                <w:color w:val="auto"/>
                <w:kern w:val="2"/>
                <w:sz w:val="24"/>
                <w:highlight w:val="none"/>
                <w:lang w:val="en-US" w:eastAsia="zh-CN" w:bidi="ar-SA"/>
              </w:rPr>
              <w:t>供应商</w:t>
            </w:r>
            <w:r>
              <w:rPr>
                <w:rFonts w:hint="default" w:ascii="宋体" w:hAnsi="宋体" w:eastAsia="宋体" w:cs="Times New Roman"/>
                <w:color w:val="auto"/>
                <w:kern w:val="2"/>
                <w:sz w:val="24"/>
                <w:highlight w:val="none"/>
                <w:lang w:val="zh-CN" w:eastAsia="zh-CN" w:bidi="ar-SA"/>
              </w:rPr>
              <w:t>具</w:t>
            </w:r>
            <w:r>
              <w:rPr>
                <w:rFonts w:hint="eastAsia" w:ascii="宋体" w:hAnsi="宋体" w:cs="Times New Roman"/>
                <w:color w:val="auto"/>
                <w:kern w:val="2"/>
                <w:sz w:val="24"/>
                <w:highlight w:val="none"/>
                <w:lang w:val="en-US" w:eastAsia="zh-CN" w:bidi="ar-SA"/>
              </w:rPr>
              <w:t>备</w:t>
            </w:r>
            <w:r>
              <w:rPr>
                <w:rFonts w:hint="default" w:ascii="宋体" w:hAnsi="宋体" w:eastAsia="宋体" w:cs="Times New Roman"/>
                <w:color w:val="auto"/>
                <w:kern w:val="2"/>
                <w:sz w:val="24"/>
                <w:highlight w:val="none"/>
                <w:lang w:val="zh-CN" w:eastAsia="zh-CN" w:bidi="ar-SA"/>
              </w:rPr>
              <w:t>完善的处置系统</w:t>
            </w:r>
            <w:r>
              <w:rPr>
                <w:rFonts w:hint="eastAsia" w:ascii="宋体" w:hAnsi="宋体" w:cs="Times New Roman"/>
                <w:color w:val="auto"/>
                <w:kern w:val="2"/>
                <w:sz w:val="24"/>
                <w:highlight w:val="none"/>
                <w:lang w:val="zh-CN" w:eastAsia="zh-CN" w:bidi="ar-SA"/>
              </w:rPr>
              <w:t>：</w:t>
            </w:r>
            <w:r>
              <w:rPr>
                <w:rFonts w:hint="eastAsia" w:ascii="宋体" w:hAnsi="宋体" w:cs="Times New Roman"/>
                <w:color w:val="auto"/>
                <w:kern w:val="2"/>
                <w:sz w:val="24"/>
                <w:highlight w:val="none"/>
                <w:lang w:val="en-US" w:eastAsia="zh-CN" w:bidi="ar-SA"/>
              </w:rPr>
              <w:t>具有喷淋设备的</w:t>
            </w:r>
            <w:r>
              <w:rPr>
                <w:rFonts w:hint="eastAsia" w:ascii="宋体" w:hAnsi="宋体" w:cs="Times New Roman"/>
                <w:color w:val="auto"/>
                <w:kern w:val="2"/>
                <w:sz w:val="24"/>
                <w:highlight w:val="none"/>
                <w:lang w:val="zh-CN" w:eastAsia="zh-CN" w:bidi="ar-SA"/>
              </w:rPr>
              <w:t>，</w:t>
            </w:r>
            <w:r>
              <w:rPr>
                <w:rFonts w:hint="eastAsia" w:ascii="宋体" w:hAnsi="宋体" w:cs="Times New Roman"/>
                <w:color w:val="auto"/>
                <w:kern w:val="2"/>
                <w:sz w:val="24"/>
                <w:highlight w:val="none"/>
                <w:lang w:val="en-US" w:eastAsia="zh-CN" w:bidi="ar-SA"/>
              </w:rPr>
              <w:t>得3分；具有除尘设备的</w:t>
            </w:r>
            <w:r>
              <w:rPr>
                <w:rFonts w:hint="eastAsia" w:ascii="宋体" w:hAnsi="宋体" w:cs="Times New Roman"/>
                <w:color w:val="auto"/>
                <w:kern w:val="2"/>
                <w:sz w:val="24"/>
                <w:highlight w:val="none"/>
                <w:lang w:val="zh-CN" w:eastAsia="zh-CN" w:bidi="ar-SA"/>
              </w:rPr>
              <w:t>，</w:t>
            </w:r>
            <w:r>
              <w:rPr>
                <w:rFonts w:hint="eastAsia" w:ascii="宋体" w:hAnsi="宋体" w:cs="Times New Roman"/>
                <w:color w:val="auto"/>
                <w:kern w:val="2"/>
                <w:sz w:val="24"/>
                <w:highlight w:val="none"/>
                <w:lang w:val="en-US" w:eastAsia="zh-CN" w:bidi="ar-SA"/>
              </w:rPr>
              <w:t>得3分；具有</w:t>
            </w:r>
            <w:r>
              <w:rPr>
                <w:rFonts w:hint="default" w:ascii="宋体" w:hAnsi="宋体" w:eastAsia="宋体" w:cs="Times New Roman"/>
                <w:color w:val="auto"/>
                <w:kern w:val="2"/>
                <w:sz w:val="24"/>
                <w:highlight w:val="none"/>
                <w:lang w:val="zh-CN" w:eastAsia="zh-CN" w:bidi="ar-SA"/>
              </w:rPr>
              <w:t>车辆进出场清洗</w:t>
            </w:r>
            <w:r>
              <w:rPr>
                <w:rFonts w:hint="eastAsia" w:ascii="宋体" w:hAnsi="宋体" w:cs="Times New Roman"/>
                <w:color w:val="auto"/>
                <w:kern w:val="2"/>
                <w:sz w:val="24"/>
                <w:highlight w:val="none"/>
                <w:lang w:val="en-US" w:eastAsia="zh-CN" w:bidi="ar-SA"/>
              </w:rPr>
              <w:t>设备的</w:t>
            </w:r>
            <w:r>
              <w:rPr>
                <w:rFonts w:hint="eastAsia" w:ascii="宋体" w:hAnsi="宋体" w:cs="Times New Roman"/>
                <w:color w:val="auto"/>
                <w:kern w:val="2"/>
                <w:sz w:val="24"/>
                <w:highlight w:val="none"/>
                <w:lang w:val="zh-CN" w:eastAsia="zh-CN" w:bidi="ar-SA"/>
              </w:rPr>
              <w:t>，</w:t>
            </w:r>
            <w:r>
              <w:rPr>
                <w:rFonts w:hint="eastAsia" w:ascii="宋体" w:hAnsi="宋体" w:cs="Times New Roman"/>
                <w:color w:val="auto"/>
                <w:kern w:val="2"/>
                <w:sz w:val="24"/>
                <w:highlight w:val="none"/>
                <w:lang w:val="en-US" w:eastAsia="zh-CN" w:bidi="ar-SA"/>
              </w:rPr>
              <w:t>得3分；具有</w:t>
            </w:r>
            <w:r>
              <w:rPr>
                <w:rFonts w:hint="default" w:ascii="宋体" w:hAnsi="宋体" w:eastAsia="宋体" w:cs="Times New Roman"/>
                <w:color w:val="auto"/>
                <w:kern w:val="2"/>
                <w:sz w:val="24"/>
                <w:highlight w:val="none"/>
                <w:lang w:val="zh-CN" w:eastAsia="zh-CN" w:bidi="ar-SA"/>
              </w:rPr>
              <w:t>计量称重</w:t>
            </w:r>
            <w:r>
              <w:rPr>
                <w:rFonts w:hint="eastAsia" w:ascii="宋体" w:hAnsi="宋体" w:cs="Times New Roman"/>
                <w:color w:val="auto"/>
                <w:kern w:val="2"/>
                <w:sz w:val="24"/>
                <w:highlight w:val="none"/>
                <w:lang w:val="en-US" w:eastAsia="zh-CN" w:bidi="ar-SA"/>
              </w:rPr>
              <w:t>设备的</w:t>
            </w:r>
            <w:r>
              <w:rPr>
                <w:rFonts w:hint="eastAsia" w:ascii="宋体" w:hAnsi="宋体" w:cs="Times New Roman"/>
                <w:color w:val="auto"/>
                <w:kern w:val="2"/>
                <w:sz w:val="24"/>
                <w:highlight w:val="none"/>
                <w:lang w:val="zh-CN" w:eastAsia="zh-CN" w:bidi="ar-SA"/>
              </w:rPr>
              <w:t>，</w:t>
            </w:r>
            <w:r>
              <w:rPr>
                <w:rFonts w:hint="eastAsia" w:ascii="宋体" w:hAnsi="宋体" w:cs="Times New Roman"/>
                <w:color w:val="auto"/>
                <w:kern w:val="2"/>
                <w:sz w:val="24"/>
                <w:highlight w:val="none"/>
                <w:lang w:val="en-US" w:eastAsia="zh-CN" w:bidi="ar-SA"/>
              </w:rPr>
              <w:t>得3分；满分12分</w:t>
            </w:r>
            <w:r>
              <w:rPr>
                <w:rFonts w:hint="default" w:ascii="宋体" w:hAnsi="宋体" w:eastAsia="宋体" w:cs="Times New Roman"/>
                <w:color w:val="auto"/>
                <w:kern w:val="2"/>
                <w:sz w:val="24"/>
                <w:highlight w:val="none"/>
                <w:lang w:val="zh-CN" w:eastAsia="zh-CN" w:bidi="ar-SA"/>
              </w:rPr>
              <w:t>。</w:t>
            </w:r>
            <w:r>
              <w:rPr>
                <w:rFonts w:hint="eastAsia" w:ascii="宋体" w:hAnsi="宋体" w:cs="Times New Roman"/>
                <w:b/>
                <w:bCs/>
                <w:color w:val="auto"/>
                <w:kern w:val="2"/>
                <w:sz w:val="24"/>
                <w:highlight w:val="none"/>
                <w:lang w:val="zh-CN" w:eastAsia="zh-CN" w:bidi="ar-SA"/>
              </w:rPr>
              <w:t>（</w:t>
            </w:r>
            <w:r>
              <w:rPr>
                <w:rFonts w:hint="eastAsia" w:ascii="宋体" w:hAnsi="宋体" w:cs="Times New Roman"/>
                <w:b/>
                <w:bCs/>
                <w:color w:val="auto"/>
                <w:kern w:val="2"/>
                <w:sz w:val="24"/>
                <w:highlight w:val="none"/>
                <w:lang w:val="en-US" w:eastAsia="zh-CN" w:bidi="ar-SA"/>
              </w:rPr>
              <w:t>提供设备购置发票扫描件上传系统，发票购买方名称需与投标供应商名称一致</w:t>
            </w:r>
            <w:r>
              <w:rPr>
                <w:rFonts w:hint="eastAsia" w:ascii="宋体" w:hAnsi="宋体" w:cs="Times New Roman"/>
                <w:b/>
                <w:bCs/>
                <w:color w:val="auto"/>
                <w:kern w:val="2"/>
                <w:sz w:val="24"/>
                <w:highlight w:val="none"/>
                <w:lang w:val="zh-CN" w:eastAsia="zh-CN" w:bidi="ar-SA"/>
              </w:rPr>
              <w:t>）</w:t>
            </w:r>
          </w:p>
        </w:tc>
        <w:tc>
          <w:tcPr>
            <w:tcW w:w="864" w:type="dxa"/>
            <w:noWrap w:val="0"/>
            <w:vAlign w:val="center"/>
          </w:tcPr>
          <w:p w14:paraId="442E90BE">
            <w:pPr>
              <w:jc w:val="center"/>
              <w:rPr>
                <w:rFonts w:hint="default" w:ascii="宋体" w:hAnsi="宋体" w:eastAsia="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12</w:t>
            </w:r>
          </w:p>
        </w:tc>
      </w:tr>
      <w:tr w14:paraId="68B5D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94" w:hRule="atLeast"/>
          <w:jc w:val="center"/>
        </w:trPr>
        <w:tc>
          <w:tcPr>
            <w:tcW w:w="817" w:type="dxa"/>
            <w:noWrap w:val="0"/>
            <w:vAlign w:val="center"/>
          </w:tcPr>
          <w:p w14:paraId="55422699">
            <w:pPr>
              <w:jc w:val="center"/>
              <w:rPr>
                <w:rFonts w:hint="eastAsia" w:ascii="宋体" w:hAnsi="宋体" w:eastAsia="宋体" w:cs="宋体"/>
                <w:color w:val="auto"/>
                <w:sz w:val="24"/>
                <w:szCs w:val="24"/>
                <w:highlight w:val="none"/>
                <w:lang w:eastAsia="zh-CN"/>
              </w:rPr>
            </w:pPr>
            <w:r>
              <w:rPr>
                <w:rFonts w:hint="eastAsia" w:ascii="宋体" w:hAnsi="宋体" w:cs="宋体"/>
                <w:color w:val="auto"/>
                <w:spacing w:val="-3"/>
                <w:sz w:val="24"/>
                <w:szCs w:val="24"/>
                <w:highlight w:val="none"/>
                <w:lang w:val="en-US" w:eastAsia="zh-CN"/>
              </w:rPr>
              <w:t>9</w:t>
            </w:r>
          </w:p>
        </w:tc>
        <w:tc>
          <w:tcPr>
            <w:tcW w:w="1261" w:type="dxa"/>
            <w:noWrap w:val="0"/>
            <w:vAlign w:val="center"/>
          </w:tcPr>
          <w:p w14:paraId="220EDDAC">
            <w:pPr>
              <w:spacing w:line="360" w:lineRule="auto"/>
              <w:jc w:val="center"/>
              <w:rPr>
                <w:rFonts w:hint="default" w:ascii="宋体" w:hAnsi="宋体" w:eastAsia="宋体" w:cs="Times New Roman"/>
                <w:color w:val="auto"/>
                <w:kern w:val="2"/>
                <w:sz w:val="24"/>
                <w:highlight w:val="none"/>
                <w:lang w:val="en-US" w:eastAsia="zh-CN" w:bidi="ar-SA"/>
              </w:rPr>
            </w:pPr>
            <w:r>
              <w:rPr>
                <w:rFonts w:hint="eastAsia" w:ascii="宋体" w:hAnsi="宋体" w:cs="Times New Roman"/>
                <w:color w:val="auto"/>
                <w:kern w:val="2"/>
                <w:sz w:val="24"/>
                <w:highlight w:val="none"/>
                <w:lang w:val="en-US" w:eastAsia="zh-CN" w:bidi="ar-SA"/>
              </w:rPr>
              <w:t>拟投入设备</w:t>
            </w:r>
          </w:p>
        </w:tc>
        <w:tc>
          <w:tcPr>
            <w:tcW w:w="6768" w:type="dxa"/>
            <w:noWrap w:val="0"/>
            <w:vAlign w:val="center"/>
          </w:tcPr>
          <w:p w14:paraId="6E3585E9">
            <w:pPr>
              <w:spacing w:line="360" w:lineRule="auto"/>
              <w:jc w:val="left"/>
              <w:rPr>
                <w:rFonts w:hint="default" w:ascii="宋体" w:hAnsi="宋体" w:eastAsia="宋体" w:cs="Times New Roman"/>
                <w:color w:val="auto"/>
                <w:kern w:val="2"/>
                <w:sz w:val="24"/>
                <w:highlight w:val="none"/>
                <w:lang w:val="en-US" w:eastAsia="zh-CN" w:bidi="ar-SA"/>
              </w:rPr>
            </w:pPr>
            <w:r>
              <w:rPr>
                <w:rFonts w:hint="eastAsia" w:ascii="宋体" w:hAnsi="宋体" w:eastAsia="宋体" w:cs="Times New Roman"/>
                <w:color w:val="auto"/>
                <w:kern w:val="2"/>
                <w:sz w:val="24"/>
                <w:highlight w:val="none"/>
                <w:lang w:val="en-US" w:eastAsia="zh-CN" w:bidi="ar-SA"/>
              </w:rPr>
              <w:t>评委根据</w:t>
            </w:r>
            <w:r>
              <w:rPr>
                <w:rFonts w:hint="eastAsia" w:ascii="宋体" w:hAnsi="宋体" w:cs="Times New Roman"/>
                <w:color w:val="auto"/>
                <w:kern w:val="2"/>
                <w:sz w:val="24"/>
                <w:highlight w:val="none"/>
                <w:lang w:val="en-US" w:eastAsia="zh-CN" w:bidi="ar-SA"/>
              </w:rPr>
              <w:t>本项目所需设备进行</w:t>
            </w:r>
            <w:r>
              <w:rPr>
                <w:rFonts w:hint="eastAsia" w:ascii="宋体" w:hAnsi="宋体" w:eastAsia="宋体" w:cs="Times New Roman"/>
                <w:color w:val="auto"/>
                <w:kern w:val="2"/>
                <w:sz w:val="24"/>
                <w:highlight w:val="none"/>
                <w:lang w:val="en-US" w:eastAsia="zh-CN" w:bidi="ar-SA"/>
              </w:rPr>
              <w:t>综合</w:t>
            </w:r>
            <w:r>
              <w:rPr>
                <w:rFonts w:hint="eastAsia" w:ascii="宋体" w:hAnsi="宋体" w:cs="Times New Roman"/>
                <w:color w:val="auto"/>
                <w:kern w:val="2"/>
                <w:sz w:val="24"/>
                <w:highlight w:val="none"/>
                <w:lang w:val="en-US" w:eastAsia="zh-CN" w:bidi="ar-SA"/>
              </w:rPr>
              <w:t>评分：</w:t>
            </w:r>
          </w:p>
          <w:p w14:paraId="2E9A626D">
            <w:pPr>
              <w:spacing w:line="360" w:lineRule="auto"/>
              <w:jc w:val="left"/>
              <w:rPr>
                <w:rFonts w:hint="eastAsia" w:ascii="宋体" w:hAnsi="宋体" w:eastAsia="宋体" w:cs="Times New Roman"/>
                <w:color w:val="auto"/>
                <w:kern w:val="2"/>
                <w:sz w:val="24"/>
                <w:highlight w:val="none"/>
                <w:lang w:val="en-US" w:eastAsia="zh-CN" w:bidi="ar-SA"/>
              </w:rPr>
            </w:pPr>
            <w:r>
              <w:rPr>
                <w:rFonts w:hint="eastAsia" w:ascii="宋体" w:hAnsi="宋体" w:eastAsia="宋体" w:cs="Times New Roman"/>
                <w:color w:val="auto"/>
                <w:kern w:val="2"/>
                <w:sz w:val="24"/>
                <w:highlight w:val="none"/>
                <w:lang w:val="en-US" w:eastAsia="zh-CN" w:bidi="ar-SA"/>
              </w:rPr>
              <w:t>1.</w:t>
            </w:r>
            <w:r>
              <w:rPr>
                <w:rFonts w:hint="eastAsia" w:ascii="宋体" w:hAnsi="宋体" w:cs="Times New Roman"/>
                <w:color w:val="auto"/>
                <w:kern w:val="2"/>
                <w:sz w:val="24"/>
                <w:highlight w:val="none"/>
                <w:lang w:val="en-US" w:eastAsia="zh-CN" w:bidi="ar-SA"/>
              </w:rPr>
              <w:t>供应商</w:t>
            </w:r>
            <w:r>
              <w:rPr>
                <w:rFonts w:hint="eastAsia" w:ascii="宋体" w:hAnsi="宋体" w:eastAsia="宋体" w:cs="Times New Roman"/>
                <w:color w:val="auto"/>
                <w:kern w:val="2"/>
                <w:sz w:val="24"/>
                <w:highlight w:val="none"/>
                <w:lang w:val="en-US" w:eastAsia="zh-CN" w:bidi="ar-SA"/>
              </w:rPr>
              <w:t>具有污泥运输车辆（</w:t>
            </w:r>
            <w:r>
              <w:rPr>
                <w:rFonts w:hint="default" w:ascii="宋体" w:hAnsi="宋体" w:eastAsia="宋体" w:cs="Times New Roman"/>
                <w:color w:val="auto"/>
                <w:kern w:val="2"/>
                <w:sz w:val="24"/>
                <w:highlight w:val="none"/>
                <w:lang w:val="zh-CN" w:eastAsia="zh-CN" w:bidi="ar-SA"/>
              </w:rPr>
              <w:t>全封闭车厢</w:t>
            </w:r>
            <w:r>
              <w:rPr>
                <w:rFonts w:hint="eastAsia" w:ascii="宋体" w:hAnsi="宋体" w:eastAsia="宋体" w:cs="Times New Roman"/>
                <w:color w:val="auto"/>
                <w:kern w:val="2"/>
                <w:sz w:val="24"/>
                <w:highlight w:val="none"/>
                <w:lang w:val="en-US" w:eastAsia="zh-CN" w:bidi="ar-SA"/>
              </w:rPr>
              <w:t>）且安装车辆定位系统的，得2分/辆，满分6分</w:t>
            </w:r>
            <w:r>
              <w:rPr>
                <w:rFonts w:hint="eastAsia" w:ascii="宋体" w:hAnsi="宋体" w:cs="Times New Roman"/>
                <w:color w:val="auto"/>
                <w:kern w:val="2"/>
                <w:sz w:val="24"/>
                <w:highlight w:val="none"/>
                <w:lang w:val="en-US" w:eastAsia="zh-CN" w:bidi="ar-SA"/>
              </w:rPr>
              <w:t>；</w:t>
            </w:r>
          </w:p>
          <w:p w14:paraId="794A76AF">
            <w:pPr>
              <w:spacing w:line="360" w:lineRule="auto"/>
              <w:jc w:val="left"/>
              <w:rPr>
                <w:rFonts w:hint="eastAsia" w:ascii="宋体" w:hAnsi="宋体" w:eastAsia="宋体" w:cs="Times New Roman"/>
                <w:color w:val="auto"/>
                <w:kern w:val="2"/>
                <w:sz w:val="24"/>
                <w:highlight w:val="none"/>
                <w:lang w:val="en-US" w:eastAsia="zh-CN" w:bidi="ar-SA"/>
              </w:rPr>
            </w:pPr>
            <w:r>
              <w:rPr>
                <w:rFonts w:hint="eastAsia" w:ascii="宋体" w:hAnsi="宋体" w:eastAsia="宋体" w:cs="Times New Roman"/>
                <w:color w:val="auto"/>
                <w:kern w:val="2"/>
                <w:sz w:val="24"/>
                <w:highlight w:val="none"/>
                <w:lang w:val="en-US" w:eastAsia="zh-CN" w:bidi="ar-SA"/>
              </w:rPr>
              <w:t>2.</w:t>
            </w:r>
            <w:r>
              <w:rPr>
                <w:rFonts w:hint="eastAsia" w:ascii="宋体" w:hAnsi="宋体" w:cs="Times New Roman"/>
                <w:color w:val="auto"/>
                <w:kern w:val="2"/>
                <w:sz w:val="24"/>
                <w:highlight w:val="none"/>
                <w:lang w:val="en-US" w:eastAsia="zh-CN" w:bidi="ar-SA"/>
              </w:rPr>
              <w:t>供应商</w:t>
            </w:r>
            <w:r>
              <w:rPr>
                <w:rFonts w:hint="eastAsia" w:ascii="宋体" w:hAnsi="宋体" w:eastAsia="宋体" w:cs="Times New Roman"/>
                <w:color w:val="auto"/>
                <w:kern w:val="2"/>
                <w:sz w:val="24"/>
                <w:highlight w:val="none"/>
                <w:lang w:val="en-US" w:eastAsia="zh-CN" w:bidi="ar-SA"/>
              </w:rPr>
              <w:t>具有装载机的，得2分/辆，满分2分</w:t>
            </w:r>
            <w:r>
              <w:rPr>
                <w:rFonts w:hint="eastAsia" w:ascii="宋体" w:hAnsi="宋体" w:cs="Times New Roman"/>
                <w:color w:val="auto"/>
                <w:kern w:val="2"/>
                <w:sz w:val="24"/>
                <w:highlight w:val="none"/>
                <w:lang w:val="en-US" w:eastAsia="zh-CN" w:bidi="ar-SA"/>
              </w:rPr>
              <w:t>；</w:t>
            </w:r>
          </w:p>
          <w:p w14:paraId="10CCDA12">
            <w:pPr>
              <w:spacing w:line="360" w:lineRule="auto"/>
              <w:jc w:val="left"/>
              <w:rPr>
                <w:rFonts w:hint="default" w:ascii="宋体" w:hAnsi="宋体" w:eastAsia="宋体" w:cs="Times New Roman"/>
                <w:color w:val="auto"/>
                <w:kern w:val="2"/>
                <w:sz w:val="24"/>
                <w:highlight w:val="none"/>
                <w:lang w:val="en-US" w:eastAsia="zh-CN" w:bidi="ar-SA"/>
              </w:rPr>
            </w:pPr>
            <w:r>
              <w:rPr>
                <w:rFonts w:hint="eastAsia" w:ascii="宋体" w:hAnsi="宋体" w:cs="Times New Roman"/>
                <w:color w:val="auto"/>
                <w:kern w:val="2"/>
                <w:sz w:val="24"/>
                <w:highlight w:val="none"/>
                <w:lang w:val="en-US" w:eastAsia="zh-CN" w:bidi="ar-SA"/>
              </w:rPr>
              <w:t>3</w:t>
            </w:r>
            <w:r>
              <w:rPr>
                <w:rFonts w:hint="eastAsia" w:ascii="宋体" w:hAnsi="宋体" w:eastAsia="宋体" w:cs="Times New Roman"/>
                <w:color w:val="auto"/>
                <w:kern w:val="2"/>
                <w:sz w:val="24"/>
                <w:highlight w:val="none"/>
                <w:lang w:val="en-US" w:eastAsia="zh-CN" w:bidi="ar-SA"/>
              </w:rPr>
              <w:t>.</w:t>
            </w:r>
            <w:r>
              <w:rPr>
                <w:rFonts w:hint="eastAsia" w:ascii="宋体" w:hAnsi="宋体" w:cs="Times New Roman"/>
                <w:color w:val="auto"/>
                <w:kern w:val="2"/>
                <w:sz w:val="24"/>
                <w:highlight w:val="none"/>
                <w:lang w:val="en-US" w:eastAsia="zh-CN" w:bidi="ar-SA"/>
              </w:rPr>
              <w:t>供应商</w:t>
            </w:r>
            <w:r>
              <w:rPr>
                <w:rFonts w:hint="eastAsia" w:ascii="宋体" w:hAnsi="宋体" w:eastAsia="宋体" w:cs="Times New Roman"/>
                <w:color w:val="auto"/>
                <w:kern w:val="2"/>
                <w:sz w:val="24"/>
                <w:highlight w:val="none"/>
                <w:lang w:val="en-US" w:eastAsia="zh-CN" w:bidi="ar-SA"/>
              </w:rPr>
              <w:t>具有</w:t>
            </w:r>
            <w:r>
              <w:rPr>
                <w:rFonts w:hint="eastAsia" w:ascii="宋体" w:hAnsi="宋体" w:cs="Times New Roman"/>
                <w:color w:val="auto"/>
                <w:kern w:val="2"/>
                <w:sz w:val="24"/>
                <w:highlight w:val="none"/>
                <w:lang w:val="en-US" w:eastAsia="zh-CN" w:bidi="ar-SA"/>
              </w:rPr>
              <w:t>洗扫车</w:t>
            </w:r>
            <w:r>
              <w:rPr>
                <w:rFonts w:hint="eastAsia" w:ascii="宋体" w:hAnsi="宋体" w:eastAsia="宋体" w:cs="Times New Roman"/>
                <w:color w:val="auto"/>
                <w:kern w:val="2"/>
                <w:sz w:val="24"/>
                <w:highlight w:val="none"/>
                <w:lang w:val="en-US" w:eastAsia="zh-CN" w:bidi="ar-SA"/>
              </w:rPr>
              <w:t>的，得2分/辆，满分2分。</w:t>
            </w:r>
          </w:p>
          <w:p w14:paraId="3819F32D">
            <w:pPr>
              <w:spacing w:line="360" w:lineRule="auto"/>
              <w:jc w:val="left"/>
              <w:rPr>
                <w:rFonts w:hint="eastAsia" w:ascii="宋体" w:hAnsi="宋体" w:eastAsia="宋体" w:cs="Times New Roman"/>
                <w:color w:val="auto"/>
                <w:kern w:val="2"/>
                <w:sz w:val="24"/>
                <w:highlight w:val="none"/>
                <w:lang w:val="en-US" w:eastAsia="zh-CN" w:bidi="ar-SA"/>
              </w:rPr>
            </w:pPr>
            <w:r>
              <w:rPr>
                <w:rFonts w:hint="eastAsia" w:ascii="宋体" w:hAnsi="宋体" w:cs="宋体"/>
                <w:b/>
                <w:bCs/>
                <w:color w:val="auto"/>
                <w:sz w:val="24"/>
                <w:szCs w:val="24"/>
                <w:highlight w:val="none"/>
                <w:lang w:val="en-US" w:eastAsia="zh-CN"/>
              </w:rPr>
              <w:t>[</w:t>
            </w:r>
            <w:r>
              <w:rPr>
                <w:rFonts w:hint="eastAsia" w:ascii="宋体" w:hAnsi="宋体" w:cs="宋体"/>
                <w:b/>
                <w:bCs/>
                <w:color w:val="auto"/>
                <w:sz w:val="24"/>
                <w:szCs w:val="24"/>
                <w:highlight w:val="none"/>
              </w:rPr>
              <w:t>1.上述设备</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含车辆定位系统</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及车辆如</w:t>
            </w:r>
            <w:r>
              <w:rPr>
                <w:rFonts w:hint="eastAsia" w:ascii="宋体" w:hAnsi="宋体" w:cs="宋体"/>
                <w:b/>
                <w:bCs/>
                <w:color w:val="auto"/>
                <w:sz w:val="24"/>
                <w:szCs w:val="24"/>
                <w:highlight w:val="none"/>
              </w:rPr>
              <w:t>为自有设备车辆，提供相应设备及车辆的购置发票</w:t>
            </w:r>
            <w:r>
              <w:rPr>
                <w:rFonts w:hint="eastAsia" w:ascii="宋体" w:hAnsi="宋体" w:cs="宋体"/>
                <w:b/>
                <w:bCs/>
                <w:color w:val="auto"/>
                <w:sz w:val="24"/>
                <w:szCs w:val="24"/>
                <w:highlight w:val="none"/>
                <w:lang w:val="en-US" w:eastAsia="zh-CN"/>
              </w:rPr>
              <w:t>扫描件上传系统，</w:t>
            </w:r>
            <w:r>
              <w:rPr>
                <w:rFonts w:hint="eastAsia" w:ascii="宋体" w:hAnsi="宋体" w:cs="Times New Roman"/>
                <w:b/>
                <w:bCs/>
                <w:color w:val="auto"/>
                <w:kern w:val="2"/>
                <w:sz w:val="24"/>
                <w:highlight w:val="none"/>
                <w:lang w:val="en-US" w:eastAsia="zh-CN" w:bidi="ar-SA"/>
              </w:rPr>
              <w:t>发票购买方名称需与投标供应商名称一致</w:t>
            </w:r>
            <w:r>
              <w:rPr>
                <w:rFonts w:hint="eastAsia" w:ascii="宋体" w:hAnsi="宋体" w:cs="宋体"/>
                <w:b/>
                <w:bCs/>
                <w:color w:val="auto"/>
                <w:sz w:val="24"/>
                <w:szCs w:val="24"/>
                <w:highlight w:val="none"/>
              </w:rPr>
              <w:t>。2.如为租赁设备车辆，需提供租赁合同与所租赁设备</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含车辆定位系统</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rPr>
              <w:t>及车辆购置发票</w:t>
            </w:r>
            <w:r>
              <w:rPr>
                <w:rFonts w:hint="eastAsia" w:ascii="宋体" w:hAnsi="宋体" w:cs="宋体"/>
                <w:b/>
                <w:bCs/>
                <w:color w:val="auto"/>
                <w:sz w:val="24"/>
                <w:szCs w:val="24"/>
                <w:highlight w:val="none"/>
                <w:lang w:val="en-US" w:eastAsia="zh-CN"/>
              </w:rPr>
              <w:t>扫描件上传系统</w:t>
            </w:r>
            <w:r>
              <w:rPr>
                <w:rFonts w:hint="eastAsia" w:ascii="宋体" w:hAnsi="宋体" w:cs="宋体"/>
                <w:b/>
                <w:bCs/>
                <w:color w:val="auto"/>
                <w:sz w:val="24"/>
                <w:szCs w:val="24"/>
                <w:highlight w:val="none"/>
              </w:rPr>
              <w:t>，所租赁设备及车辆</w:t>
            </w:r>
            <w:r>
              <w:rPr>
                <w:rFonts w:hint="eastAsia" w:ascii="宋体" w:hAnsi="宋体" w:cs="宋体"/>
                <w:b/>
                <w:bCs/>
                <w:color w:val="auto"/>
                <w:sz w:val="24"/>
                <w:szCs w:val="24"/>
                <w:highlight w:val="none"/>
                <w:lang w:val="en-US" w:eastAsia="zh-CN"/>
              </w:rPr>
              <w:t>发票购买方名称</w:t>
            </w:r>
            <w:r>
              <w:rPr>
                <w:rFonts w:hint="eastAsia" w:ascii="宋体" w:hAnsi="宋体" w:cs="宋体"/>
                <w:b/>
                <w:bCs/>
                <w:color w:val="auto"/>
                <w:sz w:val="24"/>
                <w:szCs w:val="24"/>
                <w:highlight w:val="none"/>
              </w:rPr>
              <w:t>需与出租单位一致。</w:t>
            </w:r>
            <w:r>
              <w:rPr>
                <w:rFonts w:hint="eastAsia" w:ascii="宋体" w:hAnsi="宋体" w:cs="宋体"/>
                <w:b/>
                <w:bCs/>
                <w:color w:val="auto"/>
                <w:sz w:val="24"/>
                <w:szCs w:val="24"/>
                <w:highlight w:val="none"/>
                <w:lang w:val="en-US" w:eastAsia="zh-CN"/>
              </w:rPr>
              <w:t>3.污泥</w:t>
            </w:r>
            <w:r>
              <w:rPr>
                <w:rFonts w:hint="eastAsia" w:ascii="宋体" w:hAnsi="宋体" w:eastAsia="宋体" w:cs="宋体"/>
                <w:b/>
                <w:bCs/>
                <w:color w:val="auto"/>
                <w:sz w:val="24"/>
                <w:szCs w:val="24"/>
                <w:highlight w:val="none"/>
                <w:lang w:val="en-US" w:eastAsia="zh-CN"/>
              </w:rPr>
              <w:t>运输车需提供</w:t>
            </w:r>
            <w:r>
              <w:rPr>
                <w:rFonts w:hint="default" w:ascii="宋体" w:hAnsi="宋体" w:eastAsia="宋体" w:cs="宋体"/>
                <w:b/>
                <w:bCs/>
                <w:color w:val="auto"/>
                <w:sz w:val="24"/>
                <w:szCs w:val="24"/>
                <w:highlight w:val="none"/>
                <w:lang w:val="zh-CN" w:eastAsia="zh-CN"/>
              </w:rPr>
              <w:t>全封闭车厢</w:t>
            </w:r>
            <w:r>
              <w:rPr>
                <w:rFonts w:hint="eastAsia" w:ascii="宋体" w:hAnsi="宋体" w:eastAsia="宋体" w:cs="宋体"/>
                <w:b/>
                <w:bCs/>
                <w:color w:val="auto"/>
                <w:sz w:val="24"/>
                <w:szCs w:val="24"/>
                <w:highlight w:val="none"/>
                <w:lang w:val="en-US" w:eastAsia="zh-CN"/>
              </w:rPr>
              <w:t>的清晰</w:t>
            </w:r>
            <w:r>
              <w:rPr>
                <w:rFonts w:hint="eastAsia" w:ascii="宋体" w:hAnsi="宋体" w:cs="宋体"/>
                <w:b/>
                <w:bCs/>
                <w:color w:val="auto"/>
                <w:sz w:val="24"/>
                <w:szCs w:val="24"/>
                <w:highlight w:val="none"/>
                <w:lang w:val="en-US" w:eastAsia="zh-CN"/>
              </w:rPr>
              <w:t>照片上传系统</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w:t>
            </w:r>
          </w:p>
        </w:tc>
        <w:tc>
          <w:tcPr>
            <w:tcW w:w="864" w:type="dxa"/>
            <w:noWrap w:val="0"/>
            <w:vAlign w:val="center"/>
          </w:tcPr>
          <w:p w14:paraId="07AF5ED9">
            <w:pPr>
              <w:jc w:val="center"/>
              <w:rPr>
                <w:rFonts w:hint="default" w:ascii="宋体" w:hAnsi="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10</w:t>
            </w:r>
          </w:p>
        </w:tc>
      </w:tr>
      <w:tr w14:paraId="56ABDB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81" w:hRule="atLeast"/>
          <w:jc w:val="center"/>
        </w:trPr>
        <w:tc>
          <w:tcPr>
            <w:tcW w:w="817" w:type="dxa"/>
            <w:noWrap w:val="0"/>
            <w:vAlign w:val="center"/>
          </w:tcPr>
          <w:p w14:paraId="43C41B4F">
            <w:pPr>
              <w:jc w:val="center"/>
              <w:rPr>
                <w:rFonts w:hint="default" w:ascii="宋体" w:hAnsi="宋体" w:eastAsia="宋体" w:cs="宋体"/>
                <w:color w:val="auto"/>
                <w:spacing w:val="-3"/>
                <w:sz w:val="24"/>
                <w:szCs w:val="24"/>
                <w:highlight w:val="none"/>
                <w:lang w:val="en-US" w:eastAsia="zh-CN"/>
              </w:rPr>
            </w:pPr>
            <w:r>
              <w:rPr>
                <w:rFonts w:hint="eastAsia" w:ascii="宋体" w:hAnsi="宋体" w:cs="宋体"/>
                <w:color w:val="auto"/>
                <w:spacing w:val="-3"/>
                <w:sz w:val="24"/>
                <w:szCs w:val="24"/>
                <w:highlight w:val="none"/>
                <w:lang w:val="en-US" w:eastAsia="zh-CN"/>
              </w:rPr>
              <w:t>10</w:t>
            </w:r>
          </w:p>
        </w:tc>
        <w:tc>
          <w:tcPr>
            <w:tcW w:w="1261" w:type="dxa"/>
            <w:noWrap w:val="0"/>
            <w:vAlign w:val="center"/>
          </w:tcPr>
          <w:p w14:paraId="0C809ED5">
            <w:pPr>
              <w:spacing w:line="360" w:lineRule="auto"/>
              <w:jc w:val="center"/>
              <w:rPr>
                <w:rFonts w:hint="eastAsia" w:ascii="宋体" w:hAnsi="宋体" w:eastAsia="宋体" w:cs="Times New Roman"/>
                <w:color w:val="auto"/>
                <w:kern w:val="2"/>
                <w:sz w:val="24"/>
                <w:highlight w:val="none"/>
                <w:lang w:val="zh-CN" w:eastAsia="zh-CN" w:bidi="ar-SA"/>
              </w:rPr>
            </w:pPr>
            <w:r>
              <w:rPr>
                <w:rFonts w:hint="eastAsia" w:ascii="宋体" w:hAnsi="宋体" w:cs="宋体"/>
                <w:color w:val="auto"/>
                <w:sz w:val="24"/>
                <w:szCs w:val="32"/>
                <w:highlight w:val="none"/>
              </w:rPr>
              <w:t>服务承诺</w:t>
            </w:r>
          </w:p>
        </w:tc>
        <w:tc>
          <w:tcPr>
            <w:tcW w:w="6768" w:type="dxa"/>
            <w:noWrap w:val="0"/>
            <w:vAlign w:val="center"/>
          </w:tcPr>
          <w:p w14:paraId="087DCC94">
            <w:pPr>
              <w:spacing w:line="360" w:lineRule="auto"/>
              <w:jc w:val="left"/>
              <w:rPr>
                <w:rFonts w:hint="eastAsia" w:ascii="宋体" w:hAnsi="宋体" w:eastAsia="宋体" w:cs="Times New Roman"/>
                <w:color w:val="auto"/>
                <w:kern w:val="2"/>
                <w:sz w:val="24"/>
                <w:highlight w:val="none"/>
                <w:lang w:val="en-US" w:eastAsia="zh-CN" w:bidi="ar-SA"/>
              </w:rPr>
            </w:pPr>
            <w:r>
              <w:rPr>
                <w:rFonts w:hint="eastAsia" w:ascii="宋体" w:hAnsi="宋体" w:eastAsia="宋体" w:cs="Times New Roman"/>
                <w:color w:val="auto"/>
                <w:kern w:val="2"/>
                <w:sz w:val="24"/>
                <w:highlight w:val="none"/>
                <w:lang w:val="en-US" w:eastAsia="zh-CN" w:bidi="ar-SA"/>
              </w:rPr>
              <w:t>如遇采购人临时增加人员或车辆设备需求，供应商需在承诺的时间内完成人员或车辆设备调配，能在60分钟内完成调配得</w:t>
            </w:r>
            <w:r>
              <w:rPr>
                <w:rFonts w:hint="eastAsia" w:ascii="宋体" w:hAnsi="宋体" w:cs="Times New Roman"/>
                <w:color w:val="auto"/>
                <w:kern w:val="2"/>
                <w:sz w:val="24"/>
                <w:highlight w:val="none"/>
                <w:lang w:val="en-US" w:eastAsia="zh-CN" w:bidi="ar-SA"/>
              </w:rPr>
              <w:t>4</w:t>
            </w:r>
            <w:r>
              <w:rPr>
                <w:rFonts w:hint="eastAsia" w:ascii="宋体" w:hAnsi="宋体" w:eastAsia="宋体" w:cs="Times New Roman"/>
                <w:color w:val="auto"/>
                <w:kern w:val="2"/>
                <w:sz w:val="24"/>
                <w:highlight w:val="none"/>
                <w:lang w:val="en-US" w:eastAsia="zh-CN" w:bidi="ar-SA"/>
              </w:rPr>
              <w:t>分；120分钟内完成调配得</w:t>
            </w:r>
            <w:r>
              <w:rPr>
                <w:rFonts w:hint="eastAsia" w:ascii="宋体" w:hAnsi="宋体" w:cs="Times New Roman"/>
                <w:color w:val="auto"/>
                <w:kern w:val="2"/>
                <w:sz w:val="24"/>
                <w:highlight w:val="none"/>
                <w:lang w:val="en-US" w:eastAsia="zh-CN" w:bidi="ar-SA"/>
              </w:rPr>
              <w:t>2</w:t>
            </w:r>
            <w:r>
              <w:rPr>
                <w:rFonts w:hint="eastAsia" w:ascii="宋体" w:hAnsi="宋体" w:eastAsia="宋体" w:cs="Times New Roman"/>
                <w:color w:val="auto"/>
                <w:kern w:val="2"/>
                <w:sz w:val="24"/>
                <w:highlight w:val="none"/>
                <w:lang w:val="en-US" w:eastAsia="zh-CN" w:bidi="ar-SA"/>
              </w:rPr>
              <w:t>分；超过120分钟的，不得分。</w:t>
            </w:r>
            <w:r>
              <w:rPr>
                <w:rFonts w:hint="eastAsia" w:ascii="宋体" w:hAnsi="宋体" w:eastAsia="宋体" w:cs="Times New Roman"/>
                <w:b/>
                <w:bCs/>
                <w:color w:val="auto"/>
                <w:kern w:val="2"/>
                <w:sz w:val="24"/>
                <w:highlight w:val="none"/>
                <w:lang w:val="en-US" w:eastAsia="zh-CN" w:bidi="ar-SA"/>
              </w:rPr>
              <w:t>（提供承诺书加盖公章。）</w:t>
            </w:r>
          </w:p>
        </w:tc>
        <w:tc>
          <w:tcPr>
            <w:tcW w:w="864" w:type="dxa"/>
            <w:noWrap w:val="0"/>
            <w:vAlign w:val="center"/>
          </w:tcPr>
          <w:p w14:paraId="4F1100B7">
            <w:pPr>
              <w:jc w:val="center"/>
              <w:rPr>
                <w:rFonts w:hint="eastAsia" w:ascii="宋体" w:hAnsi="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4</w:t>
            </w:r>
          </w:p>
        </w:tc>
      </w:tr>
    </w:tbl>
    <w:p w14:paraId="35F57418">
      <w:pPr>
        <w:widowControl/>
        <w:shd w:val="clear" w:color="auto" w:fill="FFFFFF"/>
        <w:spacing w:line="360" w:lineRule="auto"/>
        <w:ind w:firstLine="422"/>
        <w:jc w:val="left"/>
        <w:rPr>
          <w:rFonts w:hint="eastAsia" w:cs="Arial" w:asciiTheme="minorEastAsia" w:hAnsiTheme="minorEastAsia" w:eastAsiaTheme="minorEastAsia"/>
          <w:b/>
          <w:color w:val="auto"/>
          <w:sz w:val="24"/>
          <w:szCs w:val="24"/>
          <w:highlight w:val="none"/>
        </w:rPr>
      </w:pPr>
    </w:p>
    <w:bookmarkEnd w:id="41"/>
    <w:bookmarkEnd w:id="42"/>
    <w:p w14:paraId="015B0869">
      <w:pPr>
        <w:spacing w:line="360" w:lineRule="auto"/>
        <w:rPr>
          <w:rFonts w:hint="eastAsia" w:asciiTheme="minorEastAsia" w:hAnsiTheme="minorEastAsia" w:eastAsiaTheme="minorEastAsia"/>
          <w:color w:val="auto"/>
          <w:highlight w:val="none"/>
        </w:rPr>
      </w:pPr>
      <w:bookmarkStart w:id="43" w:name="_Toc14826"/>
      <w:r>
        <w:rPr>
          <w:rFonts w:hint="eastAsia" w:asciiTheme="minorEastAsia" w:hAnsiTheme="minorEastAsia" w:eastAsiaTheme="minorEastAsia"/>
          <w:color w:val="auto"/>
          <w:highlight w:val="none"/>
        </w:rPr>
        <w:br w:type="page" w:clear="all"/>
      </w:r>
    </w:p>
    <w:p w14:paraId="0AF98B62">
      <w:pPr>
        <w:pStyle w:val="3"/>
        <w:keepNext/>
        <w:keepLines/>
        <w:pageBreakBefore w:val="0"/>
        <w:widowControl w:val="0"/>
        <w:numPr>
          <w:ilvl w:val="0"/>
          <w:numId w:val="0"/>
        </w:numPr>
        <w:kinsoku/>
        <w:wordWrap/>
        <w:overflowPunct/>
        <w:topLinePunct w:val="0"/>
        <w:autoSpaceDE/>
        <w:autoSpaceDN/>
        <w:bidi w:val="0"/>
        <w:adjustRightInd w:val="0"/>
        <w:snapToGrid w:val="0"/>
        <w:spacing w:before="0" w:after="181" w:afterLines="50" w:line="360" w:lineRule="auto"/>
        <w:ind w:left="567"/>
        <w:textAlignment w:val="auto"/>
        <w:rPr>
          <w:rFonts w:hint="eastAsia" w:asciiTheme="minorEastAsia" w:hAnsiTheme="minorEastAsia" w:eastAsiaTheme="minorEastAsia"/>
          <w:color w:val="auto"/>
          <w:highlight w:val="none"/>
        </w:rPr>
      </w:pPr>
      <w:bookmarkStart w:id="44" w:name="_Toc29671"/>
      <w:r>
        <w:rPr>
          <w:rFonts w:hint="eastAsia" w:asciiTheme="minorEastAsia" w:hAnsiTheme="minorEastAsia" w:eastAsiaTheme="minorEastAsia"/>
          <w:color w:val="auto"/>
          <w:highlight w:val="none"/>
        </w:rPr>
        <w:t>第四章</w:t>
      </w:r>
      <w:bookmarkEnd w:id="43"/>
      <w:bookmarkStart w:id="45" w:name="_Toc481057147"/>
      <w:bookmarkStart w:id="46" w:name="_Toc8808"/>
      <w:r>
        <w:rPr>
          <w:rFonts w:hint="eastAsia" w:asciiTheme="minorEastAsia" w:hAnsiTheme="minorEastAsia" w:eastAsiaTheme="minorEastAsia"/>
          <w:color w:val="auto"/>
          <w:highlight w:val="none"/>
        </w:rPr>
        <w:t xml:space="preserve"> 采购项目需求</w:t>
      </w:r>
      <w:bookmarkEnd w:id="44"/>
    </w:p>
    <w:p w14:paraId="56A9EAB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bookmarkStart w:id="47" w:name="_Toc5204"/>
      <w:r>
        <w:rPr>
          <w:rFonts w:hint="eastAsia" w:ascii="宋体" w:hAnsi="宋体" w:eastAsia="宋体" w:cs="宋体"/>
          <w:b/>
          <w:bCs/>
          <w:color w:val="auto"/>
          <w:sz w:val="24"/>
          <w:szCs w:val="24"/>
          <w:highlight w:val="none"/>
        </w:rPr>
        <w:t>一、项目概况</w:t>
      </w:r>
    </w:p>
    <w:p w14:paraId="0C483E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为进一步提升污泥处置抗风险能力，确保工业废水处理厂污泥处置工作合规有序、稳定运行，现需确定两家污泥处置服务单位，为浦口经济开发区工业废水处理厂提供污泥处置服务</w:t>
      </w:r>
      <w:r>
        <w:rPr>
          <w:rFonts w:hint="eastAsia" w:ascii="宋体" w:hAnsi="宋体" w:eastAsia="宋体" w:cs="宋体"/>
          <w:color w:val="auto"/>
          <w:sz w:val="24"/>
          <w:szCs w:val="24"/>
          <w:highlight w:val="none"/>
          <w:lang w:eastAsia="zh-CN"/>
        </w:rPr>
        <w:t>，本项目污泥为一般工业固废</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代码900-099-S07-03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，污泥含水率不高于60％</w:t>
      </w:r>
      <w:r>
        <w:rPr>
          <w:rFonts w:hint="eastAsia" w:ascii="宋体" w:hAnsi="宋体" w:eastAsia="宋体" w:cs="宋体"/>
          <w:color w:val="auto"/>
          <w:sz w:val="24"/>
          <w:szCs w:val="24"/>
          <w:highlight w:val="none"/>
        </w:rPr>
        <w:t>。</w:t>
      </w:r>
    </w:p>
    <w:p w14:paraId="25CBB82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采用的相关标准</w:t>
      </w:r>
    </w:p>
    <w:p w14:paraId="3095F65E">
      <w:pPr>
        <w:keepNext w:val="0"/>
        <w:keepLines w:val="0"/>
        <w:pageBreakBefore w:val="0"/>
        <w:widowControl w:val="0"/>
        <w:kinsoku/>
        <w:wordWrap/>
        <w:overflowPunct/>
        <w:topLinePunct w:val="0"/>
        <w:autoSpaceDE/>
        <w:autoSpaceDN/>
        <w:bidi w:val="0"/>
        <w:adjustRightInd w:val="0"/>
        <w:snapToGrid w:val="0"/>
        <w:spacing w:line="360" w:lineRule="auto"/>
        <w:ind w:left="479" w:leftChars="228"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《中华人民共和国环境保护法》；</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《中华人民共和国固体废物污染环境防治法》；</w:t>
      </w:r>
    </w:p>
    <w:p w14:paraId="7B79C568">
      <w:pPr>
        <w:keepNext w:val="0"/>
        <w:keepLines w:val="0"/>
        <w:pageBreakBefore w:val="0"/>
        <w:widowControl w:val="0"/>
        <w:kinsoku/>
        <w:wordWrap/>
        <w:overflowPunct/>
        <w:topLinePunct w:val="0"/>
        <w:autoSpaceDE/>
        <w:autoSpaceDN/>
        <w:bidi w:val="0"/>
        <w:adjustRightInd w:val="0"/>
        <w:snapToGrid w:val="0"/>
        <w:spacing w:line="360" w:lineRule="auto"/>
        <w:ind w:left="479" w:leftChars="228"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《城镇污水处理厂污染物排放标准》（GB18918-2002）；</w:t>
      </w:r>
    </w:p>
    <w:p w14:paraId="7392F530">
      <w:pPr>
        <w:keepNext w:val="0"/>
        <w:keepLines w:val="0"/>
        <w:pageBreakBefore w:val="0"/>
        <w:widowControl w:val="0"/>
        <w:kinsoku/>
        <w:wordWrap/>
        <w:overflowPunct/>
        <w:topLinePunct w:val="0"/>
        <w:autoSpaceDE/>
        <w:autoSpaceDN/>
        <w:bidi w:val="0"/>
        <w:adjustRightInd w:val="0"/>
        <w:snapToGrid w:val="0"/>
        <w:spacing w:line="360" w:lineRule="auto"/>
        <w:ind w:left="479" w:leftChars="228"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《城镇污水处理厂污泥处理处置污染防治最佳可行技术指南</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试行</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HJ-BAT-002）；</w:t>
      </w:r>
    </w:p>
    <w:p w14:paraId="3557E0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《江苏省固体废物污染环境防治条例》</w:t>
      </w:r>
    </w:p>
    <w:p w14:paraId="4A8EC0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以及国家及地方有关的固废处理的法规及要求，如项目实施过程中有新颁布的标准或方法等，中标人将无条件按照新标准、新规范执行。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     三</w:t>
      </w:r>
      <w:r>
        <w:rPr>
          <w:rFonts w:hint="eastAsia" w:ascii="宋体" w:hAnsi="宋体" w:eastAsia="宋体" w:cs="宋体"/>
          <w:b/>
          <w:bCs/>
          <w:color w:val="auto"/>
          <w:sz w:val="24"/>
          <w:szCs w:val="24"/>
          <w:highlight w:val="none"/>
        </w:rPr>
        <w:t>、工作内容</w:t>
      </w:r>
    </w:p>
    <w:p w14:paraId="618A017A">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为开发区工业废水处理厂提供污泥处置及运输服务，保障污泥处置工作合规有序、稳定开展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综合考量经济效益与污泥处置全流程效率，为降低转运成本、缩短处置周期，根据《江苏省固体废物污染环境防治条例》第二章第八条“县级以上地方人民政府应当将固体废</w:t>
      </w:r>
      <w:r>
        <w:rPr>
          <w:rFonts w:hint="eastAsia" w:ascii="宋体" w:hAnsi="宋体" w:eastAsia="宋体" w:cs="宋体"/>
          <w:color w:val="auto"/>
          <w:sz w:val="24"/>
          <w:szCs w:val="24"/>
          <w:highlight w:val="none"/>
          <w:lang w:val="en-US" w:eastAsia="zh-CN"/>
        </w:rPr>
        <w:t>物污染环境防治设施纳入生态环境基础设施建设规划，与国土空间规划相衔接，保障设施用地，加大有效投入，提升固体废物利用、处置能力，推动固体废物就近利用、处置。”。</w:t>
      </w:r>
    </w:p>
    <w:p w14:paraId="445BC1F1">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要求具有污泥运输资质和具有处置资质能力的单位并提供环评手续（禁止蚯蚓养殖、堆肥营养土）。</w:t>
      </w:r>
    </w:p>
    <w:p w14:paraId="6A92F70D">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四、工作要求</w:t>
      </w:r>
    </w:p>
    <w:p w14:paraId="2398A19C">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中标人根据采购人及相关规范要求，对污泥进行有效及时的处置，原则上日产日清。</w:t>
      </w:r>
    </w:p>
    <w:p w14:paraId="1FFADCF2">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中标人应做好污泥运输处置过程中的安全、卫生等工作，并防止二次污染，由此产生的一切不良后果及经济、法律责任均由中标人承担。</w:t>
      </w:r>
    </w:p>
    <w:p w14:paraId="25CE8C99">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在服务有效期内，中标人必须承诺保证具有处置本项目所涉及污泥的处置能力，了解并遵守国家及地方有关安全、运输、环保的法律、法规，遵守</w:t>
      </w:r>
      <w:r>
        <w:rPr>
          <w:rFonts w:hint="eastAsia" w:ascii="宋体" w:hAnsi="宋体" w:eastAsia="宋体" w:cs="宋体"/>
          <w:color w:val="auto"/>
          <w:sz w:val="24"/>
          <w:szCs w:val="24"/>
          <w:highlight w:val="none"/>
          <w:lang w:val="en-US" w:eastAsia="zh-CN"/>
        </w:rPr>
        <w:t>政府主管部门</w:t>
      </w:r>
      <w:r>
        <w:rPr>
          <w:rFonts w:hint="eastAsia" w:ascii="宋体" w:hAnsi="宋体" w:eastAsia="宋体" w:cs="宋体"/>
          <w:color w:val="auto"/>
          <w:sz w:val="24"/>
          <w:szCs w:val="24"/>
          <w:highlight w:val="none"/>
          <w:lang w:eastAsia="zh-CN"/>
        </w:rPr>
        <w:t>监管要求及其他规章制度。</w:t>
      </w:r>
    </w:p>
    <w:p w14:paraId="288FBCC2">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中标人负责清理运输工具上跌落、泄漏在厂区内或中标人运输途中的污泥，且由此造成各方行政责任及经济损失，或导致任何第三方对采购人提出索赔，其责任、风险和费用均由中标人承担。</w:t>
      </w:r>
    </w:p>
    <w:p w14:paraId="41B54FFA">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中标人有责任及时报告在运输和处置过程中所发生的事件，包括但不限于任何可能造成各方行政责任及经济损失、任何第三方的投诉和索赔的所有事件。</w:t>
      </w:r>
    </w:p>
    <w:p w14:paraId="19F46C58">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中标人必须接受上级主管部门随时对中标人的运输和处置情况的监督检查。</w:t>
      </w:r>
    </w:p>
    <w:p w14:paraId="7ADBEF7A">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采购人有权对中标人的违规操作行为（包括但不限于偷倒、乱倒）保留追究责任的权利。</w:t>
      </w:r>
    </w:p>
    <w:p w14:paraId="79236DEF">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中标人必须严格执行有关规范运输处置标准要求，建立污泥管理专项台账，对污泥的收集、运输、处置、利用、处理进行登记，详细记录污泥产生量，处置方式和处置量、污泥转移量和转移去向、运输车牌照号等情况，实施联单制管理。</w:t>
      </w:r>
    </w:p>
    <w:p w14:paraId="0D4AF327">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中标人须制定适合的污泥污染事故应急运输处置方案，随时做好应急准备，防止突发事件发生后</w:t>
      </w:r>
      <w:r>
        <w:rPr>
          <w:rFonts w:hint="eastAsia" w:ascii="宋体" w:hAnsi="宋体" w:cs="宋体"/>
          <w:color w:val="auto"/>
          <w:sz w:val="24"/>
          <w:szCs w:val="24"/>
          <w:highlight w:val="none"/>
          <w:lang w:val="en-US" w:eastAsia="zh-CN"/>
        </w:rPr>
        <w:t>产</w:t>
      </w:r>
      <w:r>
        <w:rPr>
          <w:rFonts w:hint="eastAsia" w:ascii="宋体" w:hAnsi="宋体" w:eastAsia="宋体" w:cs="宋体"/>
          <w:color w:val="auto"/>
          <w:sz w:val="24"/>
          <w:szCs w:val="24"/>
          <w:highlight w:val="none"/>
          <w:lang w:eastAsia="zh-CN"/>
        </w:rPr>
        <w:t>生的二次污染。</w:t>
      </w:r>
    </w:p>
    <w:p w14:paraId="767F0B3A">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污泥运输处置服务质量要求：保证出厂污泥处置后达到国家、环保部门规定的相关标准。</w:t>
      </w:r>
    </w:p>
    <w:p w14:paraId="5C1F09B1">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11.中标人必须具备道路运输许可证，或委托具有道路运输许可证资质的运输公司负责本项目污泥运输任务。</w:t>
      </w:r>
    </w:p>
    <w:p w14:paraId="0504800F">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本项目服务期内中标人的工作人员如发生人身伤亡、财务或其他各类损失，无论因何种原因，采购人均不承担任何责任。</w:t>
      </w:r>
    </w:p>
    <w:p w14:paraId="2EAA6EC2">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本项目</w:t>
      </w:r>
      <w:r>
        <w:rPr>
          <w:rFonts w:hint="eastAsia" w:ascii="宋体" w:hAnsi="宋体" w:eastAsia="宋体" w:cs="宋体"/>
          <w:color w:val="auto"/>
          <w:sz w:val="24"/>
          <w:szCs w:val="24"/>
          <w:highlight w:val="none"/>
          <w:lang w:val="en-US" w:eastAsia="zh-CN"/>
        </w:rPr>
        <w:t>不得</w:t>
      </w:r>
      <w:r>
        <w:rPr>
          <w:rFonts w:hint="eastAsia" w:ascii="宋体" w:hAnsi="宋体" w:eastAsia="宋体" w:cs="宋体"/>
          <w:color w:val="auto"/>
          <w:sz w:val="24"/>
          <w:szCs w:val="24"/>
          <w:highlight w:val="none"/>
          <w:lang w:eastAsia="zh-CN"/>
        </w:rPr>
        <w:t>转包分包</w:t>
      </w:r>
      <w:r>
        <w:rPr>
          <w:rFonts w:hint="eastAsia" w:ascii="宋体" w:hAnsi="宋体" w:cs="宋体"/>
          <w:color w:val="auto"/>
          <w:sz w:val="24"/>
          <w:szCs w:val="24"/>
          <w:highlight w:val="none"/>
          <w:lang w:eastAsia="zh-CN"/>
        </w:rPr>
        <w:t>。</w:t>
      </w:r>
    </w:p>
    <w:p w14:paraId="066796B1">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采购清单</w:t>
      </w:r>
    </w:p>
    <w:p w14:paraId="557E1F75">
      <w:pPr>
        <w:keepNext w:val="0"/>
        <w:keepLines w:val="0"/>
        <w:pageBreakBefore w:val="0"/>
        <w:widowControl w:val="0"/>
        <w:kinsoku/>
        <w:wordWrap/>
        <w:overflowPunct/>
        <w:topLinePunct w:val="0"/>
        <w:autoSpaceDE/>
        <w:autoSpaceDN/>
        <w:bidi w:val="0"/>
        <w:adjustRightInd w:val="0"/>
        <w:snapToGrid w:val="0"/>
        <w:spacing w:line="240" w:lineRule="auto"/>
        <w:ind w:firstLine="573"/>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分包1</w:t>
      </w:r>
    </w:p>
    <w:tbl>
      <w:tblPr>
        <w:tblStyle w:val="49"/>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3967"/>
        <w:gridCol w:w="2736"/>
        <w:gridCol w:w="1219"/>
      </w:tblGrid>
      <w:tr w14:paraId="71D4A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2" w:hRule="atLeast"/>
          <w:jc w:val="center"/>
        </w:trPr>
        <w:tc>
          <w:tcPr>
            <w:tcW w:w="1176" w:type="dxa"/>
            <w:vAlign w:val="center"/>
          </w:tcPr>
          <w:p w14:paraId="170073C0">
            <w:pPr>
              <w:widowControl/>
              <w:spacing w:line="360" w:lineRule="exact"/>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序号</w:t>
            </w:r>
          </w:p>
        </w:tc>
        <w:tc>
          <w:tcPr>
            <w:tcW w:w="3967" w:type="dxa"/>
            <w:vAlign w:val="center"/>
          </w:tcPr>
          <w:p w14:paraId="56A21199">
            <w:pPr>
              <w:widowControl/>
              <w:spacing w:line="360" w:lineRule="exact"/>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名称</w:t>
            </w:r>
          </w:p>
        </w:tc>
        <w:tc>
          <w:tcPr>
            <w:tcW w:w="2736" w:type="dxa"/>
            <w:vAlign w:val="center"/>
          </w:tcPr>
          <w:p w14:paraId="2269D9C9">
            <w:pPr>
              <w:widowControl/>
              <w:spacing w:line="360" w:lineRule="exact"/>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污泥处置量（吨）</w:t>
            </w:r>
          </w:p>
        </w:tc>
        <w:tc>
          <w:tcPr>
            <w:tcW w:w="1219" w:type="dxa"/>
            <w:vAlign w:val="center"/>
          </w:tcPr>
          <w:p w14:paraId="6A7A5325">
            <w:pPr>
              <w:widowControl/>
              <w:spacing w:line="360" w:lineRule="exact"/>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备注</w:t>
            </w:r>
          </w:p>
        </w:tc>
      </w:tr>
      <w:tr w14:paraId="5E157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6" w:type="dxa"/>
            <w:vAlign w:val="center"/>
          </w:tcPr>
          <w:p w14:paraId="065506F2">
            <w:pPr>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3967" w:type="dxa"/>
            <w:vAlign w:val="center"/>
          </w:tcPr>
          <w:p w14:paraId="06F83414">
            <w:pPr>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浦口经济开发区工业废水处理厂污泥处置项目包1</w:t>
            </w:r>
          </w:p>
        </w:tc>
        <w:tc>
          <w:tcPr>
            <w:tcW w:w="2736" w:type="dxa"/>
            <w:vAlign w:val="center"/>
          </w:tcPr>
          <w:p w14:paraId="7AF2A5A6">
            <w:pPr>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000</w:t>
            </w:r>
          </w:p>
        </w:tc>
        <w:tc>
          <w:tcPr>
            <w:tcW w:w="1219" w:type="dxa"/>
            <w:vAlign w:val="center"/>
          </w:tcPr>
          <w:p w14:paraId="49C9CEF6">
            <w:pPr>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p>
        </w:tc>
      </w:tr>
    </w:tbl>
    <w:p w14:paraId="24440C4E">
      <w:pPr>
        <w:keepNext w:val="0"/>
        <w:keepLines w:val="0"/>
        <w:pageBreakBefore w:val="0"/>
        <w:widowControl w:val="0"/>
        <w:kinsoku/>
        <w:wordWrap/>
        <w:overflowPunct/>
        <w:topLinePunct w:val="0"/>
        <w:autoSpaceDE/>
        <w:autoSpaceDN/>
        <w:bidi w:val="0"/>
        <w:adjustRightInd/>
        <w:snapToGrid/>
        <w:spacing w:before="181" w:beforeLines="50" w:line="240" w:lineRule="auto"/>
        <w:ind w:firstLine="573"/>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分包2：</w:t>
      </w:r>
    </w:p>
    <w:tbl>
      <w:tblPr>
        <w:tblStyle w:val="49"/>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3967"/>
        <w:gridCol w:w="2736"/>
        <w:gridCol w:w="1219"/>
      </w:tblGrid>
      <w:tr w14:paraId="410C8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176" w:type="dxa"/>
            <w:vAlign w:val="center"/>
          </w:tcPr>
          <w:p w14:paraId="4A71A01F">
            <w:pPr>
              <w:widowControl/>
              <w:spacing w:line="360" w:lineRule="exact"/>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序号</w:t>
            </w:r>
          </w:p>
        </w:tc>
        <w:tc>
          <w:tcPr>
            <w:tcW w:w="3967" w:type="dxa"/>
            <w:vAlign w:val="center"/>
          </w:tcPr>
          <w:p w14:paraId="0EFE0166">
            <w:pPr>
              <w:widowControl/>
              <w:spacing w:line="360" w:lineRule="exact"/>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名称</w:t>
            </w:r>
          </w:p>
        </w:tc>
        <w:tc>
          <w:tcPr>
            <w:tcW w:w="2736" w:type="dxa"/>
            <w:vAlign w:val="center"/>
          </w:tcPr>
          <w:p w14:paraId="09BDE0CC">
            <w:pPr>
              <w:widowControl/>
              <w:spacing w:line="360" w:lineRule="exact"/>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污泥处置量（吨）</w:t>
            </w:r>
          </w:p>
        </w:tc>
        <w:tc>
          <w:tcPr>
            <w:tcW w:w="1219" w:type="dxa"/>
            <w:vAlign w:val="center"/>
          </w:tcPr>
          <w:p w14:paraId="2EBD0C2F">
            <w:pPr>
              <w:widowControl/>
              <w:spacing w:line="360" w:lineRule="exact"/>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备注</w:t>
            </w:r>
          </w:p>
        </w:tc>
      </w:tr>
      <w:tr w14:paraId="5E136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176" w:type="dxa"/>
            <w:vAlign w:val="center"/>
          </w:tcPr>
          <w:p w14:paraId="02A876CA">
            <w:pPr>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3967" w:type="dxa"/>
            <w:vAlign w:val="center"/>
          </w:tcPr>
          <w:p w14:paraId="5D9EC615">
            <w:pPr>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浦口经济开发区工业废水处理厂污泥处置项目包2</w:t>
            </w:r>
          </w:p>
        </w:tc>
        <w:tc>
          <w:tcPr>
            <w:tcW w:w="2736" w:type="dxa"/>
            <w:vAlign w:val="center"/>
          </w:tcPr>
          <w:p w14:paraId="12839EE4">
            <w:pPr>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000</w:t>
            </w:r>
          </w:p>
        </w:tc>
        <w:tc>
          <w:tcPr>
            <w:tcW w:w="1219" w:type="dxa"/>
            <w:vAlign w:val="center"/>
          </w:tcPr>
          <w:p w14:paraId="73CF39DD">
            <w:pPr>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p>
        </w:tc>
      </w:tr>
    </w:tbl>
    <w:p w14:paraId="3715A623">
      <w:pPr>
        <w:rPr>
          <w:rFonts w:hint="eastAsia" w:ascii="宋体" w:hAnsi="宋体" w:eastAsia="宋体" w:cs="宋体"/>
          <w:color w:val="auto"/>
          <w:sz w:val="24"/>
          <w:szCs w:val="24"/>
          <w:highlight w:val="none"/>
        </w:rPr>
      </w:pPr>
    </w:p>
    <w:p w14:paraId="767AF022">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六、报价说明</w:t>
      </w:r>
    </w:p>
    <w:p w14:paraId="0A964A6F">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投标报价包括且不限于危废污泥相关的各类设备费、抽样检测费、污泥处置费、</w:t>
      </w:r>
      <w:r>
        <w:rPr>
          <w:rFonts w:hint="eastAsia" w:ascii="宋体" w:hAnsi="宋体" w:eastAsia="宋体" w:cs="宋体"/>
          <w:color w:val="auto"/>
          <w:sz w:val="24"/>
          <w:szCs w:val="24"/>
          <w:highlight w:val="none"/>
          <w:lang w:val="en-US" w:eastAsia="zh-CN"/>
        </w:rPr>
        <w:t>环境保护</w:t>
      </w:r>
      <w:r>
        <w:rPr>
          <w:rFonts w:hint="eastAsia" w:ascii="宋体" w:hAnsi="宋体" w:eastAsia="宋体" w:cs="宋体"/>
          <w:color w:val="auto"/>
          <w:sz w:val="24"/>
          <w:szCs w:val="24"/>
          <w:highlight w:val="none"/>
          <w:lang w:eastAsia="zh-CN"/>
        </w:rPr>
        <w:t>费、过磅费、管理费、保险费、相关服务人员及技术人员费用、运输费（含各项运输费、车辆管理费、装卸费用及路桥费用等）、税金、证件办理费、利润及一切不可预见费用。</w:t>
      </w:r>
    </w:p>
    <w:p w14:paraId="54935D90">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、付款方式</w:t>
      </w:r>
    </w:p>
    <w:p w14:paraId="5DD73BAC">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1.支付方式：</w:t>
      </w:r>
      <w:r>
        <w:rPr>
          <w:rFonts w:hint="eastAsia" w:ascii="宋体" w:hAnsi="宋体" w:eastAsia="宋体" w:cs="宋体"/>
          <w:color w:val="auto"/>
          <w:sz w:val="24"/>
          <w:szCs w:val="24"/>
          <w:highlight w:val="none"/>
          <w:lang w:val="en-US" w:eastAsia="zh-CN"/>
        </w:rPr>
        <w:t>每季度支付一次，</w:t>
      </w:r>
      <w:r>
        <w:rPr>
          <w:rFonts w:hint="eastAsia" w:ascii="宋体" w:hAnsi="宋体" w:eastAsia="宋体" w:cs="宋体"/>
          <w:color w:val="auto"/>
          <w:sz w:val="24"/>
          <w:szCs w:val="24"/>
          <w:highlight w:val="none"/>
          <w:lang w:eastAsia="zh-CN"/>
        </w:rPr>
        <w:t>丙方</w:t>
      </w:r>
      <w:r>
        <w:rPr>
          <w:rFonts w:hint="eastAsia" w:ascii="宋体" w:hAnsi="宋体" w:eastAsia="宋体" w:cs="宋体"/>
          <w:color w:val="auto"/>
          <w:sz w:val="24"/>
          <w:szCs w:val="24"/>
          <w:highlight w:val="none"/>
          <w:lang w:val="en-US" w:eastAsia="zh-CN"/>
        </w:rPr>
        <w:t>每季度</w:t>
      </w:r>
      <w:r>
        <w:rPr>
          <w:rFonts w:hint="eastAsia" w:ascii="宋体" w:hAnsi="宋体" w:eastAsia="宋体" w:cs="宋体"/>
          <w:color w:val="auto"/>
          <w:sz w:val="24"/>
          <w:szCs w:val="24"/>
          <w:highlight w:val="none"/>
          <w:lang w:eastAsia="zh-CN"/>
        </w:rPr>
        <w:t>完成污泥处置后，提供经甲乙丙三方签字确认的污泥运输单</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甲方一次性支付污泥处置费用，</w:t>
      </w:r>
      <w:r>
        <w:rPr>
          <w:rFonts w:hint="eastAsia" w:ascii="宋体" w:hAnsi="宋体" w:eastAsia="宋体" w:cs="宋体"/>
          <w:color w:val="auto"/>
          <w:sz w:val="24"/>
          <w:szCs w:val="24"/>
          <w:highlight w:val="none"/>
          <w:lang w:val="zh-CN" w:eastAsia="zh-CN"/>
        </w:rPr>
        <w:t>付款前</w:t>
      </w:r>
      <w:r>
        <w:rPr>
          <w:rFonts w:hint="eastAsia" w:ascii="宋体" w:hAnsi="宋体" w:eastAsia="宋体" w:cs="宋体"/>
          <w:color w:val="auto"/>
          <w:sz w:val="24"/>
          <w:szCs w:val="24"/>
          <w:highlight w:val="none"/>
          <w:lang w:eastAsia="zh-CN"/>
        </w:rPr>
        <w:t>丙</w:t>
      </w:r>
      <w:r>
        <w:rPr>
          <w:rFonts w:hint="eastAsia" w:ascii="宋体" w:hAnsi="宋体" w:eastAsia="宋体" w:cs="宋体"/>
          <w:color w:val="auto"/>
          <w:sz w:val="24"/>
          <w:szCs w:val="24"/>
          <w:highlight w:val="none"/>
          <w:lang w:val="zh-CN" w:eastAsia="zh-CN"/>
        </w:rPr>
        <w:t>方需开具足额发票提交至甲方。</w:t>
      </w:r>
    </w:p>
    <w:p w14:paraId="590ADEA2">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2.丙方依据污泥过磅单重量清单于次</w:t>
      </w:r>
      <w:r>
        <w:rPr>
          <w:rFonts w:hint="eastAsia" w:ascii="宋体" w:hAnsi="宋体" w:eastAsia="宋体" w:cs="宋体"/>
          <w:color w:val="auto"/>
          <w:sz w:val="24"/>
          <w:szCs w:val="24"/>
          <w:highlight w:val="none"/>
          <w:lang w:val="en-US" w:eastAsia="zh-CN"/>
        </w:rPr>
        <w:t>季度</w:t>
      </w:r>
      <w:r>
        <w:rPr>
          <w:rFonts w:hint="eastAsia" w:ascii="宋体" w:hAnsi="宋体" w:eastAsia="宋体" w:cs="宋体"/>
          <w:color w:val="auto"/>
          <w:sz w:val="24"/>
          <w:szCs w:val="24"/>
          <w:highlight w:val="none"/>
          <w:lang w:eastAsia="zh-CN"/>
        </w:rPr>
        <w:t xml:space="preserve">5日前开具污泥处置费增值税发票，与过磅单重量清单以及处置点签收单一并交给乙方，甲方及乙方将污泥处置费和运输费以电汇方式全额汇至丙方指定的账户。 </w:t>
      </w:r>
    </w:p>
    <w:p w14:paraId="2937457D">
      <w:pPr>
        <w:keepNext w:val="0"/>
        <w:keepLines w:val="0"/>
        <w:pageBreakBefore w:val="0"/>
        <w:widowControl w:val="0"/>
        <w:kinsoku/>
        <w:wordWrap/>
        <w:overflowPunct/>
        <w:topLinePunct w:val="0"/>
        <w:autoSpaceDE/>
        <w:autoSpaceDN/>
        <w:bidi w:val="0"/>
        <w:adjustRightInd w:val="0"/>
        <w:snapToGrid w:val="0"/>
        <w:spacing w:line="360" w:lineRule="auto"/>
        <w:ind w:firstLine="573"/>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、服务期限</w:t>
      </w:r>
    </w:p>
    <w:p w14:paraId="42681617">
      <w:pPr>
        <w:pStyle w:val="44"/>
        <w:keepNext w:val="0"/>
        <w:keepLines w:val="0"/>
        <w:pageBreakBefore w:val="0"/>
        <w:widowControl w:val="0"/>
        <w:kinsoku/>
        <w:wordWrap/>
        <w:overflowPunct/>
        <w:topLinePunct w:val="0"/>
        <w:autoSpaceDE/>
        <w:autoSpaceDN/>
        <w:bidi w:val="0"/>
        <w:adjustRightInd w:val="0"/>
        <w:snapToGrid w:val="0"/>
        <w:spacing w:before="0" w:after="0" w:line="360" w:lineRule="auto"/>
        <w:ind w:firstLine="472" w:firstLineChars="200"/>
        <w:jc w:val="left"/>
        <w:textAlignment w:val="auto"/>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合同有效期为一年，期满后根据采购人考核意见可续签合同，续签合同单价沿用中标单价，总合同期限不超过三年。</w:t>
      </w:r>
    </w:p>
    <w:p w14:paraId="656F24A1">
      <w:pPr>
        <w:pStyle w:val="3"/>
        <w:numPr>
          <w:ilvl w:val="0"/>
          <w:numId w:val="0"/>
        </w:numPr>
        <w:spacing w:line="360" w:lineRule="auto"/>
        <w:ind w:left="567"/>
        <w:rPr>
          <w:rFonts w:hint="eastAsia" w:asciiTheme="minorEastAsia" w:hAnsiTheme="minorEastAsia" w:eastAsiaTheme="minorEastAsia"/>
          <w:color w:val="auto"/>
          <w:highlight w:val="none"/>
        </w:rPr>
      </w:pPr>
    </w:p>
    <w:p w14:paraId="74EF5C21">
      <w:pPr>
        <w:pStyle w:val="3"/>
        <w:numPr>
          <w:ilvl w:val="0"/>
          <w:numId w:val="0"/>
        </w:numPr>
        <w:spacing w:line="360" w:lineRule="auto"/>
        <w:ind w:left="567"/>
        <w:rPr>
          <w:rFonts w:hint="eastAsia" w:asciiTheme="minorEastAsia" w:hAnsiTheme="minorEastAsia" w:eastAsiaTheme="minorEastAsia"/>
          <w:color w:val="auto"/>
          <w:highlight w:val="none"/>
        </w:rPr>
      </w:pPr>
    </w:p>
    <w:p w14:paraId="3271D7D6">
      <w:pPr>
        <w:pStyle w:val="3"/>
        <w:numPr>
          <w:ilvl w:val="0"/>
          <w:numId w:val="0"/>
        </w:numPr>
        <w:spacing w:line="360" w:lineRule="auto"/>
        <w:jc w:val="both"/>
        <w:rPr>
          <w:rFonts w:hint="eastAsia" w:asciiTheme="minorEastAsia" w:hAnsiTheme="minorEastAsia" w:eastAsiaTheme="minorEastAsia"/>
          <w:color w:val="auto"/>
          <w:highlight w:val="none"/>
        </w:rPr>
      </w:pPr>
    </w:p>
    <w:p w14:paraId="687AE8CE">
      <w:pPr>
        <w:pStyle w:val="3"/>
        <w:numPr>
          <w:ilvl w:val="0"/>
          <w:numId w:val="0"/>
        </w:numPr>
        <w:spacing w:line="360" w:lineRule="auto"/>
        <w:jc w:val="both"/>
        <w:rPr>
          <w:rFonts w:hint="eastAsia" w:asciiTheme="minorEastAsia" w:hAnsiTheme="minorEastAsia" w:eastAsiaTheme="minorEastAsia"/>
          <w:color w:val="auto"/>
          <w:highlight w:val="none"/>
        </w:rPr>
      </w:pPr>
    </w:p>
    <w:p w14:paraId="66160D76">
      <w:pPr>
        <w:rPr>
          <w:rFonts w:hint="eastAsia" w:asciiTheme="minorEastAsia" w:hAnsiTheme="minorEastAsia" w:eastAsiaTheme="minorEastAsia"/>
          <w:color w:val="auto"/>
          <w:highlight w:val="none"/>
        </w:rPr>
      </w:pPr>
    </w:p>
    <w:p w14:paraId="19389A8D">
      <w:pPr>
        <w:pStyle w:val="18"/>
        <w:rPr>
          <w:rFonts w:hint="eastAsia" w:asciiTheme="minorEastAsia" w:hAnsiTheme="minorEastAsia" w:eastAsiaTheme="minorEastAsia"/>
          <w:color w:val="auto"/>
          <w:highlight w:val="none"/>
        </w:rPr>
      </w:pPr>
    </w:p>
    <w:p w14:paraId="3187E852">
      <w:pPr>
        <w:pStyle w:val="18"/>
        <w:rPr>
          <w:rFonts w:hint="eastAsia" w:asciiTheme="minorEastAsia" w:hAnsiTheme="minorEastAsia" w:eastAsiaTheme="minorEastAsia"/>
          <w:color w:val="auto"/>
          <w:highlight w:val="none"/>
        </w:rPr>
      </w:pPr>
    </w:p>
    <w:p w14:paraId="425CF4D1">
      <w:pPr>
        <w:rPr>
          <w:rFonts w:hint="eastAsia"/>
          <w:color w:val="auto"/>
          <w:highlight w:val="none"/>
        </w:rPr>
      </w:pPr>
    </w:p>
    <w:p w14:paraId="64825D8B">
      <w:pPr>
        <w:pStyle w:val="3"/>
        <w:numPr>
          <w:ilvl w:val="0"/>
          <w:numId w:val="0"/>
        </w:numPr>
        <w:spacing w:line="360" w:lineRule="auto"/>
        <w:ind w:left="567"/>
        <w:rPr>
          <w:rFonts w:hint="eastAsia" w:asciiTheme="minorEastAsia" w:hAnsiTheme="minorEastAsia" w:eastAsiaTheme="minorEastAsia"/>
          <w:color w:val="auto"/>
          <w:highlight w:val="none"/>
        </w:rPr>
      </w:pPr>
    </w:p>
    <w:p w14:paraId="259DB42E">
      <w:pPr>
        <w:rPr>
          <w:rFonts w:hint="eastAsia"/>
          <w:color w:val="auto"/>
          <w:highlight w:val="none"/>
        </w:rPr>
      </w:pPr>
    </w:p>
    <w:p w14:paraId="0C57D59D">
      <w:pPr>
        <w:pStyle w:val="3"/>
        <w:numPr>
          <w:ilvl w:val="0"/>
          <w:numId w:val="0"/>
        </w:numPr>
        <w:spacing w:line="360" w:lineRule="auto"/>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第五章 合同主要条款及格式</w:t>
      </w:r>
      <w:bookmarkEnd w:id="45"/>
      <w:bookmarkEnd w:id="46"/>
      <w:bookmarkEnd w:id="47"/>
    </w:p>
    <w:p w14:paraId="3B6E9A9D">
      <w:pPr>
        <w:spacing w:line="360" w:lineRule="auto"/>
        <w:rPr>
          <w:rFonts w:hint="eastAsia" w:asciiTheme="minorEastAsia" w:hAnsiTheme="minorEastAsia" w:eastAsiaTheme="minorEastAsia"/>
          <w:color w:val="auto"/>
          <w:highlight w:val="none"/>
          <w:lang w:val="en-US" w:eastAsia="zh-CN"/>
        </w:rPr>
      </w:pPr>
    </w:p>
    <w:p w14:paraId="280E45CA">
      <w:pPr>
        <w:rPr>
          <w:rFonts w:ascii="宋体" w:hAnsi="宋体" w:cs="宋体"/>
          <w:b/>
          <w:color w:val="auto"/>
          <w:sz w:val="28"/>
          <w:szCs w:val="48"/>
          <w:highlight w:val="none"/>
        </w:rPr>
      </w:pPr>
      <w:bookmarkStart w:id="48" w:name="_Toc12929"/>
      <w:r>
        <w:rPr>
          <w:rFonts w:ascii="宋体"/>
          <w:b/>
          <w:bCs/>
          <w:color w:val="auto"/>
          <w:sz w:val="36"/>
          <w:szCs w:val="36"/>
          <w:highlight w:val="none"/>
          <w:lang w:eastAsia="zh-CN"/>
        </w:rPr>
        <w:t> </w:t>
      </w:r>
      <w:bookmarkStart w:id="49" w:name="_Toc514228356"/>
      <w:bookmarkStart w:id="50" w:name="_Toc481511919"/>
      <w:bookmarkStart w:id="51" w:name="_Toc529433853"/>
      <w:r>
        <w:rPr>
          <w:rFonts w:hint="eastAsia" w:ascii="宋体" w:hAnsi="宋体" w:cs="宋体"/>
          <w:b/>
          <w:color w:val="auto"/>
          <w:sz w:val="28"/>
          <w:szCs w:val="48"/>
          <w:highlight w:val="none"/>
        </w:rPr>
        <w:t>合同编号：</w:t>
      </w:r>
    </w:p>
    <w:p w14:paraId="4F2FF60F">
      <w:pPr>
        <w:jc w:val="both"/>
        <w:rPr>
          <w:rFonts w:hint="eastAsia" w:ascii="宋体" w:hAnsi="宋体" w:cs="宋体"/>
          <w:b/>
          <w:color w:val="auto"/>
          <w:sz w:val="52"/>
          <w:szCs w:val="48"/>
          <w:highlight w:val="none"/>
        </w:rPr>
      </w:pPr>
    </w:p>
    <w:p w14:paraId="21A38BE9">
      <w:pPr>
        <w:widowControl/>
        <w:shd w:val="clear" w:color="auto" w:fill="FFFFFF"/>
        <w:spacing w:line="360" w:lineRule="auto"/>
        <w:jc w:val="center"/>
        <w:rPr>
          <w:rFonts w:ascii="宋体"/>
          <w:color w:val="auto"/>
          <w:szCs w:val="21"/>
          <w:highlight w:val="none"/>
          <w:lang w:eastAsia="zh-CN"/>
        </w:rPr>
      </w:pPr>
      <w:r>
        <w:rPr>
          <w:rFonts w:hint="eastAsia" w:ascii="宋体" w:hAnsi="宋体"/>
          <w:color w:val="auto"/>
          <w:sz w:val="52"/>
          <w:szCs w:val="52"/>
          <w:highlight w:val="none"/>
          <w:lang w:eastAsia="zh-CN"/>
        </w:rPr>
        <w:t>南京市政府采购合同</w:t>
      </w:r>
    </w:p>
    <w:p w14:paraId="614CC1D3">
      <w:pPr>
        <w:widowControl/>
        <w:shd w:val="clear" w:color="auto" w:fill="FFFFFF"/>
        <w:spacing w:line="360" w:lineRule="auto"/>
        <w:ind w:firstLine="315"/>
        <w:rPr>
          <w:rFonts w:ascii="宋体"/>
          <w:color w:val="auto"/>
          <w:szCs w:val="21"/>
          <w:highlight w:val="none"/>
          <w:lang w:eastAsia="zh-CN"/>
        </w:rPr>
      </w:pPr>
      <w:r>
        <w:rPr>
          <w:rFonts w:ascii="宋体"/>
          <w:b/>
          <w:bCs/>
          <w:color w:val="auto"/>
          <w:sz w:val="32"/>
          <w:szCs w:val="32"/>
          <w:highlight w:val="none"/>
          <w:lang w:eastAsia="zh-CN"/>
        </w:rPr>
        <w:t>           </w:t>
      </w:r>
      <w:r>
        <w:rPr>
          <w:rFonts w:ascii="宋体"/>
          <w:b/>
          <w:bCs/>
          <w:color w:val="auto"/>
          <w:sz w:val="32"/>
          <w:szCs w:val="21"/>
          <w:highlight w:val="none"/>
          <w:lang w:eastAsia="zh-CN"/>
        </w:rPr>
        <w:t> </w:t>
      </w:r>
      <w:r>
        <w:rPr>
          <w:rFonts w:ascii="宋体"/>
          <w:color w:val="auto"/>
          <w:sz w:val="32"/>
          <w:szCs w:val="32"/>
          <w:highlight w:val="none"/>
          <w:lang w:eastAsia="zh-CN"/>
        </w:rPr>
        <w:t> </w:t>
      </w:r>
    </w:p>
    <w:p w14:paraId="03920933">
      <w:pPr>
        <w:widowControl/>
        <w:shd w:val="clear" w:color="auto" w:fill="FFFFFF"/>
        <w:spacing w:line="360" w:lineRule="auto"/>
        <w:ind w:firstLine="315"/>
        <w:rPr>
          <w:rFonts w:ascii="宋体"/>
          <w:b/>
          <w:bCs/>
          <w:color w:val="auto"/>
          <w:sz w:val="36"/>
          <w:szCs w:val="36"/>
          <w:highlight w:val="none"/>
          <w:lang w:eastAsia="zh-CN"/>
        </w:rPr>
      </w:pPr>
      <w:r>
        <w:rPr>
          <w:rFonts w:ascii="宋体"/>
          <w:color w:val="auto"/>
          <w:sz w:val="32"/>
          <w:szCs w:val="32"/>
          <w:highlight w:val="none"/>
          <w:lang w:eastAsia="zh-CN"/>
        </w:rPr>
        <w:t> </w:t>
      </w:r>
    </w:p>
    <w:p w14:paraId="0883FA1D">
      <w:pPr>
        <w:widowControl/>
        <w:shd w:val="clear" w:color="auto" w:fill="FFFFFF"/>
        <w:spacing w:line="360" w:lineRule="auto"/>
        <w:ind w:firstLine="0"/>
        <w:rPr>
          <w:rFonts w:ascii="宋体"/>
          <w:color w:val="auto"/>
          <w:szCs w:val="21"/>
          <w:highlight w:val="none"/>
          <w:lang w:eastAsia="zh-CN"/>
        </w:rPr>
      </w:pPr>
    </w:p>
    <w:p w14:paraId="60DD6D93">
      <w:pPr>
        <w:widowControl/>
        <w:shd w:val="clear" w:color="auto" w:fill="FFFFFF"/>
        <w:spacing w:line="360" w:lineRule="auto"/>
        <w:ind w:firstLine="315"/>
        <w:rPr>
          <w:rFonts w:ascii="宋体"/>
          <w:b/>
          <w:bCs/>
          <w:color w:val="auto"/>
          <w:sz w:val="28"/>
          <w:szCs w:val="28"/>
          <w:highlight w:val="none"/>
          <w:lang w:eastAsia="zh-CN"/>
        </w:rPr>
      </w:pPr>
      <w:r>
        <w:rPr>
          <w:rFonts w:ascii="宋体"/>
          <w:b/>
          <w:bCs/>
          <w:color w:val="auto"/>
          <w:sz w:val="28"/>
          <w:szCs w:val="28"/>
          <w:highlight w:val="none"/>
          <w:lang w:eastAsia="zh-CN"/>
        </w:rPr>
        <w:t> </w:t>
      </w:r>
    </w:p>
    <w:p w14:paraId="30CDAC9C">
      <w:pPr>
        <w:widowControl/>
        <w:shd w:val="clear" w:color="auto" w:fill="FFFFFF"/>
        <w:spacing w:line="360" w:lineRule="auto"/>
        <w:ind w:firstLine="2249" w:firstLineChars="800"/>
        <w:rPr>
          <w:rFonts w:hint="default" w:ascii="Romantic" w:hAnsi="Romantic" w:eastAsia="宋体" w:cs="Romantic"/>
          <w:b/>
          <w:color w:val="auto"/>
          <w:sz w:val="28"/>
          <w:szCs w:val="28"/>
          <w:highlight w:val="none"/>
          <w:u w:val="single"/>
          <w:lang w:val="en-US" w:eastAsia="zh-CN"/>
        </w:rPr>
      </w:pPr>
      <w:r>
        <w:rPr>
          <w:rFonts w:hint="eastAsia" w:ascii="宋体" w:hAnsi="宋体"/>
          <w:b/>
          <w:bCs/>
          <w:color w:val="auto"/>
          <w:sz w:val="28"/>
          <w:szCs w:val="28"/>
          <w:highlight w:val="none"/>
          <w:lang w:eastAsia="zh-CN"/>
        </w:rPr>
        <w:t>项目名称：</w:t>
      </w:r>
      <w:r>
        <w:rPr>
          <w:rFonts w:hint="eastAsia" w:ascii="Romantic" w:hAnsi="Romantic" w:cs="Romantic"/>
          <w:b/>
          <w:color w:val="auto"/>
          <w:sz w:val="28"/>
          <w:szCs w:val="28"/>
          <w:highlight w:val="none"/>
          <w:u w:val="single"/>
          <w:lang w:val="en-US" w:eastAsia="zh-CN"/>
        </w:rPr>
        <w:t xml:space="preserve">                                          </w:t>
      </w:r>
    </w:p>
    <w:p w14:paraId="271484D0">
      <w:pPr>
        <w:widowControl/>
        <w:shd w:val="clear" w:color="auto" w:fill="FFFFFF"/>
        <w:spacing w:line="360" w:lineRule="auto"/>
        <w:ind w:firstLine="2249" w:firstLineChars="800"/>
        <w:rPr>
          <w:rFonts w:hint="eastAsia" w:ascii="Romantic" w:hAnsi="Romantic" w:cs="Romantic"/>
          <w:b/>
          <w:color w:val="auto"/>
          <w:sz w:val="28"/>
          <w:szCs w:val="28"/>
          <w:highlight w:val="none"/>
          <w:u w:val="single"/>
          <w:lang w:val="en-US" w:eastAsia="zh-CN"/>
        </w:rPr>
      </w:pPr>
      <w:r>
        <w:rPr>
          <w:rFonts w:hint="eastAsia" w:ascii="宋体" w:hAnsi="宋体"/>
          <w:b/>
          <w:bCs/>
          <w:color w:val="auto"/>
          <w:sz w:val="28"/>
          <w:szCs w:val="28"/>
          <w:highlight w:val="none"/>
          <w:lang w:eastAsia="zh-CN"/>
        </w:rPr>
        <w:t>采购单位：</w:t>
      </w:r>
      <w:r>
        <w:rPr>
          <w:rFonts w:hint="eastAsia" w:ascii="Romantic" w:hAnsi="Romantic" w:cs="Romantic"/>
          <w:b/>
          <w:color w:val="auto"/>
          <w:sz w:val="28"/>
          <w:szCs w:val="28"/>
          <w:highlight w:val="none"/>
          <w:u w:val="single"/>
          <w:lang w:val="en-US" w:eastAsia="zh-CN"/>
        </w:rPr>
        <w:t>                                          </w:t>
      </w:r>
    </w:p>
    <w:p w14:paraId="1EFF14AC">
      <w:pPr>
        <w:widowControl/>
        <w:shd w:val="clear" w:color="auto" w:fill="FFFFFF"/>
        <w:spacing w:line="360" w:lineRule="auto"/>
        <w:ind w:firstLine="2249" w:firstLineChars="800"/>
        <w:rPr>
          <w:rFonts w:ascii="宋体"/>
          <w:color w:val="auto"/>
          <w:sz w:val="28"/>
          <w:szCs w:val="28"/>
          <w:highlight w:val="none"/>
          <w:lang w:eastAsia="zh-CN"/>
        </w:rPr>
      </w:pPr>
      <w:r>
        <w:rPr>
          <w:rFonts w:hint="eastAsia" w:ascii="宋体" w:hAnsi="宋体" w:eastAsia="宋体"/>
          <w:b/>
          <w:bCs/>
          <w:color w:val="auto"/>
          <w:sz w:val="28"/>
          <w:szCs w:val="28"/>
          <w:highlight w:val="none"/>
          <w:lang w:eastAsia="zh-CN"/>
        </w:rPr>
        <w:t>服务</w:t>
      </w:r>
      <w:r>
        <w:rPr>
          <w:rFonts w:hint="eastAsia" w:ascii="宋体" w:hAnsi="宋体"/>
          <w:b/>
          <w:bCs/>
          <w:color w:val="auto"/>
          <w:sz w:val="28"/>
          <w:szCs w:val="28"/>
          <w:highlight w:val="none"/>
          <w:lang w:eastAsia="zh-CN"/>
        </w:rPr>
        <w:t>单位：</w:t>
      </w:r>
      <w:r>
        <w:rPr>
          <w:rFonts w:hint="eastAsia" w:ascii="Romantic" w:hAnsi="Romantic" w:cs="Romantic"/>
          <w:b/>
          <w:color w:val="auto"/>
          <w:sz w:val="28"/>
          <w:szCs w:val="28"/>
          <w:highlight w:val="none"/>
          <w:u w:val="single"/>
          <w:lang w:val="en-US" w:eastAsia="zh-CN"/>
        </w:rPr>
        <w:t>                                          </w:t>
      </w:r>
    </w:p>
    <w:p w14:paraId="02FE280B">
      <w:pPr>
        <w:widowControl/>
        <w:shd w:val="clear" w:color="auto" w:fill="FFFFFF"/>
        <w:spacing w:line="360" w:lineRule="auto"/>
        <w:ind w:firstLine="2249" w:firstLineChars="800"/>
        <w:rPr>
          <w:rFonts w:ascii="宋体"/>
          <w:color w:val="auto"/>
          <w:sz w:val="28"/>
          <w:szCs w:val="28"/>
          <w:highlight w:val="none"/>
          <w:lang w:eastAsia="zh-CN"/>
        </w:rPr>
      </w:pPr>
      <w:r>
        <w:rPr>
          <w:rFonts w:hint="eastAsia" w:ascii="宋体" w:hAnsi="宋体"/>
          <w:b/>
          <w:bCs/>
          <w:color w:val="auto"/>
          <w:sz w:val="28"/>
          <w:szCs w:val="28"/>
          <w:highlight w:val="none"/>
          <w:lang w:eastAsia="zh-CN"/>
        </w:rPr>
        <w:t>签订日期：</w:t>
      </w:r>
      <w:r>
        <w:rPr>
          <w:rFonts w:hint="eastAsia" w:ascii="Romantic" w:hAnsi="Romantic" w:cs="Romantic"/>
          <w:b/>
          <w:color w:val="auto"/>
          <w:sz w:val="28"/>
          <w:szCs w:val="28"/>
          <w:highlight w:val="none"/>
          <w:u w:val="single"/>
          <w:lang w:val="en-US" w:eastAsia="zh-CN"/>
        </w:rPr>
        <w:t>                                          </w:t>
      </w:r>
    </w:p>
    <w:p w14:paraId="6A91A68C">
      <w:pPr>
        <w:widowControl/>
        <w:shd w:val="clear" w:color="auto" w:fill="FFFFFF"/>
        <w:spacing w:line="360" w:lineRule="auto"/>
        <w:rPr>
          <w:rFonts w:ascii="宋体"/>
          <w:color w:val="auto"/>
          <w:szCs w:val="21"/>
          <w:highlight w:val="none"/>
          <w:lang w:eastAsia="zh-CN"/>
        </w:rPr>
      </w:pPr>
      <w:r>
        <w:rPr>
          <w:rFonts w:ascii="宋体"/>
          <w:color w:val="auto"/>
          <w:sz w:val="36"/>
          <w:szCs w:val="36"/>
          <w:highlight w:val="none"/>
          <w:lang w:eastAsia="zh-CN"/>
        </w:rPr>
        <w:t>      </w:t>
      </w:r>
      <w:r>
        <w:rPr>
          <w:rFonts w:ascii="宋体"/>
          <w:b/>
          <w:bCs/>
          <w:color w:val="auto"/>
          <w:sz w:val="36"/>
          <w:szCs w:val="36"/>
          <w:highlight w:val="none"/>
          <w:lang w:eastAsia="zh-CN"/>
        </w:rPr>
        <w:t> </w:t>
      </w:r>
    </w:p>
    <w:p w14:paraId="54E5DB36">
      <w:pPr>
        <w:widowControl/>
        <w:shd w:val="clear" w:color="auto" w:fill="FFFFFF"/>
        <w:spacing w:line="360" w:lineRule="auto"/>
        <w:ind w:firstLine="2984"/>
        <w:rPr>
          <w:rFonts w:ascii="宋体"/>
          <w:b/>
          <w:bCs/>
          <w:color w:val="auto"/>
          <w:sz w:val="36"/>
          <w:szCs w:val="36"/>
          <w:highlight w:val="none"/>
          <w:lang w:eastAsia="zh-CN"/>
        </w:rPr>
      </w:pPr>
      <w:r>
        <w:rPr>
          <w:rFonts w:ascii="宋体"/>
          <w:b/>
          <w:bCs/>
          <w:color w:val="auto"/>
          <w:sz w:val="36"/>
          <w:szCs w:val="36"/>
          <w:highlight w:val="none"/>
          <w:lang w:eastAsia="zh-CN"/>
        </w:rPr>
        <w:t> </w:t>
      </w:r>
    </w:p>
    <w:p w14:paraId="00A12F12">
      <w:pPr>
        <w:pStyle w:val="20"/>
        <w:rPr>
          <w:rFonts w:ascii="宋体"/>
          <w:b/>
          <w:bCs/>
          <w:color w:val="auto"/>
          <w:sz w:val="36"/>
          <w:szCs w:val="36"/>
          <w:highlight w:val="none"/>
          <w:lang w:eastAsia="zh-CN"/>
        </w:rPr>
      </w:pPr>
    </w:p>
    <w:p w14:paraId="685C644F">
      <w:pPr>
        <w:pStyle w:val="20"/>
        <w:rPr>
          <w:rFonts w:ascii="宋体"/>
          <w:b/>
          <w:bCs/>
          <w:color w:val="auto"/>
          <w:sz w:val="36"/>
          <w:szCs w:val="36"/>
          <w:highlight w:val="none"/>
          <w:lang w:eastAsia="zh-CN"/>
        </w:rPr>
      </w:pPr>
    </w:p>
    <w:p w14:paraId="307A51C2">
      <w:pPr>
        <w:pStyle w:val="20"/>
        <w:rPr>
          <w:rFonts w:ascii="宋体"/>
          <w:b/>
          <w:bCs/>
          <w:color w:val="auto"/>
          <w:sz w:val="36"/>
          <w:szCs w:val="36"/>
          <w:highlight w:val="none"/>
          <w:lang w:eastAsia="zh-CN"/>
        </w:rPr>
      </w:pPr>
    </w:p>
    <w:p w14:paraId="3E5C8BD9">
      <w:pPr>
        <w:widowControl/>
        <w:shd w:val="clear" w:color="auto" w:fill="FFFFFF"/>
        <w:spacing w:line="360" w:lineRule="auto"/>
        <w:jc w:val="center"/>
        <w:rPr>
          <w:rFonts w:hint="eastAsia" w:ascii="宋体" w:hAnsi="宋体"/>
          <w:b/>
          <w:bCs/>
          <w:color w:val="auto"/>
          <w:sz w:val="36"/>
          <w:szCs w:val="36"/>
          <w:highlight w:val="none"/>
          <w:lang w:eastAsia="zh-CN"/>
        </w:rPr>
      </w:pPr>
    </w:p>
    <w:p w14:paraId="57565BC5">
      <w:pPr>
        <w:keepNext w:val="0"/>
        <w:keepLines w:val="0"/>
        <w:pageBreakBefore w:val="0"/>
        <w:widowControl w:val="0"/>
        <w:kinsoku/>
        <w:wordWrap/>
        <w:overflowPunct/>
        <w:topLinePunct w:val="0"/>
        <w:autoSpaceDE/>
        <w:autoSpaceDN/>
        <w:bidi w:val="0"/>
        <w:adjustRightInd/>
        <w:snapToGrid w:val="0"/>
        <w:ind w:firstLine="0" w:firstLineChars="0"/>
        <w:jc w:val="both"/>
        <w:textAlignment w:val="auto"/>
        <w:rPr>
          <w:rFonts w:hint="eastAsia" w:ascii="黑体" w:hAnsi="黑体" w:eastAsia="黑体" w:cs="黑体"/>
          <w:color w:val="auto"/>
          <w:sz w:val="32"/>
          <w:szCs w:val="32"/>
          <w:highlight w:val="none"/>
          <w:lang w:eastAsia="zh-CN"/>
        </w:rPr>
      </w:pPr>
    </w:p>
    <w:p w14:paraId="75B42057">
      <w:pPr>
        <w:pStyle w:val="18"/>
        <w:rPr>
          <w:rFonts w:hint="eastAsia" w:ascii="黑体" w:hAnsi="黑体" w:eastAsia="黑体" w:cs="黑体"/>
          <w:color w:val="auto"/>
          <w:sz w:val="32"/>
          <w:szCs w:val="32"/>
          <w:highlight w:val="none"/>
          <w:lang w:eastAsia="zh-CN"/>
        </w:rPr>
      </w:pPr>
    </w:p>
    <w:p w14:paraId="2FF14D81">
      <w:pPr>
        <w:pStyle w:val="18"/>
        <w:rPr>
          <w:rFonts w:hint="eastAsia" w:ascii="黑体" w:hAnsi="黑体" w:eastAsia="黑体" w:cs="黑体"/>
          <w:color w:val="auto"/>
          <w:sz w:val="32"/>
          <w:szCs w:val="32"/>
          <w:highlight w:val="none"/>
          <w:lang w:eastAsia="zh-CN"/>
        </w:rPr>
      </w:pPr>
    </w:p>
    <w:p w14:paraId="4F37ACDD">
      <w:pPr>
        <w:pStyle w:val="18"/>
        <w:rPr>
          <w:rFonts w:hint="eastAsia" w:ascii="黑体" w:hAnsi="黑体" w:eastAsia="黑体" w:cs="黑体"/>
          <w:color w:val="auto"/>
          <w:sz w:val="32"/>
          <w:szCs w:val="32"/>
          <w:highlight w:val="none"/>
          <w:lang w:eastAsia="zh-CN"/>
        </w:rPr>
      </w:pPr>
    </w:p>
    <w:p w14:paraId="2F43B418">
      <w:pPr>
        <w:pStyle w:val="18"/>
        <w:rPr>
          <w:rFonts w:hint="eastAsia" w:ascii="黑体" w:hAnsi="黑体" w:eastAsia="黑体" w:cs="黑体"/>
          <w:color w:val="auto"/>
          <w:sz w:val="32"/>
          <w:szCs w:val="32"/>
          <w:highlight w:val="none"/>
          <w:lang w:eastAsia="zh-CN"/>
        </w:rPr>
      </w:pPr>
    </w:p>
    <w:p w14:paraId="1416D1C7">
      <w:pPr>
        <w:pStyle w:val="82"/>
        <w:rPr>
          <w:rFonts w:hint="eastAsia"/>
          <w:color w:val="auto"/>
          <w:highlight w:val="none"/>
          <w:lang w:eastAsia="zh-CN"/>
        </w:rPr>
      </w:pPr>
    </w:p>
    <w:bookmarkEnd w:id="49"/>
    <w:bookmarkEnd w:id="50"/>
    <w:bookmarkEnd w:id="51"/>
    <w:p w14:paraId="0519745E">
      <w:pPr>
        <w:widowControl/>
        <w:snapToGrid w:val="0"/>
        <w:spacing w:line="360" w:lineRule="auto"/>
        <w:jc w:val="left"/>
        <w:rPr>
          <w:rFonts w:hint="eastAsia" w:ascii="宋体" w:hAnsi="宋体" w:eastAsia="宋体" w:cs="宋体"/>
          <w:color w:val="auto"/>
          <w:kern w:val="0"/>
          <w:sz w:val="24"/>
          <w:szCs w:val="24"/>
          <w:highlight w:val="none"/>
        </w:rPr>
      </w:pPr>
    </w:p>
    <w:p w14:paraId="3CB73BC6">
      <w:pPr>
        <w:keepNext w:val="0"/>
        <w:keepLines w:val="0"/>
        <w:pageBreakBefore w:val="0"/>
        <w:widowControl/>
        <w:kinsoku/>
        <w:wordWrap/>
        <w:overflowPunct/>
        <w:topLinePunct w:val="0"/>
        <w:bidi w:val="0"/>
        <w:snapToGrid w:val="0"/>
        <w:spacing w:line="384"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甲方：</w:t>
      </w:r>
      <w:r>
        <w:rPr>
          <w:rFonts w:hint="eastAsia" w:ascii="宋体" w:hAnsi="宋体" w:eastAsia="宋体" w:cs="宋体"/>
          <w:color w:val="auto"/>
          <w:kern w:val="0"/>
          <w:sz w:val="24"/>
          <w:szCs w:val="24"/>
          <w:highlight w:val="none"/>
          <w:u w:val="single"/>
          <w:lang w:eastAsia="zh-CN"/>
        </w:rPr>
        <w:t>南京浦口经济开发区管理委员会</w:t>
      </w:r>
      <w:r>
        <w:rPr>
          <w:rFonts w:hint="eastAsia" w:ascii="宋体" w:hAnsi="宋体" w:eastAsia="宋体" w:cs="宋体"/>
          <w:color w:val="auto"/>
          <w:kern w:val="0"/>
          <w:sz w:val="24"/>
          <w:szCs w:val="24"/>
          <w:highlight w:val="none"/>
        </w:rPr>
        <w:t>（委托单位）</w:t>
      </w:r>
    </w:p>
    <w:p w14:paraId="08441565">
      <w:pPr>
        <w:keepNext w:val="0"/>
        <w:keepLines w:val="0"/>
        <w:pageBreakBefore w:val="0"/>
        <w:widowControl/>
        <w:kinsoku/>
        <w:wordWrap/>
        <w:overflowPunct/>
        <w:topLinePunct w:val="0"/>
        <w:bidi w:val="0"/>
        <w:snapToGrid w:val="0"/>
        <w:spacing w:line="384" w:lineRule="auto"/>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乙方：</w:t>
      </w:r>
      <w:r>
        <w:rPr>
          <w:rFonts w:hint="eastAsia" w:ascii="宋体" w:hAnsi="宋体" w:eastAsia="宋体" w:cs="宋体"/>
          <w:color w:val="auto"/>
          <w:kern w:val="0"/>
          <w:sz w:val="24"/>
          <w:szCs w:val="24"/>
          <w:highlight w:val="none"/>
          <w:u w:val="single"/>
        </w:rPr>
        <w:t>光大工业废水处理南京有限公司</w:t>
      </w:r>
      <w:r>
        <w:rPr>
          <w:rFonts w:hint="eastAsia" w:ascii="宋体" w:hAnsi="宋体" w:eastAsia="宋体" w:cs="宋体"/>
          <w:color w:val="auto"/>
          <w:kern w:val="0"/>
          <w:sz w:val="24"/>
          <w:szCs w:val="24"/>
          <w:highlight w:val="none"/>
          <w:u w:val="none"/>
          <w:lang w:eastAsia="zh-CN"/>
        </w:rPr>
        <w:t>（</w:t>
      </w:r>
      <w:r>
        <w:rPr>
          <w:rFonts w:hint="eastAsia" w:ascii="宋体" w:hAnsi="宋体" w:eastAsia="宋体" w:cs="宋体"/>
          <w:color w:val="auto"/>
          <w:kern w:val="0"/>
          <w:sz w:val="24"/>
          <w:szCs w:val="24"/>
          <w:highlight w:val="none"/>
          <w:u w:val="none"/>
          <w:lang w:val="en-US" w:eastAsia="zh-CN"/>
        </w:rPr>
        <w:t>污泥产出单位</w:t>
      </w:r>
      <w:r>
        <w:rPr>
          <w:rFonts w:hint="eastAsia" w:ascii="宋体" w:hAnsi="宋体" w:eastAsia="宋体" w:cs="宋体"/>
          <w:color w:val="auto"/>
          <w:kern w:val="0"/>
          <w:sz w:val="24"/>
          <w:szCs w:val="24"/>
          <w:highlight w:val="none"/>
          <w:u w:val="none"/>
          <w:lang w:eastAsia="zh-CN"/>
        </w:rPr>
        <w:t>）</w:t>
      </w:r>
    </w:p>
    <w:p w14:paraId="4ABF2800">
      <w:pPr>
        <w:keepNext w:val="0"/>
        <w:keepLines w:val="0"/>
        <w:pageBreakBefore w:val="0"/>
        <w:widowControl/>
        <w:kinsoku/>
        <w:wordWrap/>
        <w:overflowPunct/>
        <w:topLinePunct w:val="0"/>
        <w:bidi w:val="0"/>
        <w:snapToGrid w:val="0"/>
        <w:spacing w:line="384"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丙方：</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处置及运输单位</w:t>
      </w:r>
      <w:r>
        <w:rPr>
          <w:rFonts w:hint="eastAsia" w:ascii="宋体" w:hAnsi="宋体" w:eastAsia="宋体" w:cs="宋体"/>
          <w:color w:val="auto"/>
          <w:kern w:val="0"/>
          <w:sz w:val="24"/>
          <w:szCs w:val="24"/>
          <w:highlight w:val="none"/>
        </w:rPr>
        <w:t>）</w:t>
      </w:r>
    </w:p>
    <w:p w14:paraId="1E3BE3B8">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为实现污水处理厂污泥减量化、无害化处理的目标，改善城市生态环境，保障人类健康，促进循环经济，根据《</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kern w:val="0"/>
          <w:sz w:val="24"/>
          <w:szCs w:val="24"/>
          <w:highlight w:val="none"/>
        </w:rPr>
        <w:t>》、《中华人民共和国固体废弃物污染环境防治法》、《</w:t>
      </w:r>
      <w:r>
        <w:rPr>
          <w:rFonts w:hint="eastAsia" w:ascii="宋体" w:hAnsi="宋体" w:eastAsia="宋体" w:cs="宋体"/>
          <w:i w:val="0"/>
          <w:iCs w:val="0"/>
          <w:caps w:val="0"/>
          <w:color w:val="auto"/>
          <w:spacing w:val="0"/>
          <w:sz w:val="24"/>
          <w:szCs w:val="24"/>
          <w:highlight w:val="none"/>
          <w:shd w:val="clear" w:color="auto" w:fill="auto"/>
        </w:rPr>
        <w:t>中华人民共和国道路交通安全法</w:t>
      </w:r>
      <w:r>
        <w:rPr>
          <w:rFonts w:hint="eastAsia" w:ascii="宋体" w:hAnsi="宋体" w:eastAsia="宋体" w:cs="宋体"/>
          <w:color w:val="auto"/>
          <w:kern w:val="0"/>
          <w:sz w:val="24"/>
          <w:szCs w:val="24"/>
          <w:highlight w:val="none"/>
        </w:rPr>
        <w:t>》等国家相关法律、法规的规定，现经</w:t>
      </w:r>
      <w:r>
        <w:rPr>
          <w:rFonts w:hint="eastAsia" w:ascii="宋体" w:hAnsi="宋体" w:eastAsia="宋体" w:cs="宋体"/>
          <w:color w:val="auto"/>
          <w:kern w:val="0"/>
          <w:sz w:val="24"/>
          <w:szCs w:val="24"/>
          <w:highlight w:val="none"/>
          <w:lang w:val="en-US" w:eastAsia="zh-CN"/>
        </w:rPr>
        <w:t>三</w:t>
      </w:r>
      <w:r>
        <w:rPr>
          <w:rFonts w:hint="eastAsia" w:ascii="宋体" w:hAnsi="宋体" w:eastAsia="宋体" w:cs="宋体"/>
          <w:color w:val="auto"/>
          <w:kern w:val="0"/>
          <w:sz w:val="24"/>
          <w:szCs w:val="24"/>
          <w:highlight w:val="none"/>
        </w:rPr>
        <w:t>方友好协商，达成以下协议：</w:t>
      </w:r>
    </w:p>
    <w:p w14:paraId="559929C0">
      <w:pPr>
        <w:keepNext w:val="0"/>
        <w:keepLines w:val="0"/>
        <w:pageBreakBefore w:val="0"/>
        <w:widowControl/>
        <w:kinsoku/>
        <w:wordWrap/>
        <w:overflowPunct/>
        <w:topLinePunct w:val="0"/>
        <w:bidi w:val="0"/>
        <w:snapToGrid w:val="0"/>
        <w:spacing w:line="384" w:lineRule="auto"/>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一、合同标的</w:t>
      </w:r>
    </w:p>
    <w:p w14:paraId="526B1865">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1.丙</w:t>
      </w:r>
      <w:r>
        <w:rPr>
          <w:rFonts w:hint="eastAsia" w:ascii="宋体" w:hAnsi="宋体" w:eastAsia="宋体" w:cs="宋体"/>
          <w:color w:val="auto"/>
          <w:sz w:val="24"/>
          <w:szCs w:val="24"/>
          <w:highlight w:val="none"/>
          <w:lang w:val="zh-CN" w:eastAsia="zh-CN"/>
        </w:rPr>
        <w:t>方根据甲</w:t>
      </w:r>
      <w:r>
        <w:rPr>
          <w:rFonts w:hint="eastAsia" w:ascii="宋体" w:hAnsi="宋体" w:eastAsia="宋体" w:cs="宋体"/>
          <w:color w:val="auto"/>
          <w:sz w:val="24"/>
          <w:szCs w:val="24"/>
          <w:highlight w:val="none"/>
          <w:lang w:val="en-US" w:eastAsia="zh-CN"/>
        </w:rPr>
        <w:t>乙双</w:t>
      </w:r>
      <w:r>
        <w:rPr>
          <w:rFonts w:hint="eastAsia" w:ascii="宋体" w:hAnsi="宋体" w:eastAsia="宋体" w:cs="宋体"/>
          <w:color w:val="auto"/>
          <w:sz w:val="24"/>
          <w:szCs w:val="24"/>
          <w:highlight w:val="none"/>
          <w:lang w:val="zh-CN" w:eastAsia="zh-CN"/>
        </w:rPr>
        <w:t>方需求提供下列服务：</w:t>
      </w:r>
      <w:r>
        <w:rPr>
          <w:rFonts w:hint="eastAsia" w:ascii="宋体" w:hAnsi="宋体" w:eastAsia="宋体" w:cs="宋体"/>
          <w:color w:val="auto"/>
          <w:sz w:val="24"/>
          <w:szCs w:val="24"/>
          <w:highlight w:val="none"/>
          <w:u w:val="single"/>
          <w:lang w:eastAsia="zh-CN"/>
        </w:rPr>
        <w:t>浦口经济开发区工业废水处理厂污泥处置项目</w:t>
      </w:r>
      <w:r>
        <w:rPr>
          <w:rFonts w:hint="eastAsia" w:ascii="宋体" w:hAnsi="宋体" w:eastAsia="宋体" w:cs="宋体"/>
          <w:color w:val="auto"/>
          <w:sz w:val="24"/>
          <w:szCs w:val="24"/>
          <w:highlight w:val="none"/>
          <w:lang w:eastAsia="zh-CN"/>
        </w:rPr>
        <w:t>，服务内容详见</w:t>
      </w:r>
      <w:r>
        <w:rPr>
          <w:rFonts w:hint="eastAsia" w:ascii="宋体" w:hAnsi="宋体" w:eastAsia="宋体" w:cs="宋体"/>
          <w:color w:val="auto"/>
          <w:sz w:val="24"/>
          <w:szCs w:val="24"/>
          <w:highlight w:val="none"/>
          <w:lang w:val="en-US" w:eastAsia="zh-CN"/>
        </w:rPr>
        <w:t>丙</w:t>
      </w:r>
      <w:r>
        <w:rPr>
          <w:rFonts w:hint="eastAsia" w:ascii="宋体" w:hAnsi="宋体" w:eastAsia="宋体" w:cs="宋体"/>
          <w:color w:val="auto"/>
          <w:sz w:val="24"/>
          <w:szCs w:val="24"/>
          <w:highlight w:val="none"/>
          <w:lang w:eastAsia="zh-CN"/>
        </w:rPr>
        <w:t>方响应性文件等。</w:t>
      </w:r>
    </w:p>
    <w:p w14:paraId="7DB83D04">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本项目</w:t>
      </w:r>
      <w:r>
        <w:rPr>
          <w:rFonts w:hint="eastAsia" w:ascii="宋体" w:hAnsi="宋体" w:eastAsia="宋体" w:cs="宋体"/>
          <w:snapToGrid w:val="0"/>
          <w:color w:val="auto"/>
          <w:sz w:val="24"/>
          <w:szCs w:val="24"/>
          <w:highlight w:val="none"/>
          <w:lang w:val="en-US" w:eastAsia="zh-CN"/>
        </w:rPr>
        <w:t>污泥处置</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highlight w:val="none"/>
          <w:lang w:val="en-US" w:eastAsia="zh-CN"/>
        </w:rPr>
        <w:t>总价暂定为</w:t>
      </w:r>
      <w:r>
        <w:rPr>
          <w:rFonts w:hint="eastAsia" w:ascii="宋体" w:hAnsi="宋体" w:eastAsia="宋体" w:cs="宋体"/>
          <w:color w:val="auto"/>
          <w:sz w:val="24"/>
          <w:szCs w:val="24"/>
          <w:highlight w:val="none"/>
          <w:lang w:eastAsia="zh-CN"/>
        </w:rPr>
        <w:t>人民币（大写）</w:t>
      </w:r>
      <w:r>
        <w:rPr>
          <w:rFonts w:hint="eastAsia" w:ascii="宋体" w:hAnsi="宋体" w:eastAsia="宋体" w:cs="宋体"/>
          <w:snapToGrid w:val="0"/>
          <w:color w:val="auto"/>
          <w:sz w:val="24"/>
          <w:szCs w:val="24"/>
          <w:highlight w:val="none"/>
          <w:u w:val="single"/>
          <w:lang w:val="en-US" w:eastAsia="zh-CN"/>
        </w:rPr>
        <w:t xml:space="preserve">               </w:t>
      </w:r>
      <w:r>
        <w:rPr>
          <w:rFonts w:hint="eastAsia" w:ascii="宋体" w:hAnsi="宋体" w:eastAsia="宋体" w:cs="宋体"/>
          <w:snapToGrid w:val="0"/>
          <w:color w:val="auto"/>
          <w:sz w:val="24"/>
          <w:szCs w:val="24"/>
          <w:highlight w:val="none"/>
          <w:lang w:val="en-US" w:eastAsia="zh-CN"/>
        </w:rPr>
        <w:t>元；</w:t>
      </w:r>
      <w:r>
        <w:rPr>
          <w:rFonts w:hint="eastAsia" w:ascii="宋体" w:hAnsi="宋体" w:eastAsia="宋体" w:cs="宋体"/>
          <w:color w:val="auto"/>
          <w:sz w:val="24"/>
          <w:szCs w:val="24"/>
          <w:highlight w:val="none"/>
          <w:lang w:val="en-US" w:eastAsia="zh-CN"/>
        </w:rPr>
        <w:t>单</w:t>
      </w:r>
      <w:r>
        <w:rPr>
          <w:rFonts w:hint="eastAsia" w:ascii="宋体" w:hAnsi="宋体" w:eastAsia="宋体" w:cs="宋体"/>
          <w:color w:val="auto"/>
          <w:sz w:val="24"/>
          <w:szCs w:val="24"/>
          <w:highlight w:val="none"/>
          <w:lang w:eastAsia="zh-CN"/>
        </w:rPr>
        <w:t>价为人民币（大写）</w:t>
      </w:r>
      <w:r>
        <w:rPr>
          <w:rFonts w:hint="eastAsia" w:ascii="宋体" w:hAnsi="宋体" w:eastAsia="宋体" w:cs="宋体"/>
          <w:snapToGrid w:val="0"/>
          <w:color w:val="auto"/>
          <w:sz w:val="24"/>
          <w:szCs w:val="24"/>
          <w:highlight w:val="none"/>
          <w:u w:val="single"/>
          <w:lang w:val="en-US" w:eastAsia="zh-CN"/>
        </w:rPr>
        <w:t xml:space="preserve">    </w:t>
      </w:r>
      <w:r>
        <w:rPr>
          <w:rFonts w:hint="eastAsia" w:ascii="宋体" w:hAnsi="宋体" w:eastAsia="宋体" w:cs="宋体"/>
          <w:snapToGrid w:val="0"/>
          <w:color w:val="auto"/>
          <w:sz w:val="24"/>
          <w:szCs w:val="24"/>
          <w:highlight w:val="none"/>
          <w:lang w:val="en-US" w:eastAsia="zh-CN"/>
        </w:rPr>
        <w:t>元/吨</w:t>
      </w:r>
      <w:r>
        <w:rPr>
          <w:rFonts w:hint="eastAsia" w:ascii="宋体" w:hAnsi="宋体" w:eastAsia="宋体" w:cs="宋体"/>
          <w:color w:val="auto"/>
          <w:sz w:val="24"/>
          <w:szCs w:val="24"/>
          <w:highlight w:val="none"/>
          <w:lang w:val="zh-CN" w:eastAsia="zh-CN"/>
        </w:rPr>
        <w:t>。</w:t>
      </w:r>
    </w:p>
    <w:p w14:paraId="55B9BF2D">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合同期限：合同有效期为一年，期满后根据招标人考核意见可续签合同，续签合同单价沿用中标单价，总合同期限不超过三年。</w:t>
      </w:r>
    </w:p>
    <w:p w14:paraId="49FAB634">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本合同执行期间，工程量按实计量，单价执行合同单价不予调整，最终结算时，本合同结算总金额不得超过</w:t>
      </w:r>
      <w:r>
        <w:rPr>
          <w:rFonts w:hint="eastAsia" w:ascii="宋体" w:hAnsi="宋体" w:eastAsia="宋体" w:cs="宋体"/>
          <w:color w:val="auto"/>
          <w:sz w:val="24"/>
          <w:szCs w:val="24"/>
          <w:highlight w:val="none"/>
          <w:lang w:val="en-US" w:eastAsia="zh-CN"/>
        </w:rPr>
        <w:t>合同总价</w:t>
      </w:r>
      <w:r>
        <w:rPr>
          <w:rFonts w:hint="eastAsia" w:ascii="宋体" w:hAnsi="宋体" w:eastAsia="宋体" w:cs="宋体"/>
          <w:color w:val="auto"/>
          <w:sz w:val="24"/>
          <w:szCs w:val="24"/>
          <w:highlight w:val="none"/>
          <w:lang w:val="zh-CN" w:eastAsia="zh-CN"/>
        </w:rPr>
        <w:t>。</w:t>
      </w:r>
    </w:p>
    <w:p w14:paraId="42F4F3AF">
      <w:pPr>
        <w:keepNext w:val="0"/>
        <w:keepLines w:val="0"/>
        <w:pageBreakBefore w:val="0"/>
        <w:kinsoku/>
        <w:wordWrap/>
        <w:overflowPunct/>
        <w:topLinePunct w:val="0"/>
        <w:bidi w:val="0"/>
        <w:snapToGrid w:val="0"/>
        <w:spacing w:line="384" w:lineRule="auto"/>
        <w:ind w:firstLine="422"/>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zh-CN" w:eastAsia="zh-CN"/>
        </w:rPr>
        <w:t>组成本合同的有关文件</w:t>
      </w:r>
    </w:p>
    <w:p w14:paraId="170A103A">
      <w:pPr>
        <w:keepNext w:val="0"/>
        <w:keepLines w:val="0"/>
        <w:pageBreakBefore w:val="0"/>
        <w:widowControl/>
        <w:kinsoku/>
        <w:wordWrap/>
        <w:overflowPunct/>
        <w:topLinePunct w:val="0"/>
        <w:bidi w:val="0"/>
        <w:snapToGrid w:val="0"/>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下列关于</w:t>
      </w:r>
      <w:r>
        <w:rPr>
          <w:rFonts w:hint="eastAsia" w:ascii="宋体" w:hAnsi="宋体" w:eastAsia="宋体" w:cs="宋体"/>
          <w:color w:val="auto"/>
          <w:sz w:val="24"/>
          <w:szCs w:val="24"/>
          <w:highlight w:val="none"/>
          <w:u w:val="single"/>
          <w:lang w:eastAsia="zh-CN"/>
        </w:rPr>
        <w:t>浦口经济开发区工业废水处理厂污泥处置项目</w:t>
      </w:r>
      <w:r>
        <w:rPr>
          <w:rFonts w:hint="eastAsia" w:ascii="宋体" w:hAnsi="宋体" w:eastAsia="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zh-CN" w:eastAsia="zh-CN"/>
        </w:rPr>
        <w:t>和有关附件是本合同不可分</w:t>
      </w:r>
      <w:r>
        <w:rPr>
          <w:rFonts w:hint="eastAsia" w:ascii="宋体" w:hAnsi="宋体" w:eastAsia="宋体" w:cs="宋体"/>
          <w:color w:val="auto"/>
          <w:sz w:val="24"/>
          <w:szCs w:val="24"/>
          <w:highlight w:val="none"/>
          <w:lang w:val="en-US" w:eastAsia="zh-CN"/>
        </w:rPr>
        <w:t>割的组成部分，与本合同具有同等法律效力。</w:t>
      </w:r>
    </w:p>
    <w:p w14:paraId="5C978559">
      <w:pPr>
        <w:keepNext w:val="0"/>
        <w:keepLines w:val="0"/>
        <w:pageBreakBefore w:val="0"/>
        <w:kinsoku/>
        <w:wordWrap/>
        <w:overflowPunct/>
        <w:topLinePunct w:val="0"/>
        <w:autoSpaceDE w:val="0"/>
        <w:autoSpaceDN w:val="0"/>
        <w:bidi w:val="0"/>
        <w:adjustRightInd w:val="0"/>
        <w:spacing w:line="384" w:lineRule="auto"/>
        <w:ind w:firstLine="420"/>
        <w:jc w:val="left"/>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合同协议书</w:t>
      </w:r>
      <w:r>
        <w:rPr>
          <w:rFonts w:hint="eastAsia" w:ascii="宋体" w:hAnsi="宋体" w:eastAsia="宋体" w:cs="宋体"/>
          <w:color w:val="auto"/>
          <w:sz w:val="24"/>
          <w:highlight w:val="none"/>
          <w:lang w:eastAsia="zh-CN"/>
        </w:rPr>
        <w:t>；</w:t>
      </w:r>
    </w:p>
    <w:p w14:paraId="2675BDC1">
      <w:pPr>
        <w:keepNext w:val="0"/>
        <w:keepLines w:val="0"/>
        <w:pageBreakBefore w:val="0"/>
        <w:kinsoku/>
        <w:wordWrap/>
        <w:overflowPunct/>
        <w:topLinePunct w:val="0"/>
        <w:autoSpaceDE w:val="0"/>
        <w:autoSpaceDN w:val="0"/>
        <w:bidi w:val="0"/>
        <w:adjustRightInd w:val="0"/>
        <w:spacing w:line="384" w:lineRule="auto"/>
        <w:ind w:firstLine="42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）中标通知书；</w:t>
      </w:r>
    </w:p>
    <w:p w14:paraId="1602A4D3">
      <w:pPr>
        <w:keepNext w:val="0"/>
        <w:keepLines w:val="0"/>
        <w:pageBreakBefore w:val="0"/>
        <w:kinsoku/>
        <w:wordWrap/>
        <w:overflowPunct/>
        <w:topLinePunct w:val="0"/>
        <w:autoSpaceDE w:val="0"/>
        <w:autoSpaceDN w:val="0"/>
        <w:bidi w:val="0"/>
        <w:adjustRightInd w:val="0"/>
        <w:spacing w:line="384" w:lineRule="auto"/>
        <w:ind w:firstLine="42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招标文件；</w:t>
      </w:r>
    </w:p>
    <w:p w14:paraId="7350AF9D">
      <w:pPr>
        <w:keepNext w:val="0"/>
        <w:keepLines w:val="0"/>
        <w:pageBreakBefore w:val="0"/>
        <w:kinsoku/>
        <w:wordWrap/>
        <w:overflowPunct/>
        <w:topLinePunct w:val="0"/>
        <w:autoSpaceDE w:val="0"/>
        <w:autoSpaceDN w:val="0"/>
        <w:bidi w:val="0"/>
        <w:adjustRightInd w:val="0"/>
        <w:spacing w:line="384" w:lineRule="auto"/>
        <w:ind w:firstLine="42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丙</w:t>
      </w:r>
      <w:r>
        <w:rPr>
          <w:rFonts w:hint="eastAsia" w:ascii="宋体" w:hAnsi="宋体" w:eastAsia="宋体" w:cs="宋体"/>
          <w:color w:val="auto"/>
          <w:sz w:val="24"/>
          <w:highlight w:val="none"/>
          <w:lang w:val="zh-CN"/>
        </w:rPr>
        <w:t>方提供的投标文件和投标报价表；</w:t>
      </w:r>
    </w:p>
    <w:p w14:paraId="460B1EB5">
      <w:pPr>
        <w:keepNext w:val="0"/>
        <w:keepLines w:val="0"/>
        <w:pageBreakBefore w:val="0"/>
        <w:kinsoku/>
        <w:wordWrap/>
        <w:overflowPunct/>
        <w:topLinePunct w:val="0"/>
        <w:autoSpaceDE w:val="0"/>
        <w:autoSpaceDN w:val="0"/>
        <w:bidi w:val="0"/>
        <w:adjustRightInd w:val="0"/>
        <w:spacing w:line="384" w:lineRule="auto"/>
        <w:ind w:firstLine="42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val="zh-CN"/>
        </w:rPr>
        <w:t>）投标承诺/服务承诺；</w:t>
      </w:r>
    </w:p>
    <w:p w14:paraId="12F510DA">
      <w:pPr>
        <w:keepNext w:val="0"/>
        <w:keepLines w:val="0"/>
        <w:pageBreakBefore w:val="0"/>
        <w:kinsoku/>
        <w:wordWrap/>
        <w:overflowPunct/>
        <w:topLinePunct w:val="0"/>
        <w:autoSpaceDE w:val="0"/>
        <w:autoSpaceDN w:val="0"/>
        <w:bidi w:val="0"/>
        <w:adjustRightInd w:val="0"/>
        <w:spacing w:line="384" w:lineRule="auto"/>
        <w:ind w:firstLine="42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val="zh-CN"/>
        </w:rPr>
        <w:t>）甲乙</w:t>
      </w:r>
      <w:r>
        <w:rPr>
          <w:rFonts w:hint="eastAsia" w:ascii="宋体" w:hAnsi="宋体" w:eastAsia="宋体" w:cs="宋体"/>
          <w:color w:val="auto"/>
          <w:sz w:val="24"/>
          <w:highlight w:val="none"/>
          <w:lang w:val="en-US" w:eastAsia="zh-CN"/>
        </w:rPr>
        <w:t>丙三</w:t>
      </w:r>
      <w:r>
        <w:rPr>
          <w:rFonts w:hint="eastAsia" w:ascii="宋体" w:hAnsi="宋体" w:eastAsia="宋体" w:cs="宋体"/>
          <w:color w:val="auto"/>
          <w:sz w:val="24"/>
          <w:highlight w:val="none"/>
          <w:lang w:val="zh-CN"/>
        </w:rPr>
        <w:t>方商定的其他文件等。</w:t>
      </w:r>
    </w:p>
    <w:p w14:paraId="687DA1C9">
      <w:pPr>
        <w:keepNext w:val="0"/>
        <w:keepLines w:val="0"/>
        <w:pageBreakBefore w:val="0"/>
        <w:widowControl/>
        <w:kinsoku/>
        <w:wordWrap/>
        <w:overflowPunct/>
        <w:topLinePunct w:val="0"/>
        <w:bidi w:val="0"/>
        <w:snapToGrid w:val="0"/>
        <w:spacing w:line="384" w:lineRule="auto"/>
        <w:ind w:firstLine="482"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w:t>
      </w:r>
      <w:r>
        <w:rPr>
          <w:rFonts w:hint="eastAsia" w:ascii="宋体" w:hAnsi="宋体" w:eastAsia="宋体" w:cs="宋体"/>
          <w:b/>
          <w:bCs/>
          <w:color w:val="auto"/>
          <w:kern w:val="0"/>
          <w:sz w:val="24"/>
          <w:szCs w:val="24"/>
          <w:highlight w:val="none"/>
          <w:lang w:val="en-US" w:eastAsia="zh-CN"/>
        </w:rPr>
        <w:t>甲</w:t>
      </w:r>
      <w:r>
        <w:rPr>
          <w:rFonts w:hint="eastAsia" w:ascii="宋体" w:hAnsi="宋体" w:eastAsia="宋体" w:cs="宋体"/>
          <w:b/>
          <w:bCs/>
          <w:color w:val="auto"/>
          <w:kern w:val="0"/>
          <w:sz w:val="24"/>
          <w:szCs w:val="24"/>
          <w:highlight w:val="none"/>
        </w:rPr>
        <w:t>方责任和义务</w:t>
      </w:r>
    </w:p>
    <w:p w14:paraId="00A67E78">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方做好污泥处置相关服务、协调工作。</w:t>
      </w:r>
    </w:p>
    <w:p w14:paraId="1CBACB79">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方负责污泥处置费用的支付，并承担30km以外的运输费用。</w:t>
      </w:r>
    </w:p>
    <w:p w14:paraId="5A33EFCD">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方有权对污泥处置情况进行监督和数量校核。</w:t>
      </w:r>
    </w:p>
    <w:p w14:paraId="4FCDDD6E">
      <w:pPr>
        <w:keepNext w:val="0"/>
        <w:keepLines w:val="0"/>
        <w:pageBreakBefore w:val="0"/>
        <w:widowControl/>
        <w:numPr>
          <w:ilvl w:val="0"/>
          <w:numId w:val="0"/>
        </w:numPr>
        <w:kinsoku/>
        <w:wordWrap/>
        <w:overflowPunct/>
        <w:topLinePunct w:val="0"/>
        <w:bidi w:val="0"/>
        <w:snapToGrid w:val="0"/>
        <w:spacing w:line="384" w:lineRule="auto"/>
        <w:ind w:firstLine="482"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四、乙方</w:t>
      </w:r>
      <w:r>
        <w:rPr>
          <w:rFonts w:hint="eastAsia" w:ascii="宋体" w:hAnsi="宋体" w:eastAsia="宋体" w:cs="宋体"/>
          <w:b/>
          <w:bCs/>
          <w:color w:val="auto"/>
          <w:kern w:val="0"/>
          <w:sz w:val="24"/>
          <w:szCs w:val="24"/>
          <w:highlight w:val="none"/>
        </w:rPr>
        <w:t>责任和义务</w:t>
      </w:r>
    </w:p>
    <w:p w14:paraId="604BF1F6">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.乙方</w:t>
      </w:r>
      <w:r>
        <w:rPr>
          <w:rFonts w:hint="eastAsia" w:ascii="宋体" w:hAnsi="宋体" w:eastAsia="宋体" w:cs="宋体"/>
          <w:color w:val="auto"/>
          <w:kern w:val="0"/>
          <w:sz w:val="24"/>
          <w:szCs w:val="24"/>
          <w:highlight w:val="none"/>
        </w:rPr>
        <w:t>负责提供符合处置要求的污泥，</w:t>
      </w:r>
      <w:r>
        <w:rPr>
          <w:rFonts w:hint="eastAsia" w:ascii="宋体" w:hAnsi="宋体" w:eastAsia="宋体" w:cs="宋体"/>
          <w:color w:val="auto"/>
          <w:kern w:val="0"/>
          <w:sz w:val="24"/>
          <w:szCs w:val="24"/>
          <w:highlight w:val="none"/>
          <w:lang w:val="en-US" w:eastAsia="zh-CN"/>
        </w:rPr>
        <w:t>乙方</w:t>
      </w:r>
      <w:r>
        <w:rPr>
          <w:rFonts w:hint="eastAsia" w:ascii="宋体" w:hAnsi="宋体" w:eastAsia="宋体" w:cs="宋体"/>
          <w:color w:val="auto"/>
          <w:kern w:val="0"/>
          <w:sz w:val="24"/>
          <w:szCs w:val="24"/>
          <w:highlight w:val="none"/>
        </w:rPr>
        <w:t>承担30km范围内的运输费用，合计30元/吨。</w:t>
      </w:r>
    </w:p>
    <w:p w14:paraId="1F06CC82">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.乙方</w:t>
      </w:r>
      <w:r>
        <w:rPr>
          <w:rFonts w:hint="eastAsia" w:ascii="宋体" w:hAnsi="宋体" w:eastAsia="宋体" w:cs="宋体"/>
          <w:color w:val="auto"/>
          <w:kern w:val="0"/>
          <w:sz w:val="24"/>
          <w:szCs w:val="24"/>
          <w:highlight w:val="none"/>
        </w:rPr>
        <w:t>给</w:t>
      </w:r>
      <w:r>
        <w:rPr>
          <w:rFonts w:hint="eastAsia" w:ascii="宋体" w:hAnsi="宋体" w:eastAsia="宋体" w:cs="宋体"/>
          <w:color w:val="auto"/>
          <w:kern w:val="0"/>
          <w:sz w:val="24"/>
          <w:szCs w:val="24"/>
          <w:highlight w:val="none"/>
          <w:lang w:val="en-US" w:eastAsia="zh-CN"/>
        </w:rPr>
        <w:t>丙</w:t>
      </w:r>
      <w:r>
        <w:rPr>
          <w:rFonts w:hint="eastAsia" w:ascii="宋体" w:hAnsi="宋体" w:eastAsia="宋体" w:cs="宋体"/>
          <w:color w:val="auto"/>
          <w:kern w:val="0"/>
          <w:sz w:val="24"/>
          <w:szCs w:val="24"/>
          <w:highlight w:val="none"/>
        </w:rPr>
        <w:t>方处置的污泥系本公司污水处理厂所产污泥，</w:t>
      </w:r>
      <w:r>
        <w:rPr>
          <w:rFonts w:hint="eastAsia" w:ascii="宋体" w:hAnsi="宋体" w:eastAsia="宋体" w:cs="宋体"/>
          <w:color w:val="auto"/>
          <w:kern w:val="0"/>
          <w:sz w:val="24"/>
          <w:szCs w:val="24"/>
          <w:highlight w:val="none"/>
          <w:lang w:val="en-US" w:eastAsia="zh-CN"/>
        </w:rPr>
        <w:t>乙方</w:t>
      </w:r>
      <w:r>
        <w:rPr>
          <w:rFonts w:hint="eastAsia" w:ascii="宋体" w:hAnsi="宋体" w:eastAsia="宋体" w:cs="宋体"/>
          <w:color w:val="auto"/>
          <w:kern w:val="0"/>
          <w:sz w:val="24"/>
          <w:szCs w:val="24"/>
          <w:highlight w:val="none"/>
        </w:rPr>
        <w:t>不得将第三方产生的污泥运送给</w:t>
      </w:r>
      <w:r>
        <w:rPr>
          <w:rFonts w:hint="eastAsia" w:ascii="宋体" w:hAnsi="宋体" w:eastAsia="宋体" w:cs="宋体"/>
          <w:color w:val="auto"/>
          <w:kern w:val="0"/>
          <w:sz w:val="24"/>
          <w:szCs w:val="24"/>
          <w:highlight w:val="none"/>
          <w:lang w:val="en-US" w:eastAsia="zh-CN"/>
        </w:rPr>
        <w:t>丙</w:t>
      </w:r>
      <w:r>
        <w:rPr>
          <w:rFonts w:hint="eastAsia" w:ascii="宋体" w:hAnsi="宋体" w:eastAsia="宋体" w:cs="宋体"/>
          <w:color w:val="auto"/>
          <w:kern w:val="0"/>
          <w:sz w:val="24"/>
          <w:szCs w:val="24"/>
          <w:highlight w:val="none"/>
        </w:rPr>
        <w:t>方处置。</w:t>
      </w:r>
    </w:p>
    <w:p w14:paraId="5050E439">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en-US" w:eastAsia="zh-CN"/>
        </w:rPr>
        <w:t>.乙方</w:t>
      </w:r>
      <w:r>
        <w:rPr>
          <w:rFonts w:hint="eastAsia" w:ascii="宋体" w:hAnsi="宋体" w:eastAsia="宋体" w:cs="宋体"/>
          <w:color w:val="auto"/>
          <w:kern w:val="0"/>
          <w:sz w:val="24"/>
          <w:szCs w:val="24"/>
          <w:highlight w:val="none"/>
        </w:rPr>
        <w:t>应积极配合</w:t>
      </w:r>
      <w:r>
        <w:rPr>
          <w:rFonts w:hint="eastAsia" w:ascii="宋体" w:hAnsi="宋体" w:eastAsia="宋体" w:cs="宋体"/>
          <w:color w:val="auto"/>
          <w:kern w:val="0"/>
          <w:sz w:val="24"/>
          <w:szCs w:val="24"/>
          <w:highlight w:val="none"/>
          <w:lang w:val="en-US" w:eastAsia="zh-CN"/>
        </w:rPr>
        <w:t>丙方</w:t>
      </w:r>
      <w:r>
        <w:rPr>
          <w:rFonts w:hint="eastAsia" w:ascii="宋体" w:hAnsi="宋体" w:eastAsia="宋体" w:cs="宋体"/>
          <w:color w:val="auto"/>
          <w:kern w:val="0"/>
          <w:sz w:val="24"/>
          <w:szCs w:val="24"/>
          <w:highlight w:val="none"/>
        </w:rPr>
        <w:t>的相关工作，</w:t>
      </w:r>
      <w:r>
        <w:rPr>
          <w:rFonts w:hint="eastAsia" w:ascii="宋体" w:hAnsi="宋体" w:eastAsia="宋体" w:cs="宋体"/>
          <w:color w:val="auto"/>
          <w:kern w:val="0"/>
          <w:sz w:val="24"/>
          <w:szCs w:val="24"/>
          <w:highlight w:val="none"/>
          <w:lang w:val="en-US" w:eastAsia="zh-CN"/>
        </w:rPr>
        <w:t>提供的污泥</w:t>
      </w:r>
      <w:r>
        <w:rPr>
          <w:rFonts w:hint="eastAsia" w:ascii="宋体" w:hAnsi="宋体" w:eastAsia="宋体" w:cs="宋体"/>
          <w:color w:val="auto"/>
          <w:kern w:val="0"/>
          <w:sz w:val="24"/>
          <w:szCs w:val="24"/>
          <w:highlight w:val="none"/>
        </w:rPr>
        <w:t>含水率</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60%。</w:t>
      </w:r>
    </w:p>
    <w:p w14:paraId="4761A2B5">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val="en-US" w:eastAsia="zh-CN"/>
        </w:rPr>
        <w:t>.乙方</w:t>
      </w:r>
      <w:r>
        <w:rPr>
          <w:rFonts w:hint="eastAsia" w:ascii="宋体" w:hAnsi="宋体" w:eastAsia="宋体" w:cs="宋体"/>
          <w:color w:val="auto"/>
          <w:kern w:val="0"/>
          <w:sz w:val="24"/>
          <w:szCs w:val="24"/>
          <w:highlight w:val="none"/>
        </w:rPr>
        <w:t>对产生的污泥负责，并负责监督</w:t>
      </w:r>
      <w:r>
        <w:rPr>
          <w:rFonts w:hint="eastAsia" w:ascii="宋体" w:hAnsi="宋体" w:eastAsia="宋体" w:cs="宋体"/>
          <w:color w:val="auto"/>
          <w:kern w:val="0"/>
          <w:sz w:val="24"/>
          <w:szCs w:val="24"/>
          <w:highlight w:val="none"/>
          <w:lang w:val="en-US" w:eastAsia="zh-CN"/>
        </w:rPr>
        <w:t>丙方</w:t>
      </w:r>
      <w:r>
        <w:rPr>
          <w:rFonts w:hint="eastAsia" w:ascii="宋体" w:hAnsi="宋体" w:eastAsia="宋体" w:cs="宋体"/>
          <w:color w:val="auto"/>
          <w:kern w:val="0"/>
          <w:sz w:val="24"/>
          <w:szCs w:val="24"/>
          <w:highlight w:val="none"/>
        </w:rPr>
        <w:t>合法合规的运输、处置污泥，并负责污泥的环保系统申报等。</w:t>
      </w:r>
    </w:p>
    <w:p w14:paraId="1F556469">
      <w:pPr>
        <w:keepNext w:val="0"/>
        <w:keepLines w:val="0"/>
        <w:pageBreakBefore w:val="0"/>
        <w:widowControl/>
        <w:kinsoku/>
        <w:wordWrap/>
        <w:overflowPunct/>
        <w:topLinePunct w:val="0"/>
        <w:bidi w:val="0"/>
        <w:snapToGrid w:val="0"/>
        <w:spacing w:line="384" w:lineRule="auto"/>
        <w:ind w:firstLine="482"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五</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丙</w:t>
      </w:r>
      <w:r>
        <w:rPr>
          <w:rFonts w:hint="eastAsia" w:ascii="宋体" w:hAnsi="宋体" w:eastAsia="宋体" w:cs="宋体"/>
          <w:b/>
          <w:bCs/>
          <w:color w:val="auto"/>
          <w:kern w:val="0"/>
          <w:sz w:val="24"/>
          <w:szCs w:val="24"/>
          <w:highlight w:val="none"/>
        </w:rPr>
        <w:t>方责任和义务</w:t>
      </w:r>
    </w:p>
    <w:p w14:paraId="4823ED58">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r>
        <w:rPr>
          <w:rFonts w:hint="eastAsia" w:ascii="宋体" w:hAnsi="宋体" w:eastAsia="宋体" w:cs="宋体"/>
          <w:b w:val="0"/>
          <w:bCs w:val="0"/>
          <w:color w:val="auto"/>
          <w:kern w:val="0"/>
          <w:sz w:val="24"/>
          <w:szCs w:val="24"/>
          <w:highlight w:val="none"/>
          <w:lang w:val="en-US" w:eastAsia="zh-CN"/>
        </w:rPr>
        <w:t>.丙</w:t>
      </w:r>
      <w:r>
        <w:rPr>
          <w:rFonts w:hint="eastAsia" w:ascii="宋体" w:hAnsi="宋体" w:eastAsia="宋体" w:cs="宋体"/>
          <w:b w:val="0"/>
          <w:bCs w:val="0"/>
          <w:color w:val="auto"/>
          <w:kern w:val="0"/>
          <w:sz w:val="24"/>
          <w:szCs w:val="24"/>
          <w:highlight w:val="none"/>
        </w:rPr>
        <w:t>方负责投资建设污泥无害化处置设施，按照本协议规定对</w:t>
      </w:r>
      <w:r>
        <w:rPr>
          <w:rFonts w:hint="eastAsia" w:ascii="宋体" w:hAnsi="宋体" w:eastAsia="宋体" w:cs="宋体"/>
          <w:b w:val="0"/>
          <w:bCs w:val="0"/>
          <w:color w:val="auto"/>
          <w:kern w:val="0"/>
          <w:sz w:val="24"/>
          <w:szCs w:val="24"/>
          <w:highlight w:val="none"/>
          <w:lang w:val="en-US" w:eastAsia="zh-CN"/>
        </w:rPr>
        <w:t>乙</w:t>
      </w:r>
      <w:r>
        <w:rPr>
          <w:rFonts w:hint="eastAsia" w:ascii="宋体" w:hAnsi="宋体" w:eastAsia="宋体" w:cs="宋体"/>
          <w:b w:val="0"/>
          <w:bCs w:val="0"/>
          <w:color w:val="auto"/>
          <w:kern w:val="0"/>
          <w:sz w:val="24"/>
          <w:szCs w:val="24"/>
          <w:highlight w:val="none"/>
        </w:rPr>
        <w:t>方提供的污泥进行接收和无害化处置，并保证具备处置能力。</w:t>
      </w:r>
    </w:p>
    <w:p w14:paraId="56C33128">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在协议的有效期内，</w:t>
      </w:r>
      <w:r>
        <w:rPr>
          <w:rFonts w:hint="eastAsia" w:ascii="宋体" w:hAnsi="宋体" w:eastAsia="宋体" w:cs="宋体"/>
          <w:b w:val="0"/>
          <w:bCs w:val="0"/>
          <w:color w:val="auto"/>
          <w:kern w:val="0"/>
          <w:sz w:val="24"/>
          <w:szCs w:val="24"/>
          <w:highlight w:val="none"/>
          <w:lang w:val="en-US" w:eastAsia="zh-CN"/>
        </w:rPr>
        <w:t>丙</w:t>
      </w:r>
      <w:r>
        <w:rPr>
          <w:rFonts w:hint="eastAsia" w:ascii="宋体" w:hAnsi="宋体" w:eastAsia="宋体" w:cs="宋体"/>
          <w:b w:val="0"/>
          <w:bCs w:val="0"/>
          <w:color w:val="auto"/>
          <w:kern w:val="0"/>
          <w:sz w:val="24"/>
          <w:szCs w:val="24"/>
          <w:highlight w:val="none"/>
        </w:rPr>
        <w:t>方必须保证符合污泥处置相关要求</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不得将污泥转包给另外第三方单位处置</w:t>
      </w:r>
      <w:r>
        <w:rPr>
          <w:rFonts w:hint="eastAsia" w:ascii="宋体" w:hAnsi="宋体" w:eastAsia="宋体" w:cs="宋体"/>
          <w:b w:val="0"/>
          <w:bCs w:val="0"/>
          <w:color w:val="auto"/>
          <w:kern w:val="0"/>
          <w:sz w:val="24"/>
          <w:szCs w:val="24"/>
          <w:highlight w:val="none"/>
        </w:rPr>
        <w:t>。</w:t>
      </w:r>
    </w:p>
    <w:p w14:paraId="297C4337">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rPr>
        <w:t>3</w:t>
      </w:r>
      <w:r>
        <w:rPr>
          <w:rFonts w:hint="eastAsia" w:ascii="宋体" w:hAnsi="宋体" w:eastAsia="宋体" w:cs="宋体"/>
          <w:b w:val="0"/>
          <w:bCs w:val="0"/>
          <w:color w:val="auto"/>
          <w:kern w:val="0"/>
          <w:sz w:val="24"/>
          <w:szCs w:val="24"/>
          <w:highlight w:val="none"/>
          <w:lang w:val="en-US" w:eastAsia="zh-CN"/>
        </w:rPr>
        <w:t>.丙</w:t>
      </w:r>
      <w:r>
        <w:rPr>
          <w:rFonts w:hint="eastAsia" w:ascii="宋体" w:hAnsi="宋体" w:eastAsia="宋体" w:cs="宋体"/>
          <w:b w:val="0"/>
          <w:bCs w:val="0"/>
          <w:color w:val="auto"/>
          <w:kern w:val="0"/>
          <w:sz w:val="24"/>
          <w:szCs w:val="24"/>
          <w:highlight w:val="none"/>
        </w:rPr>
        <w:t>方承诺，在处置过程中，不产生对环境的二次污染。若因</w:t>
      </w:r>
      <w:r>
        <w:rPr>
          <w:rFonts w:hint="eastAsia" w:ascii="宋体" w:hAnsi="宋体" w:eastAsia="宋体" w:cs="宋体"/>
          <w:b w:val="0"/>
          <w:bCs w:val="0"/>
          <w:color w:val="auto"/>
          <w:kern w:val="0"/>
          <w:sz w:val="24"/>
          <w:szCs w:val="24"/>
          <w:highlight w:val="none"/>
          <w:lang w:val="en-US" w:eastAsia="zh-CN"/>
        </w:rPr>
        <w:t>丙</w:t>
      </w:r>
      <w:r>
        <w:rPr>
          <w:rFonts w:hint="eastAsia" w:ascii="宋体" w:hAnsi="宋体" w:eastAsia="宋体" w:cs="宋体"/>
          <w:b w:val="0"/>
          <w:bCs w:val="0"/>
          <w:color w:val="auto"/>
          <w:kern w:val="0"/>
          <w:sz w:val="24"/>
          <w:szCs w:val="24"/>
          <w:highlight w:val="none"/>
        </w:rPr>
        <w:t>方之故意或过失，致使</w:t>
      </w:r>
      <w:r>
        <w:rPr>
          <w:rFonts w:hint="eastAsia" w:ascii="宋体" w:hAnsi="宋体" w:eastAsia="宋体" w:cs="宋体"/>
          <w:b w:val="0"/>
          <w:bCs w:val="0"/>
          <w:color w:val="auto"/>
          <w:kern w:val="0"/>
          <w:sz w:val="24"/>
          <w:szCs w:val="24"/>
          <w:highlight w:val="none"/>
          <w:lang w:val="en-US" w:eastAsia="zh-CN"/>
        </w:rPr>
        <w:t>丙</w:t>
      </w:r>
      <w:r>
        <w:rPr>
          <w:rFonts w:hint="eastAsia" w:ascii="宋体" w:hAnsi="宋体" w:eastAsia="宋体" w:cs="宋体"/>
          <w:b w:val="0"/>
          <w:bCs w:val="0"/>
          <w:color w:val="auto"/>
          <w:kern w:val="0"/>
          <w:sz w:val="24"/>
          <w:szCs w:val="24"/>
          <w:highlight w:val="none"/>
        </w:rPr>
        <w:t>方涉入已运出</w:t>
      </w:r>
      <w:r>
        <w:rPr>
          <w:rFonts w:hint="eastAsia" w:ascii="宋体" w:hAnsi="宋体" w:eastAsia="宋体" w:cs="宋体"/>
          <w:b w:val="0"/>
          <w:bCs w:val="0"/>
          <w:color w:val="auto"/>
          <w:kern w:val="0"/>
          <w:sz w:val="24"/>
          <w:szCs w:val="24"/>
          <w:highlight w:val="none"/>
          <w:lang w:val="en-US" w:eastAsia="zh-CN"/>
        </w:rPr>
        <w:t>乙</w:t>
      </w:r>
      <w:r>
        <w:rPr>
          <w:rFonts w:hint="eastAsia" w:ascii="宋体" w:hAnsi="宋体" w:eastAsia="宋体" w:cs="宋体"/>
          <w:b w:val="0"/>
          <w:bCs w:val="0"/>
          <w:color w:val="auto"/>
          <w:kern w:val="0"/>
          <w:sz w:val="24"/>
          <w:szCs w:val="24"/>
          <w:highlight w:val="none"/>
        </w:rPr>
        <w:t>方厂区废弃物之争或遭主管机关裁罚，则</w:t>
      </w:r>
      <w:r>
        <w:rPr>
          <w:rFonts w:hint="eastAsia" w:ascii="宋体" w:hAnsi="宋体" w:eastAsia="宋体" w:cs="宋体"/>
          <w:b w:val="0"/>
          <w:bCs w:val="0"/>
          <w:color w:val="auto"/>
          <w:kern w:val="0"/>
          <w:sz w:val="24"/>
          <w:szCs w:val="24"/>
          <w:highlight w:val="none"/>
          <w:lang w:val="en-US" w:eastAsia="zh-CN"/>
        </w:rPr>
        <w:t>丙</w:t>
      </w:r>
      <w:r>
        <w:rPr>
          <w:rFonts w:hint="eastAsia" w:ascii="宋体" w:hAnsi="宋体" w:eastAsia="宋体" w:cs="宋体"/>
          <w:b w:val="0"/>
          <w:bCs w:val="0"/>
          <w:color w:val="auto"/>
          <w:kern w:val="0"/>
          <w:sz w:val="24"/>
          <w:szCs w:val="24"/>
          <w:highlight w:val="none"/>
        </w:rPr>
        <w:t>方承担所有责任及费用</w:t>
      </w:r>
      <w:r>
        <w:rPr>
          <w:rFonts w:hint="eastAsia" w:ascii="宋体" w:hAnsi="宋体" w:eastAsia="宋体" w:cs="宋体"/>
          <w:b w:val="0"/>
          <w:bCs w:val="0"/>
          <w:color w:val="auto"/>
          <w:kern w:val="0"/>
          <w:sz w:val="24"/>
          <w:szCs w:val="24"/>
          <w:highlight w:val="none"/>
          <w:lang w:eastAsia="zh-CN"/>
        </w:rPr>
        <w:t>。</w:t>
      </w:r>
    </w:p>
    <w:p w14:paraId="2EC935A5">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w:t>
      </w:r>
      <w:r>
        <w:rPr>
          <w:rFonts w:hint="eastAsia" w:ascii="宋体" w:hAnsi="宋体" w:eastAsia="宋体" w:cs="宋体"/>
          <w:b w:val="0"/>
          <w:bCs w:val="0"/>
          <w:color w:val="auto"/>
          <w:kern w:val="0"/>
          <w:sz w:val="24"/>
          <w:szCs w:val="24"/>
          <w:highlight w:val="none"/>
          <w:lang w:val="en-US" w:eastAsia="zh-CN"/>
        </w:rPr>
        <w:t>.丙</w:t>
      </w:r>
      <w:r>
        <w:rPr>
          <w:rFonts w:hint="eastAsia" w:ascii="宋体" w:hAnsi="宋体" w:eastAsia="宋体" w:cs="宋体"/>
          <w:b w:val="0"/>
          <w:bCs w:val="0"/>
          <w:color w:val="auto"/>
          <w:kern w:val="0"/>
          <w:sz w:val="24"/>
          <w:szCs w:val="24"/>
          <w:highlight w:val="none"/>
        </w:rPr>
        <w:t>方人员应遵守</w:t>
      </w:r>
      <w:r>
        <w:rPr>
          <w:rFonts w:hint="eastAsia" w:ascii="宋体" w:hAnsi="宋体" w:eastAsia="宋体" w:cs="宋体"/>
          <w:b w:val="0"/>
          <w:bCs w:val="0"/>
          <w:color w:val="auto"/>
          <w:kern w:val="0"/>
          <w:sz w:val="24"/>
          <w:szCs w:val="24"/>
          <w:highlight w:val="none"/>
          <w:lang w:val="en-US" w:eastAsia="zh-CN"/>
        </w:rPr>
        <w:t>乙</w:t>
      </w:r>
      <w:r>
        <w:rPr>
          <w:rFonts w:hint="eastAsia" w:ascii="宋体" w:hAnsi="宋体" w:eastAsia="宋体" w:cs="宋体"/>
          <w:b w:val="0"/>
          <w:bCs w:val="0"/>
          <w:color w:val="auto"/>
          <w:kern w:val="0"/>
          <w:sz w:val="24"/>
          <w:szCs w:val="24"/>
          <w:highlight w:val="none"/>
        </w:rPr>
        <w:t>方的相关环境以及安全管理规定，</w:t>
      </w:r>
      <w:r>
        <w:rPr>
          <w:rFonts w:hint="eastAsia" w:ascii="宋体" w:hAnsi="宋体" w:eastAsia="宋体" w:cs="宋体"/>
          <w:b w:val="0"/>
          <w:bCs w:val="0"/>
          <w:color w:val="auto"/>
          <w:kern w:val="0"/>
          <w:sz w:val="24"/>
          <w:szCs w:val="24"/>
          <w:highlight w:val="none"/>
          <w:lang w:val="en-US" w:eastAsia="zh-CN"/>
        </w:rPr>
        <w:t>丙</w:t>
      </w:r>
      <w:r>
        <w:rPr>
          <w:rFonts w:hint="eastAsia" w:ascii="宋体" w:hAnsi="宋体" w:eastAsia="宋体" w:cs="宋体"/>
          <w:b w:val="0"/>
          <w:bCs w:val="0"/>
          <w:color w:val="auto"/>
          <w:kern w:val="0"/>
          <w:sz w:val="24"/>
          <w:szCs w:val="24"/>
          <w:highlight w:val="none"/>
        </w:rPr>
        <w:t>方人员若因未遵守前述规定或可归责于己之事由而发生意外，所有责任由</w:t>
      </w:r>
      <w:r>
        <w:rPr>
          <w:rFonts w:hint="eastAsia" w:ascii="宋体" w:hAnsi="宋体" w:eastAsia="宋体" w:cs="宋体"/>
          <w:b w:val="0"/>
          <w:bCs w:val="0"/>
          <w:color w:val="auto"/>
          <w:kern w:val="0"/>
          <w:sz w:val="24"/>
          <w:szCs w:val="24"/>
          <w:highlight w:val="none"/>
          <w:lang w:val="en-US" w:eastAsia="zh-CN"/>
        </w:rPr>
        <w:t>丙</w:t>
      </w:r>
      <w:r>
        <w:rPr>
          <w:rFonts w:hint="eastAsia" w:ascii="宋体" w:hAnsi="宋体" w:eastAsia="宋体" w:cs="宋体"/>
          <w:b w:val="0"/>
          <w:bCs w:val="0"/>
          <w:color w:val="auto"/>
          <w:kern w:val="0"/>
          <w:sz w:val="24"/>
          <w:szCs w:val="24"/>
          <w:highlight w:val="none"/>
        </w:rPr>
        <w:t>方自行负责，</w:t>
      </w:r>
      <w:r>
        <w:rPr>
          <w:rFonts w:hint="eastAsia" w:ascii="宋体" w:hAnsi="宋体" w:eastAsia="宋体" w:cs="宋体"/>
          <w:b w:val="0"/>
          <w:bCs w:val="0"/>
          <w:color w:val="auto"/>
          <w:sz w:val="24"/>
          <w:szCs w:val="24"/>
          <w:highlight w:val="none"/>
        </w:rPr>
        <w:t>与其他方无关</w:t>
      </w:r>
      <w:r>
        <w:rPr>
          <w:rFonts w:hint="eastAsia" w:ascii="宋体" w:hAnsi="宋体" w:eastAsia="宋体" w:cs="宋体"/>
          <w:b w:val="0"/>
          <w:bCs w:val="0"/>
          <w:color w:val="auto"/>
          <w:kern w:val="0"/>
          <w:sz w:val="24"/>
          <w:szCs w:val="24"/>
          <w:highlight w:val="none"/>
        </w:rPr>
        <w:t>。</w:t>
      </w:r>
    </w:p>
    <w:p w14:paraId="562C4689">
      <w:pPr>
        <w:keepNext w:val="0"/>
        <w:keepLines w:val="0"/>
        <w:pageBreakBefore w:val="0"/>
        <w:widowControl/>
        <w:kinsoku/>
        <w:wordWrap/>
        <w:overflowPunct/>
        <w:topLinePunct w:val="0"/>
        <w:bidi w:val="0"/>
        <w:snapToGrid w:val="0"/>
        <w:spacing w:line="384"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rPr>
        <w:t>5</w:t>
      </w:r>
      <w:r>
        <w:rPr>
          <w:rFonts w:hint="eastAsia" w:ascii="宋体" w:hAnsi="宋体" w:eastAsia="宋体" w:cs="宋体"/>
          <w:b w:val="0"/>
          <w:bCs w:val="0"/>
          <w:color w:val="auto"/>
          <w:kern w:val="0"/>
          <w:sz w:val="24"/>
          <w:szCs w:val="24"/>
          <w:highlight w:val="none"/>
          <w:lang w:val="en-US" w:eastAsia="zh-CN"/>
        </w:rPr>
        <w:t>.丙</w:t>
      </w:r>
      <w:r>
        <w:rPr>
          <w:rFonts w:hint="eastAsia" w:ascii="宋体" w:hAnsi="宋体" w:eastAsia="宋体" w:cs="宋体"/>
          <w:b w:val="0"/>
          <w:bCs w:val="0"/>
          <w:color w:val="auto"/>
          <w:kern w:val="0"/>
          <w:sz w:val="24"/>
          <w:szCs w:val="24"/>
          <w:highlight w:val="none"/>
        </w:rPr>
        <w:t>方确保污泥的运输、处置等环节合法合规，并承担相应的全部责任，产生的</w:t>
      </w:r>
      <w:r>
        <w:rPr>
          <w:rFonts w:hint="eastAsia" w:ascii="宋体" w:hAnsi="宋体" w:eastAsia="宋体" w:cs="宋体"/>
          <w:b w:val="0"/>
          <w:bCs w:val="0"/>
          <w:color w:val="auto"/>
          <w:sz w:val="24"/>
          <w:szCs w:val="24"/>
          <w:highlight w:val="none"/>
        </w:rPr>
        <w:t>风险均由</w:t>
      </w:r>
      <w:r>
        <w:rPr>
          <w:rFonts w:hint="eastAsia" w:ascii="宋体" w:hAnsi="宋体" w:eastAsia="宋体" w:cs="宋体"/>
          <w:b w:val="0"/>
          <w:bCs w:val="0"/>
          <w:color w:val="auto"/>
          <w:kern w:val="0"/>
          <w:sz w:val="24"/>
          <w:szCs w:val="24"/>
          <w:highlight w:val="none"/>
          <w:lang w:val="en-US" w:eastAsia="zh-CN"/>
        </w:rPr>
        <w:t>丙</w:t>
      </w:r>
      <w:r>
        <w:rPr>
          <w:rFonts w:hint="eastAsia" w:ascii="宋体" w:hAnsi="宋体" w:eastAsia="宋体" w:cs="宋体"/>
          <w:b w:val="0"/>
          <w:bCs w:val="0"/>
          <w:color w:val="auto"/>
          <w:sz w:val="24"/>
          <w:szCs w:val="24"/>
          <w:highlight w:val="none"/>
        </w:rPr>
        <w:t>方负责，与其他方无关。</w:t>
      </w:r>
    </w:p>
    <w:p w14:paraId="5A2A0667">
      <w:pPr>
        <w:keepNext w:val="0"/>
        <w:keepLines w:val="0"/>
        <w:pageBreakBefore w:val="0"/>
        <w:widowControl w:val="0"/>
        <w:kinsoku/>
        <w:wordWrap/>
        <w:overflowPunct/>
        <w:topLinePunct w:val="0"/>
        <w:autoSpaceDE/>
        <w:autoSpaceDN/>
        <w:bidi w:val="0"/>
        <w:adjustRightInd w:val="0"/>
        <w:snapToGrid w:val="0"/>
        <w:spacing w:line="384"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6.丙方</w:t>
      </w:r>
      <w:r>
        <w:rPr>
          <w:rFonts w:hint="eastAsia" w:ascii="宋体" w:hAnsi="宋体" w:eastAsia="宋体" w:cs="宋体"/>
          <w:color w:val="auto"/>
          <w:sz w:val="24"/>
          <w:szCs w:val="24"/>
          <w:highlight w:val="none"/>
          <w:lang w:eastAsia="zh-CN"/>
        </w:rPr>
        <w:t>根据</w:t>
      </w:r>
      <w:r>
        <w:rPr>
          <w:rFonts w:hint="eastAsia" w:ascii="宋体" w:hAnsi="宋体" w:eastAsia="宋体" w:cs="宋体"/>
          <w:b w:val="0"/>
          <w:bCs w:val="0"/>
          <w:color w:val="auto"/>
          <w:kern w:val="0"/>
          <w:sz w:val="24"/>
          <w:szCs w:val="24"/>
          <w:highlight w:val="none"/>
          <w:lang w:val="en-US" w:eastAsia="zh-CN"/>
        </w:rPr>
        <w:t>乙</w:t>
      </w:r>
      <w:r>
        <w:rPr>
          <w:rFonts w:hint="eastAsia" w:ascii="宋体" w:hAnsi="宋体" w:eastAsia="宋体" w:cs="宋体"/>
          <w:b w:val="0"/>
          <w:bCs w:val="0"/>
          <w:color w:val="auto"/>
          <w:kern w:val="0"/>
          <w:sz w:val="24"/>
          <w:szCs w:val="24"/>
          <w:highlight w:val="none"/>
        </w:rPr>
        <w:t>方</w:t>
      </w:r>
      <w:r>
        <w:rPr>
          <w:rFonts w:hint="eastAsia" w:ascii="宋体" w:hAnsi="宋体" w:eastAsia="宋体" w:cs="宋体"/>
          <w:color w:val="auto"/>
          <w:sz w:val="24"/>
          <w:szCs w:val="24"/>
          <w:highlight w:val="none"/>
          <w:lang w:eastAsia="zh-CN"/>
        </w:rPr>
        <w:t>及相关规范要求，对污泥进行有效及时的处置，原则上日产日清。</w:t>
      </w:r>
    </w:p>
    <w:p w14:paraId="761A1313">
      <w:pPr>
        <w:keepNext w:val="0"/>
        <w:keepLines w:val="0"/>
        <w:pageBreakBefore w:val="0"/>
        <w:widowControl w:val="0"/>
        <w:kinsoku/>
        <w:wordWrap/>
        <w:overflowPunct/>
        <w:topLinePunct w:val="0"/>
        <w:autoSpaceDE/>
        <w:autoSpaceDN/>
        <w:bidi w:val="0"/>
        <w:adjustRightInd w:val="0"/>
        <w:snapToGrid w:val="0"/>
        <w:spacing w:line="384"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在服务有效期内，</w:t>
      </w:r>
      <w:r>
        <w:rPr>
          <w:rFonts w:hint="eastAsia" w:ascii="宋体" w:hAnsi="宋体" w:eastAsia="宋体" w:cs="宋体"/>
          <w:color w:val="auto"/>
          <w:sz w:val="24"/>
          <w:szCs w:val="24"/>
          <w:highlight w:val="none"/>
          <w:lang w:val="en-US" w:eastAsia="zh-CN"/>
        </w:rPr>
        <w:t>丙方</w:t>
      </w:r>
      <w:r>
        <w:rPr>
          <w:rFonts w:hint="eastAsia" w:ascii="宋体" w:hAnsi="宋体" w:eastAsia="宋体" w:cs="宋体"/>
          <w:color w:val="auto"/>
          <w:sz w:val="24"/>
          <w:szCs w:val="24"/>
          <w:highlight w:val="none"/>
          <w:lang w:eastAsia="zh-CN"/>
        </w:rPr>
        <w:t>必须承诺保证具有处置本项目所涉及污泥的处置能力，了解并遵守国家及地方有关安全、运输、环保的法律、法规，遵守</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监管要求及其他规章制度。</w:t>
      </w:r>
    </w:p>
    <w:p w14:paraId="6C6B90CC">
      <w:pPr>
        <w:keepNext w:val="0"/>
        <w:keepLines w:val="0"/>
        <w:pageBreakBefore w:val="0"/>
        <w:widowControl w:val="0"/>
        <w:kinsoku/>
        <w:wordWrap/>
        <w:overflowPunct/>
        <w:topLinePunct w:val="0"/>
        <w:autoSpaceDE/>
        <w:autoSpaceDN/>
        <w:bidi w:val="0"/>
        <w:adjustRightInd w:val="0"/>
        <w:snapToGrid w:val="0"/>
        <w:spacing w:line="384"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8.丙方</w:t>
      </w:r>
      <w:r>
        <w:rPr>
          <w:rFonts w:hint="eastAsia" w:ascii="宋体" w:hAnsi="宋体" w:eastAsia="宋体" w:cs="宋体"/>
          <w:color w:val="auto"/>
          <w:sz w:val="24"/>
          <w:szCs w:val="24"/>
          <w:highlight w:val="none"/>
          <w:lang w:eastAsia="zh-CN"/>
        </w:rPr>
        <w:t>有责任及时报告在运输和处置过程中所发生的事件，包括但不限于任何可能造成各方行政责任及经济损失、任何第三方的投诉和索赔的所有事件。</w:t>
      </w:r>
    </w:p>
    <w:p w14:paraId="2D149DDC">
      <w:pPr>
        <w:keepNext w:val="0"/>
        <w:keepLines w:val="0"/>
        <w:pageBreakBefore w:val="0"/>
        <w:widowControl w:val="0"/>
        <w:kinsoku/>
        <w:wordWrap/>
        <w:overflowPunct/>
        <w:topLinePunct w:val="0"/>
        <w:autoSpaceDE/>
        <w:autoSpaceDN/>
        <w:bidi w:val="0"/>
        <w:adjustRightInd w:val="0"/>
        <w:snapToGrid w:val="0"/>
        <w:spacing w:line="384"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9.丙方</w:t>
      </w:r>
      <w:r>
        <w:rPr>
          <w:rFonts w:hint="eastAsia" w:ascii="宋体" w:hAnsi="宋体" w:eastAsia="宋体" w:cs="宋体"/>
          <w:color w:val="auto"/>
          <w:sz w:val="24"/>
          <w:szCs w:val="24"/>
          <w:highlight w:val="none"/>
          <w:lang w:eastAsia="zh-CN"/>
        </w:rPr>
        <w:t>必须接受</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及其上级主管部门随时对</w:t>
      </w:r>
      <w:r>
        <w:rPr>
          <w:rFonts w:hint="eastAsia" w:ascii="宋体" w:hAnsi="宋体" w:eastAsia="宋体" w:cs="宋体"/>
          <w:color w:val="auto"/>
          <w:sz w:val="24"/>
          <w:szCs w:val="24"/>
          <w:highlight w:val="none"/>
          <w:lang w:val="en-US" w:eastAsia="zh-CN"/>
        </w:rPr>
        <w:t>丙方</w:t>
      </w:r>
      <w:r>
        <w:rPr>
          <w:rFonts w:hint="eastAsia" w:ascii="宋体" w:hAnsi="宋体" w:eastAsia="宋体" w:cs="宋体"/>
          <w:color w:val="auto"/>
          <w:sz w:val="24"/>
          <w:szCs w:val="24"/>
          <w:highlight w:val="none"/>
          <w:lang w:eastAsia="zh-CN"/>
        </w:rPr>
        <w:t>的运输和处置情况的监督检查。</w:t>
      </w:r>
    </w:p>
    <w:p w14:paraId="02DE916B">
      <w:pPr>
        <w:keepNext w:val="0"/>
        <w:keepLines w:val="0"/>
        <w:pageBreakBefore w:val="0"/>
        <w:widowControl w:val="0"/>
        <w:kinsoku/>
        <w:wordWrap/>
        <w:overflowPunct/>
        <w:topLinePunct w:val="0"/>
        <w:autoSpaceDE/>
        <w:autoSpaceDN/>
        <w:bidi w:val="0"/>
        <w:adjustRightInd w:val="0"/>
        <w:snapToGrid w:val="0"/>
        <w:spacing w:line="384" w:lineRule="auto"/>
        <w:ind w:firstLine="573"/>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10.乙方</w:t>
      </w:r>
      <w:r>
        <w:rPr>
          <w:rFonts w:hint="eastAsia" w:ascii="宋体" w:hAnsi="宋体" w:eastAsia="宋体" w:cs="宋体"/>
          <w:color w:val="auto"/>
          <w:sz w:val="24"/>
          <w:szCs w:val="24"/>
          <w:highlight w:val="none"/>
          <w:lang w:eastAsia="zh-CN"/>
        </w:rPr>
        <w:t>有权对</w:t>
      </w:r>
      <w:r>
        <w:rPr>
          <w:rFonts w:hint="eastAsia" w:ascii="宋体" w:hAnsi="宋体" w:eastAsia="宋体" w:cs="宋体"/>
          <w:color w:val="auto"/>
          <w:sz w:val="24"/>
          <w:szCs w:val="24"/>
          <w:highlight w:val="none"/>
          <w:lang w:val="en-US" w:eastAsia="zh-CN"/>
        </w:rPr>
        <w:t>丙方</w:t>
      </w:r>
      <w:r>
        <w:rPr>
          <w:rFonts w:hint="eastAsia" w:ascii="宋体" w:hAnsi="宋体" w:eastAsia="宋体" w:cs="宋体"/>
          <w:color w:val="auto"/>
          <w:sz w:val="24"/>
          <w:szCs w:val="24"/>
          <w:highlight w:val="none"/>
          <w:lang w:eastAsia="zh-CN"/>
        </w:rPr>
        <w:t>的违规操作行为（包括但不限于偷倒、乱倒）保留追究责任的权利。</w:t>
      </w:r>
    </w:p>
    <w:p w14:paraId="3A9C33C4">
      <w:pPr>
        <w:keepNext w:val="0"/>
        <w:keepLines w:val="0"/>
        <w:pageBreakBefore w:val="0"/>
        <w:widowControl w:val="0"/>
        <w:kinsoku/>
        <w:wordWrap/>
        <w:overflowPunct/>
        <w:topLinePunct w:val="0"/>
        <w:autoSpaceDE/>
        <w:autoSpaceDN/>
        <w:bidi w:val="0"/>
        <w:adjustRightInd w:val="0"/>
        <w:snapToGrid w:val="0"/>
        <w:spacing w:line="384" w:lineRule="auto"/>
        <w:ind w:firstLine="573"/>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val="en-US" w:eastAsia="zh-CN"/>
        </w:rPr>
        <w:t>11.丙方</w:t>
      </w:r>
      <w:r>
        <w:rPr>
          <w:rFonts w:hint="eastAsia" w:ascii="宋体" w:hAnsi="宋体" w:eastAsia="宋体" w:cs="宋体"/>
          <w:color w:val="auto"/>
          <w:sz w:val="24"/>
          <w:szCs w:val="24"/>
          <w:highlight w:val="none"/>
          <w:lang w:eastAsia="zh-CN"/>
        </w:rPr>
        <w:t>必须严格执行有关规范运输处置标准要求，建立污泥管理专项台账，对污泥的收集、运输、处置、利用、处理进行登记，详细记录污泥产生量，处置方式和处置量、污泥转</w:t>
      </w:r>
      <w:r>
        <w:rPr>
          <w:rFonts w:hint="eastAsia" w:ascii="宋体" w:hAnsi="宋体" w:eastAsia="宋体" w:cs="宋体"/>
          <w:b w:val="0"/>
          <w:bCs w:val="0"/>
          <w:color w:val="auto"/>
          <w:sz w:val="24"/>
          <w:szCs w:val="24"/>
          <w:highlight w:val="none"/>
          <w:lang w:eastAsia="zh-CN"/>
        </w:rPr>
        <w:t>移量和转移去向、运输车牌照号等情况，实施联单制管理。</w:t>
      </w:r>
    </w:p>
    <w:p w14:paraId="6DA29007">
      <w:pPr>
        <w:pStyle w:val="18"/>
        <w:keepNext w:val="0"/>
        <w:keepLines w:val="0"/>
        <w:pageBreakBefore w:val="0"/>
        <w:widowControl w:val="0"/>
        <w:kinsoku/>
        <w:wordWrap/>
        <w:overflowPunct/>
        <w:topLinePunct w:val="0"/>
        <w:autoSpaceDE/>
        <w:autoSpaceDN/>
        <w:bidi w:val="0"/>
        <w:adjustRightInd/>
        <w:snapToGrid w:val="0"/>
        <w:spacing w:before="42" w:line="384" w:lineRule="auto"/>
        <w:ind w:left="0" w:leftChars="0" w:right="0" w:firstLine="480" w:firstLineChars="20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Times New Roman"/>
          <w:b w:val="0"/>
          <w:bCs w:val="0"/>
          <w:color w:val="auto"/>
          <w:kern w:val="2"/>
          <w:sz w:val="24"/>
          <w:highlight w:val="none"/>
          <w:lang w:val="en-US" w:eastAsia="zh-CN" w:bidi="ar-SA"/>
        </w:rPr>
        <w:t>12.乙方临时增加人员或车辆设备需求，丙方需在</w:t>
      </w:r>
      <w:r>
        <w:rPr>
          <w:rFonts w:hint="eastAsia" w:ascii="宋体" w:hAnsi="宋体" w:eastAsia="宋体" w:cs="Times New Roman"/>
          <w:b w:val="0"/>
          <w:bCs w:val="0"/>
          <w:color w:val="auto"/>
          <w:kern w:val="2"/>
          <w:sz w:val="24"/>
          <w:highlight w:val="none"/>
          <w:u w:val="single"/>
          <w:lang w:val="en-US" w:eastAsia="zh-CN" w:bidi="ar-SA"/>
        </w:rPr>
        <w:t xml:space="preserve">   </w:t>
      </w:r>
      <w:r>
        <w:rPr>
          <w:rFonts w:hint="eastAsia" w:ascii="宋体" w:hAnsi="宋体" w:eastAsia="宋体" w:cs="Times New Roman"/>
          <w:b w:val="0"/>
          <w:bCs w:val="0"/>
          <w:color w:val="auto"/>
          <w:kern w:val="2"/>
          <w:sz w:val="24"/>
          <w:highlight w:val="none"/>
          <w:lang w:val="en-US" w:eastAsia="zh-CN" w:bidi="ar-SA"/>
        </w:rPr>
        <w:t>分钟内完成人员或车辆设备调配。</w:t>
      </w:r>
    </w:p>
    <w:p w14:paraId="057682EF">
      <w:pPr>
        <w:pStyle w:val="18"/>
        <w:keepNext w:val="0"/>
        <w:keepLines w:val="0"/>
        <w:pageBreakBefore w:val="0"/>
        <w:widowControl w:val="0"/>
        <w:kinsoku/>
        <w:wordWrap/>
        <w:overflowPunct/>
        <w:topLinePunct w:val="0"/>
        <w:autoSpaceDE/>
        <w:autoSpaceDN/>
        <w:bidi w:val="0"/>
        <w:adjustRightInd/>
        <w:snapToGrid w:val="0"/>
        <w:spacing w:before="42" w:line="384" w:lineRule="auto"/>
        <w:ind w:left="0" w:leftChars="0" w:right="0" w:firstLine="482" w:firstLineChars="200"/>
        <w:jc w:val="left"/>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、污泥计量</w:t>
      </w:r>
      <w:r>
        <w:rPr>
          <w:rFonts w:hint="eastAsia" w:ascii="宋体" w:hAnsi="宋体" w:eastAsia="宋体" w:cs="宋体"/>
          <w:b/>
          <w:bCs/>
          <w:color w:val="auto"/>
          <w:w w:val="100"/>
          <w:sz w:val="24"/>
          <w:szCs w:val="24"/>
          <w:highlight w:val="none"/>
        </w:rPr>
        <w:t xml:space="preserve"> </w:t>
      </w:r>
    </w:p>
    <w:p w14:paraId="25B118AC">
      <w:pPr>
        <w:pStyle w:val="18"/>
        <w:keepNext w:val="0"/>
        <w:keepLines w:val="0"/>
        <w:pageBreakBefore w:val="0"/>
        <w:widowControl w:val="0"/>
        <w:kinsoku/>
        <w:wordWrap/>
        <w:overflowPunct/>
        <w:topLinePunct w:val="0"/>
        <w:autoSpaceDE/>
        <w:autoSpaceDN/>
        <w:bidi w:val="0"/>
        <w:adjustRightInd/>
        <w:snapToGrid w:val="0"/>
        <w:spacing w:before="42" w:line="384" w:lineRule="auto"/>
        <w:ind w:left="0" w:leftChars="0" w:right="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rPr>
        <w:t>丙</w:t>
      </w:r>
      <w:r>
        <w:rPr>
          <w:rFonts w:hint="eastAsia" w:ascii="宋体" w:hAnsi="宋体" w:eastAsia="宋体" w:cs="宋体"/>
          <w:b w:val="0"/>
          <w:bCs w:val="0"/>
          <w:color w:val="auto"/>
          <w:spacing w:val="-2"/>
          <w:sz w:val="24"/>
          <w:szCs w:val="24"/>
          <w:highlight w:val="none"/>
        </w:rPr>
        <w:t>方安排经过</w:t>
      </w:r>
      <w:r>
        <w:rPr>
          <w:rFonts w:hint="eastAsia" w:ascii="宋体" w:hAnsi="宋体" w:eastAsia="宋体" w:cs="宋体"/>
          <w:b w:val="0"/>
          <w:bCs w:val="0"/>
          <w:color w:val="auto"/>
          <w:kern w:val="0"/>
          <w:sz w:val="24"/>
          <w:szCs w:val="24"/>
          <w:highlight w:val="none"/>
          <w:lang w:val="en-US" w:eastAsia="zh-CN"/>
        </w:rPr>
        <w:t>乙丙</w:t>
      </w:r>
      <w:r>
        <w:rPr>
          <w:rFonts w:hint="eastAsia" w:ascii="宋体" w:hAnsi="宋体" w:eastAsia="宋体" w:cs="宋体"/>
          <w:b w:val="0"/>
          <w:bCs w:val="0"/>
          <w:color w:val="auto"/>
          <w:spacing w:val="-2"/>
          <w:sz w:val="24"/>
          <w:szCs w:val="24"/>
          <w:highlight w:val="none"/>
          <w:lang w:val="en-US" w:eastAsia="zh-CN"/>
        </w:rPr>
        <w:t>双</w:t>
      </w:r>
      <w:r>
        <w:rPr>
          <w:rFonts w:hint="eastAsia" w:ascii="宋体" w:hAnsi="宋体" w:eastAsia="宋体" w:cs="宋体"/>
          <w:b w:val="0"/>
          <w:bCs w:val="0"/>
          <w:color w:val="auto"/>
          <w:spacing w:val="-2"/>
          <w:sz w:val="24"/>
          <w:szCs w:val="24"/>
          <w:highlight w:val="none"/>
        </w:rPr>
        <w:t>方共同核定污泥装载量的车辆运输污泥，</w:t>
      </w:r>
      <w:r>
        <w:rPr>
          <w:rFonts w:hint="eastAsia" w:ascii="宋体" w:hAnsi="宋体" w:eastAsia="宋体" w:cs="宋体"/>
          <w:b w:val="0"/>
          <w:bCs w:val="0"/>
          <w:color w:val="auto"/>
          <w:kern w:val="0"/>
          <w:sz w:val="24"/>
          <w:szCs w:val="24"/>
          <w:highlight w:val="none"/>
          <w:lang w:val="en-US" w:eastAsia="zh-CN"/>
        </w:rPr>
        <w:t>乙</w:t>
      </w:r>
      <w:r>
        <w:rPr>
          <w:rFonts w:hint="eastAsia" w:ascii="宋体" w:hAnsi="宋体" w:eastAsia="宋体" w:cs="宋体"/>
          <w:b w:val="0"/>
          <w:bCs w:val="0"/>
          <w:color w:val="auto"/>
          <w:sz w:val="24"/>
          <w:szCs w:val="24"/>
          <w:highlight w:val="none"/>
        </w:rPr>
        <w:t>方</w:t>
      </w:r>
      <w:r>
        <w:rPr>
          <w:rFonts w:hint="eastAsia" w:ascii="宋体" w:hAnsi="宋体" w:eastAsia="宋体" w:cs="宋体"/>
          <w:b w:val="0"/>
          <w:bCs w:val="0"/>
          <w:color w:val="auto"/>
          <w:sz w:val="24"/>
          <w:szCs w:val="24"/>
          <w:highlight w:val="none"/>
          <w:lang w:val="en-US" w:eastAsia="zh-CN"/>
        </w:rPr>
        <w:t>在</w:t>
      </w:r>
      <w:r>
        <w:rPr>
          <w:rFonts w:hint="eastAsia" w:ascii="宋体" w:hAnsi="宋体" w:eastAsia="宋体" w:cs="宋体"/>
          <w:b w:val="0"/>
          <w:bCs w:val="0"/>
          <w:color w:val="auto"/>
          <w:sz w:val="24"/>
          <w:szCs w:val="24"/>
          <w:highlight w:val="none"/>
        </w:rPr>
        <w:t>江苏省危险废物动态管理系统</w:t>
      </w:r>
      <w:r>
        <w:rPr>
          <w:rFonts w:hint="eastAsia" w:ascii="宋体" w:hAnsi="宋体" w:eastAsia="宋体" w:cs="宋体"/>
          <w:b w:val="0"/>
          <w:bCs w:val="0"/>
          <w:color w:val="auto"/>
          <w:sz w:val="24"/>
          <w:szCs w:val="24"/>
          <w:highlight w:val="none"/>
          <w:lang w:val="en-US" w:eastAsia="zh-CN"/>
        </w:rPr>
        <w:t>发起运输申请后</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kern w:val="0"/>
          <w:sz w:val="24"/>
          <w:szCs w:val="24"/>
          <w:highlight w:val="none"/>
          <w:lang w:val="en-US" w:eastAsia="zh-CN"/>
        </w:rPr>
        <w:t>丙</w:t>
      </w:r>
      <w:r>
        <w:rPr>
          <w:rFonts w:hint="eastAsia" w:ascii="宋体" w:hAnsi="宋体" w:eastAsia="宋体" w:cs="宋体"/>
          <w:b w:val="0"/>
          <w:bCs w:val="0"/>
          <w:color w:val="auto"/>
          <w:sz w:val="24"/>
          <w:szCs w:val="24"/>
          <w:highlight w:val="none"/>
        </w:rPr>
        <w:t>方</w:t>
      </w:r>
      <w:r>
        <w:rPr>
          <w:rFonts w:hint="eastAsia" w:ascii="宋体" w:hAnsi="宋体" w:eastAsia="宋体" w:cs="宋体"/>
          <w:b w:val="0"/>
          <w:bCs w:val="0"/>
          <w:color w:val="auto"/>
          <w:sz w:val="24"/>
          <w:szCs w:val="24"/>
          <w:highlight w:val="none"/>
          <w:lang w:val="en-US" w:eastAsia="zh-CN"/>
        </w:rPr>
        <w:t>确认</w:t>
      </w:r>
      <w:r>
        <w:rPr>
          <w:rFonts w:hint="eastAsia" w:ascii="宋体" w:hAnsi="宋体" w:eastAsia="宋体" w:cs="宋体"/>
          <w:b w:val="0"/>
          <w:bCs w:val="0"/>
          <w:color w:val="auto"/>
          <w:sz w:val="24"/>
          <w:szCs w:val="24"/>
          <w:highlight w:val="none"/>
        </w:rPr>
        <w:t>接受并处置污泥。</w:t>
      </w:r>
      <w:r>
        <w:rPr>
          <w:rFonts w:hint="eastAsia" w:ascii="宋体" w:hAnsi="宋体" w:eastAsia="宋体" w:cs="宋体"/>
          <w:b w:val="0"/>
          <w:bCs w:val="0"/>
          <w:color w:val="auto"/>
          <w:kern w:val="0"/>
          <w:sz w:val="24"/>
          <w:szCs w:val="24"/>
          <w:highlight w:val="none"/>
          <w:lang w:val="en-US" w:eastAsia="zh-CN"/>
        </w:rPr>
        <w:t>丙</w:t>
      </w:r>
      <w:r>
        <w:rPr>
          <w:rFonts w:hint="eastAsia" w:ascii="宋体" w:hAnsi="宋体" w:eastAsia="宋体" w:cs="宋体"/>
          <w:b w:val="0"/>
          <w:bCs w:val="0"/>
          <w:color w:val="auto"/>
          <w:sz w:val="24"/>
          <w:szCs w:val="24"/>
          <w:highlight w:val="none"/>
        </w:rPr>
        <w:t>方运送污泥车辆进</w:t>
      </w:r>
      <w:r>
        <w:rPr>
          <w:rFonts w:hint="eastAsia" w:ascii="宋体" w:hAnsi="宋体" w:eastAsia="宋体" w:cs="宋体"/>
          <w:b w:val="0"/>
          <w:bCs w:val="0"/>
          <w:color w:val="auto"/>
          <w:sz w:val="24"/>
          <w:szCs w:val="24"/>
          <w:highlight w:val="none"/>
          <w:lang w:val="en-US" w:eastAsia="zh-CN"/>
        </w:rPr>
        <w:t>入</w:t>
      </w:r>
      <w:r>
        <w:rPr>
          <w:rFonts w:hint="eastAsia" w:ascii="宋体" w:hAnsi="宋体" w:eastAsia="宋体" w:cs="宋体"/>
          <w:b w:val="0"/>
          <w:bCs w:val="0"/>
          <w:color w:val="auto"/>
          <w:kern w:val="0"/>
          <w:sz w:val="24"/>
          <w:szCs w:val="24"/>
          <w:highlight w:val="none"/>
          <w:lang w:val="en-US" w:eastAsia="zh-CN"/>
        </w:rPr>
        <w:t>乙</w:t>
      </w:r>
      <w:r>
        <w:rPr>
          <w:rFonts w:hint="eastAsia" w:ascii="宋体" w:hAnsi="宋体" w:eastAsia="宋体" w:cs="宋体"/>
          <w:b w:val="0"/>
          <w:bCs w:val="0"/>
          <w:color w:val="auto"/>
          <w:sz w:val="24"/>
          <w:szCs w:val="24"/>
          <w:highlight w:val="none"/>
        </w:rPr>
        <w:t>方厂区时需经地磅称量</w:t>
      </w:r>
      <w:r>
        <w:rPr>
          <w:rFonts w:hint="eastAsia" w:ascii="宋体" w:hAnsi="宋体" w:eastAsia="宋体" w:cs="宋体"/>
          <w:b w:val="0"/>
          <w:bCs w:val="0"/>
          <w:color w:val="auto"/>
          <w:sz w:val="24"/>
          <w:szCs w:val="24"/>
          <w:highlight w:val="none"/>
          <w:lang w:val="en-US" w:eastAsia="zh-CN"/>
        </w:rPr>
        <w:t>空车重量及负载</w:t>
      </w:r>
      <w:r>
        <w:rPr>
          <w:rFonts w:hint="eastAsia" w:ascii="宋体" w:hAnsi="宋体" w:eastAsia="宋体" w:cs="宋体"/>
          <w:b w:val="0"/>
          <w:bCs w:val="0"/>
          <w:color w:val="auto"/>
          <w:sz w:val="24"/>
          <w:szCs w:val="24"/>
          <w:highlight w:val="none"/>
        </w:rPr>
        <w:t>污泥</w:t>
      </w:r>
      <w:r>
        <w:rPr>
          <w:rFonts w:hint="eastAsia" w:ascii="宋体" w:hAnsi="宋体" w:eastAsia="宋体" w:cs="宋体"/>
          <w:b w:val="0"/>
          <w:bCs w:val="0"/>
          <w:color w:val="auto"/>
          <w:sz w:val="24"/>
          <w:szCs w:val="24"/>
          <w:highlight w:val="none"/>
          <w:lang w:val="en-US" w:eastAsia="zh-CN"/>
        </w:rPr>
        <w:t>后</w:t>
      </w:r>
      <w:r>
        <w:rPr>
          <w:rFonts w:hint="eastAsia" w:ascii="宋体" w:hAnsi="宋体" w:eastAsia="宋体" w:cs="宋体"/>
          <w:b w:val="0"/>
          <w:bCs w:val="0"/>
          <w:color w:val="auto"/>
          <w:sz w:val="24"/>
          <w:szCs w:val="24"/>
          <w:highlight w:val="none"/>
        </w:rPr>
        <w:t>重量，并由</w:t>
      </w:r>
      <w:r>
        <w:rPr>
          <w:rFonts w:hint="eastAsia" w:ascii="宋体" w:hAnsi="宋体" w:eastAsia="宋体" w:cs="宋体"/>
          <w:b w:val="0"/>
          <w:bCs w:val="0"/>
          <w:color w:val="auto"/>
          <w:sz w:val="24"/>
          <w:szCs w:val="24"/>
          <w:highlight w:val="none"/>
          <w:lang w:val="en-US" w:eastAsia="zh-CN"/>
        </w:rPr>
        <w:t>双</w:t>
      </w:r>
      <w:r>
        <w:rPr>
          <w:rFonts w:hint="eastAsia" w:ascii="宋体" w:hAnsi="宋体" w:eastAsia="宋体" w:cs="宋体"/>
          <w:b w:val="0"/>
          <w:bCs w:val="0"/>
          <w:color w:val="auto"/>
          <w:sz w:val="24"/>
          <w:szCs w:val="24"/>
          <w:highlight w:val="none"/>
        </w:rPr>
        <w:t>方工作人员在</w:t>
      </w:r>
      <w:r>
        <w:rPr>
          <w:rFonts w:hint="eastAsia" w:ascii="宋体" w:hAnsi="宋体" w:eastAsia="宋体" w:cs="宋体"/>
          <w:b w:val="0"/>
          <w:bCs w:val="0"/>
          <w:color w:val="auto"/>
          <w:sz w:val="24"/>
          <w:szCs w:val="24"/>
          <w:highlight w:val="none"/>
          <w:lang w:val="en-US" w:eastAsia="zh-CN"/>
        </w:rPr>
        <w:t>磅</w:t>
      </w:r>
      <w:r>
        <w:rPr>
          <w:rFonts w:hint="eastAsia" w:ascii="宋体" w:hAnsi="宋体" w:eastAsia="宋体" w:cs="宋体"/>
          <w:b w:val="0"/>
          <w:bCs w:val="0"/>
          <w:color w:val="auto"/>
          <w:sz w:val="24"/>
          <w:szCs w:val="24"/>
          <w:highlight w:val="none"/>
        </w:rPr>
        <w:t>单上共同签字确认，</w:t>
      </w:r>
      <w:r>
        <w:rPr>
          <w:rFonts w:hint="eastAsia" w:ascii="宋体" w:hAnsi="宋体" w:eastAsia="宋体" w:cs="宋体"/>
          <w:b w:val="0"/>
          <w:bCs w:val="0"/>
          <w:color w:val="auto"/>
          <w:sz w:val="24"/>
          <w:szCs w:val="24"/>
          <w:highlight w:val="none"/>
          <w:lang w:val="en-US" w:eastAsia="zh-CN"/>
        </w:rPr>
        <w:t>双</w:t>
      </w:r>
      <w:r>
        <w:rPr>
          <w:rFonts w:hint="eastAsia" w:ascii="宋体" w:hAnsi="宋体" w:eastAsia="宋体" w:cs="宋体"/>
          <w:b w:val="0"/>
          <w:bCs w:val="0"/>
          <w:color w:val="auto"/>
          <w:sz w:val="24"/>
          <w:szCs w:val="24"/>
          <w:highlight w:val="none"/>
        </w:rPr>
        <w:t xml:space="preserve">方据此统计污泥实际处置数量，并在江苏省危险废物动态管理系统备案。 </w:t>
      </w:r>
    </w:p>
    <w:p w14:paraId="029F3FA7">
      <w:pPr>
        <w:pStyle w:val="18"/>
        <w:keepNext w:val="0"/>
        <w:keepLines w:val="0"/>
        <w:pageBreakBefore w:val="0"/>
        <w:widowControl w:val="0"/>
        <w:kinsoku/>
        <w:wordWrap/>
        <w:overflowPunct/>
        <w:topLinePunct w:val="0"/>
        <w:autoSpaceDE/>
        <w:autoSpaceDN/>
        <w:bidi w:val="0"/>
        <w:adjustRightInd/>
        <w:snapToGrid w:val="0"/>
        <w:spacing w:line="384" w:lineRule="auto"/>
        <w:ind w:left="0" w:leftChars="0" w:right="1168"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 xml:space="preserve">、费用支付 </w:t>
      </w:r>
    </w:p>
    <w:p w14:paraId="224B2DEB">
      <w:pPr>
        <w:keepNext w:val="0"/>
        <w:keepLines w:val="0"/>
        <w:pageBreakBefore w:val="0"/>
        <w:kinsoku/>
        <w:wordWrap/>
        <w:overflowPunct/>
        <w:topLinePunct w:val="0"/>
        <w:bidi w:val="0"/>
        <w:snapToGrid w:val="0"/>
        <w:spacing w:line="384" w:lineRule="auto"/>
        <w:ind w:firstLine="472" w:firstLineChars="200"/>
        <w:textAlignment w:val="auto"/>
        <w:rPr>
          <w:rFonts w:hint="eastAsia" w:ascii="宋体" w:hAnsi="宋体" w:eastAsia="宋体" w:cs="宋体"/>
          <w:b w:val="0"/>
          <w:bCs w:val="0"/>
          <w:color w:val="auto"/>
          <w:spacing w:val="-2"/>
          <w:kern w:val="2"/>
          <w:sz w:val="24"/>
          <w:szCs w:val="24"/>
          <w:highlight w:val="none"/>
          <w:lang w:val="en-US" w:eastAsia="zh-CN" w:bidi="ar-SA"/>
        </w:rPr>
      </w:pPr>
      <w:r>
        <w:rPr>
          <w:rFonts w:hint="eastAsia" w:ascii="宋体" w:hAnsi="宋体" w:eastAsia="宋体" w:cs="宋体"/>
          <w:b w:val="0"/>
          <w:bCs w:val="0"/>
          <w:color w:val="auto"/>
          <w:spacing w:val="-2"/>
          <w:kern w:val="2"/>
          <w:sz w:val="24"/>
          <w:szCs w:val="24"/>
          <w:highlight w:val="none"/>
          <w:lang w:val="en-US" w:eastAsia="zh-CN" w:bidi="ar-SA"/>
        </w:rPr>
        <w:t>1.污泥处置与运输价格为固定单价</w:t>
      </w:r>
      <w:r>
        <w:rPr>
          <w:rFonts w:hint="eastAsia" w:ascii="宋体" w:hAnsi="宋体" w:eastAsia="宋体" w:cs="宋体"/>
          <w:b w:val="0"/>
          <w:bCs w:val="0"/>
          <w:color w:val="auto"/>
          <w:spacing w:val="-2"/>
          <w:kern w:val="2"/>
          <w:sz w:val="24"/>
          <w:szCs w:val="24"/>
          <w:highlight w:val="none"/>
          <w:u w:val="single"/>
          <w:lang w:val="en-US" w:eastAsia="zh-CN" w:bidi="ar-SA"/>
        </w:rPr>
        <w:t xml:space="preserve">    </w:t>
      </w:r>
      <w:r>
        <w:rPr>
          <w:rFonts w:hint="eastAsia" w:ascii="宋体" w:hAnsi="宋体" w:eastAsia="宋体" w:cs="宋体"/>
          <w:b w:val="0"/>
          <w:bCs w:val="0"/>
          <w:color w:val="auto"/>
          <w:spacing w:val="-2"/>
          <w:kern w:val="2"/>
          <w:sz w:val="24"/>
          <w:szCs w:val="24"/>
          <w:highlight w:val="none"/>
          <w:lang w:val="en-US" w:eastAsia="zh-CN" w:bidi="ar-SA"/>
        </w:rPr>
        <w:t xml:space="preserve">元／吨（含税价），按实计算，最终结算总价不得超过合同总价；其中乙方承担30元/吨运输费。 </w:t>
      </w:r>
    </w:p>
    <w:p w14:paraId="5D9ADD6A">
      <w:pPr>
        <w:keepNext w:val="0"/>
        <w:keepLines w:val="0"/>
        <w:pageBreakBefore w:val="0"/>
        <w:widowControl w:val="0"/>
        <w:kinsoku/>
        <w:wordWrap/>
        <w:overflowPunct/>
        <w:topLinePunct w:val="0"/>
        <w:autoSpaceDE/>
        <w:autoSpaceDN/>
        <w:bidi w:val="0"/>
        <w:adjustRightInd w:val="0"/>
        <w:snapToGrid w:val="0"/>
        <w:spacing w:line="384"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.支付方式：</w:t>
      </w:r>
      <w:r>
        <w:rPr>
          <w:rFonts w:hint="eastAsia" w:ascii="宋体" w:hAnsi="宋体" w:eastAsia="宋体" w:cs="宋体"/>
          <w:color w:val="auto"/>
          <w:sz w:val="24"/>
          <w:szCs w:val="24"/>
          <w:highlight w:val="none"/>
          <w:lang w:val="en-US" w:eastAsia="zh-CN"/>
        </w:rPr>
        <w:t>每季度支付一次，</w:t>
      </w:r>
      <w:r>
        <w:rPr>
          <w:rFonts w:hint="eastAsia" w:ascii="宋体" w:hAnsi="宋体" w:eastAsia="宋体" w:cs="宋体"/>
          <w:color w:val="auto"/>
          <w:sz w:val="24"/>
          <w:szCs w:val="24"/>
          <w:highlight w:val="none"/>
          <w:lang w:eastAsia="zh-CN"/>
        </w:rPr>
        <w:t>丙方</w:t>
      </w:r>
      <w:r>
        <w:rPr>
          <w:rFonts w:hint="eastAsia" w:ascii="宋体" w:hAnsi="宋体" w:eastAsia="宋体" w:cs="宋体"/>
          <w:color w:val="auto"/>
          <w:sz w:val="24"/>
          <w:szCs w:val="24"/>
          <w:highlight w:val="none"/>
          <w:lang w:val="en-US" w:eastAsia="zh-CN"/>
        </w:rPr>
        <w:t>每季度</w:t>
      </w:r>
      <w:r>
        <w:rPr>
          <w:rFonts w:hint="eastAsia" w:ascii="宋体" w:hAnsi="宋体" w:eastAsia="宋体" w:cs="宋体"/>
          <w:color w:val="auto"/>
          <w:sz w:val="24"/>
          <w:szCs w:val="24"/>
          <w:highlight w:val="none"/>
          <w:lang w:eastAsia="zh-CN"/>
        </w:rPr>
        <w:t>完成污泥处置后，提供经甲乙丙三方签字确认的污泥运输单</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甲方一次性支付污泥处置费用，</w:t>
      </w:r>
      <w:r>
        <w:rPr>
          <w:rFonts w:hint="eastAsia" w:ascii="宋体" w:hAnsi="宋体" w:eastAsia="宋体" w:cs="宋体"/>
          <w:color w:val="auto"/>
          <w:sz w:val="24"/>
          <w:szCs w:val="24"/>
          <w:highlight w:val="none"/>
          <w:lang w:val="zh-CN" w:eastAsia="zh-CN"/>
        </w:rPr>
        <w:t>付款前</w:t>
      </w:r>
      <w:r>
        <w:rPr>
          <w:rFonts w:hint="eastAsia" w:ascii="宋体" w:hAnsi="宋体" w:eastAsia="宋体" w:cs="宋体"/>
          <w:color w:val="auto"/>
          <w:sz w:val="24"/>
          <w:szCs w:val="24"/>
          <w:highlight w:val="none"/>
          <w:lang w:eastAsia="zh-CN"/>
        </w:rPr>
        <w:t>丙</w:t>
      </w:r>
      <w:r>
        <w:rPr>
          <w:rFonts w:hint="eastAsia" w:ascii="宋体" w:hAnsi="宋体" w:eastAsia="宋体" w:cs="宋体"/>
          <w:color w:val="auto"/>
          <w:sz w:val="24"/>
          <w:szCs w:val="24"/>
          <w:highlight w:val="none"/>
          <w:lang w:val="zh-CN" w:eastAsia="zh-CN"/>
        </w:rPr>
        <w:t>方需开具足额发票提交至甲方。</w:t>
      </w:r>
    </w:p>
    <w:p w14:paraId="52D51072">
      <w:pPr>
        <w:keepNext w:val="0"/>
        <w:keepLines w:val="0"/>
        <w:pageBreakBefore w:val="0"/>
        <w:widowControl w:val="0"/>
        <w:kinsoku/>
        <w:wordWrap/>
        <w:overflowPunct/>
        <w:topLinePunct w:val="0"/>
        <w:autoSpaceDE/>
        <w:autoSpaceDN/>
        <w:bidi w:val="0"/>
        <w:adjustRightInd w:val="0"/>
        <w:snapToGrid w:val="0"/>
        <w:spacing w:line="384"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.丙方依据污泥过磅单重量清单于次</w:t>
      </w:r>
      <w:r>
        <w:rPr>
          <w:rFonts w:hint="eastAsia" w:ascii="宋体" w:hAnsi="宋体" w:eastAsia="宋体" w:cs="宋体"/>
          <w:color w:val="auto"/>
          <w:sz w:val="24"/>
          <w:szCs w:val="24"/>
          <w:highlight w:val="none"/>
          <w:lang w:val="en-US" w:eastAsia="zh-CN"/>
        </w:rPr>
        <w:t>季度</w:t>
      </w:r>
      <w:r>
        <w:rPr>
          <w:rFonts w:hint="eastAsia" w:ascii="宋体" w:hAnsi="宋体" w:eastAsia="宋体" w:cs="宋体"/>
          <w:color w:val="auto"/>
          <w:sz w:val="24"/>
          <w:szCs w:val="24"/>
          <w:highlight w:val="none"/>
          <w:lang w:eastAsia="zh-CN"/>
        </w:rPr>
        <w:t xml:space="preserve">5日前开具污泥处置费增值税发票，与过磅单重量清单以及处置点签收单一并交给乙方，甲方及乙方将污泥处置费和运输费以电汇方式全额汇至丙方指定的账户。 </w:t>
      </w:r>
    </w:p>
    <w:p w14:paraId="2AC9787C">
      <w:pPr>
        <w:pStyle w:val="18"/>
        <w:keepNext w:val="0"/>
        <w:keepLines w:val="0"/>
        <w:pageBreakBefore w:val="0"/>
        <w:widowControl w:val="0"/>
        <w:kinsoku/>
        <w:wordWrap/>
        <w:overflowPunct/>
        <w:topLinePunct w:val="0"/>
        <w:autoSpaceDE/>
        <w:autoSpaceDN/>
        <w:bidi w:val="0"/>
        <w:adjustRightInd/>
        <w:snapToGrid w:val="0"/>
        <w:spacing w:before="0" w:line="384" w:lineRule="auto"/>
        <w:ind w:left="0" w:leftChars="0" w:right="163" w:firstLine="478" w:firstLineChars="200"/>
        <w:jc w:val="both"/>
        <w:textAlignment w:val="auto"/>
        <w:rPr>
          <w:rFonts w:hint="eastAsia" w:ascii="宋体" w:hAnsi="宋体" w:eastAsia="宋体" w:cs="宋体"/>
          <w:b/>
          <w:bCs/>
          <w:color w:val="auto"/>
          <w:spacing w:val="-1"/>
          <w:w w:val="100"/>
          <w:sz w:val="24"/>
          <w:szCs w:val="24"/>
          <w:highlight w:val="none"/>
        </w:rPr>
      </w:pPr>
      <w:r>
        <w:rPr>
          <w:rFonts w:hint="eastAsia" w:ascii="宋体" w:hAnsi="宋体" w:eastAsia="宋体" w:cs="宋体"/>
          <w:b/>
          <w:bCs/>
          <w:color w:val="auto"/>
          <w:spacing w:val="-1"/>
          <w:sz w:val="24"/>
          <w:szCs w:val="24"/>
          <w:highlight w:val="none"/>
          <w:lang w:val="en-US" w:eastAsia="zh-CN"/>
        </w:rPr>
        <w:t>八</w:t>
      </w:r>
      <w:r>
        <w:rPr>
          <w:rFonts w:hint="eastAsia" w:ascii="宋体" w:hAnsi="宋体" w:eastAsia="宋体" w:cs="宋体"/>
          <w:b/>
          <w:bCs/>
          <w:color w:val="auto"/>
          <w:spacing w:val="-1"/>
          <w:sz w:val="24"/>
          <w:szCs w:val="24"/>
          <w:highlight w:val="none"/>
        </w:rPr>
        <w:t>、违约责任</w:t>
      </w:r>
      <w:r>
        <w:rPr>
          <w:rFonts w:hint="eastAsia" w:ascii="宋体" w:hAnsi="宋体" w:eastAsia="宋体" w:cs="宋体"/>
          <w:b/>
          <w:bCs/>
          <w:color w:val="auto"/>
          <w:spacing w:val="-1"/>
          <w:w w:val="100"/>
          <w:sz w:val="24"/>
          <w:szCs w:val="24"/>
          <w:highlight w:val="none"/>
        </w:rPr>
        <w:t xml:space="preserve"> </w:t>
      </w:r>
    </w:p>
    <w:p w14:paraId="067A2839">
      <w:pPr>
        <w:pStyle w:val="18"/>
        <w:keepNext w:val="0"/>
        <w:keepLines w:val="0"/>
        <w:pageBreakBefore w:val="0"/>
        <w:widowControl w:val="0"/>
        <w:kinsoku/>
        <w:wordWrap/>
        <w:overflowPunct/>
        <w:topLinePunct w:val="0"/>
        <w:autoSpaceDE/>
        <w:autoSpaceDN/>
        <w:bidi w:val="0"/>
        <w:adjustRightInd/>
        <w:snapToGrid w:val="0"/>
        <w:spacing w:before="0" w:line="384" w:lineRule="auto"/>
        <w:ind w:left="0" w:leftChars="0" w:right="163" w:firstLine="476" w:firstLineChars="200"/>
        <w:jc w:val="both"/>
        <w:textAlignment w:val="auto"/>
        <w:rPr>
          <w:rFonts w:hint="eastAsia" w:ascii="宋体" w:hAnsi="宋体" w:eastAsia="宋体" w:cs="宋体"/>
          <w:b w:val="0"/>
          <w:bCs w:val="0"/>
          <w:color w:val="auto"/>
          <w:spacing w:val="-1"/>
          <w:sz w:val="24"/>
          <w:szCs w:val="24"/>
          <w:highlight w:val="none"/>
        </w:rPr>
      </w:pPr>
      <w:r>
        <w:rPr>
          <w:rFonts w:hint="eastAsia" w:ascii="宋体" w:hAnsi="宋体" w:eastAsia="宋体" w:cs="宋体"/>
          <w:b w:val="0"/>
          <w:bCs w:val="0"/>
          <w:color w:val="auto"/>
          <w:spacing w:val="-1"/>
          <w:sz w:val="24"/>
          <w:szCs w:val="24"/>
          <w:highlight w:val="none"/>
        </w:rPr>
        <w:t>1</w:t>
      </w:r>
      <w:r>
        <w:rPr>
          <w:rFonts w:hint="eastAsia" w:ascii="宋体" w:hAnsi="宋体" w:eastAsia="宋体" w:cs="宋体"/>
          <w:b w:val="0"/>
          <w:bCs w:val="0"/>
          <w:color w:val="auto"/>
          <w:spacing w:val="-1"/>
          <w:sz w:val="24"/>
          <w:szCs w:val="24"/>
          <w:highlight w:val="none"/>
          <w:lang w:val="en-US" w:eastAsia="zh-CN"/>
        </w:rPr>
        <w:t>.三</w:t>
      </w:r>
      <w:r>
        <w:rPr>
          <w:rFonts w:hint="eastAsia" w:ascii="宋体" w:hAnsi="宋体" w:eastAsia="宋体" w:cs="宋体"/>
          <w:b w:val="0"/>
          <w:bCs w:val="0"/>
          <w:color w:val="auto"/>
          <w:spacing w:val="-1"/>
          <w:sz w:val="24"/>
          <w:szCs w:val="24"/>
          <w:highlight w:val="none"/>
        </w:rPr>
        <w:t xml:space="preserve">方中一方违反本协议的规定，未违约方有权要求违约方停止并纠正违约行为，如造成未违约方经济以及其它方面损失的，违约方应予以全额赔偿。未违约方并得以书面通知违约方终止本协议： </w:t>
      </w:r>
    </w:p>
    <w:p w14:paraId="68CA4B0E">
      <w:pPr>
        <w:pStyle w:val="18"/>
        <w:keepNext w:val="0"/>
        <w:keepLines w:val="0"/>
        <w:pageBreakBefore w:val="0"/>
        <w:widowControl w:val="0"/>
        <w:kinsoku/>
        <w:wordWrap/>
        <w:overflowPunct/>
        <w:topLinePunct w:val="0"/>
        <w:autoSpaceDE/>
        <w:autoSpaceDN/>
        <w:bidi w:val="0"/>
        <w:adjustRightInd/>
        <w:snapToGrid w:val="0"/>
        <w:spacing w:before="0" w:line="384" w:lineRule="auto"/>
        <w:ind w:left="0" w:leftChars="0" w:right="163" w:firstLine="476" w:firstLineChars="200"/>
        <w:jc w:val="both"/>
        <w:textAlignment w:val="auto"/>
        <w:rPr>
          <w:rFonts w:hint="eastAsia" w:ascii="宋体" w:hAnsi="宋体" w:eastAsia="宋体" w:cs="宋体"/>
          <w:b w:val="0"/>
          <w:bCs w:val="0"/>
          <w:color w:val="auto"/>
          <w:spacing w:val="-1"/>
          <w:sz w:val="24"/>
          <w:szCs w:val="24"/>
          <w:highlight w:val="none"/>
        </w:rPr>
      </w:pPr>
      <w:r>
        <w:rPr>
          <w:rFonts w:hint="eastAsia" w:ascii="宋体" w:hAnsi="宋体" w:eastAsia="宋体" w:cs="宋体"/>
          <w:b w:val="0"/>
          <w:bCs w:val="0"/>
          <w:color w:val="auto"/>
          <w:spacing w:val="-1"/>
          <w:sz w:val="24"/>
          <w:szCs w:val="24"/>
          <w:highlight w:val="none"/>
        </w:rPr>
        <w:t>2</w:t>
      </w:r>
      <w:r>
        <w:rPr>
          <w:rFonts w:hint="eastAsia" w:ascii="宋体" w:hAnsi="宋体" w:eastAsia="宋体" w:cs="宋体"/>
          <w:b w:val="0"/>
          <w:bCs w:val="0"/>
          <w:color w:val="auto"/>
          <w:spacing w:val="-1"/>
          <w:sz w:val="24"/>
          <w:szCs w:val="24"/>
          <w:highlight w:val="none"/>
          <w:lang w:val="en-US" w:eastAsia="zh-CN"/>
        </w:rPr>
        <w:t>.三</w:t>
      </w:r>
      <w:r>
        <w:rPr>
          <w:rFonts w:hint="eastAsia" w:ascii="宋体" w:hAnsi="宋体" w:eastAsia="宋体" w:cs="宋体"/>
          <w:b w:val="0"/>
          <w:bCs w:val="0"/>
          <w:color w:val="auto"/>
          <w:spacing w:val="-1"/>
          <w:sz w:val="24"/>
          <w:szCs w:val="24"/>
          <w:highlight w:val="none"/>
        </w:rPr>
        <w:t>方中一方无正当理由撤销或者解除协议，造成另一方损失的，应赔偿由此造成的实际损失。</w:t>
      </w:r>
    </w:p>
    <w:p w14:paraId="2694DB9C">
      <w:pPr>
        <w:pStyle w:val="18"/>
        <w:keepNext w:val="0"/>
        <w:keepLines w:val="0"/>
        <w:pageBreakBefore w:val="0"/>
        <w:widowControl w:val="0"/>
        <w:kinsoku/>
        <w:wordWrap/>
        <w:overflowPunct/>
        <w:topLinePunct w:val="0"/>
        <w:autoSpaceDE/>
        <w:autoSpaceDN/>
        <w:bidi w:val="0"/>
        <w:adjustRightInd/>
        <w:snapToGrid w:val="0"/>
        <w:spacing w:before="0" w:line="384" w:lineRule="auto"/>
        <w:ind w:left="0" w:leftChars="0" w:right="163" w:firstLine="476" w:firstLineChars="200"/>
        <w:jc w:val="both"/>
        <w:textAlignment w:val="auto"/>
        <w:rPr>
          <w:rFonts w:hint="eastAsia" w:ascii="宋体" w:hAnsi="宋体" w:eastAsia="宋体" w:cs="宋体"/>
          <w:b w:val="0"/>
          <w:bCs w:val="0"/>
          <w:color w:val="auto"/>
          <w:spacing w:val="-1"/>
          <w:sz w:val="24"/>
          <w:szCs w:val="24"/>
          <w:highlight w:val="none"/>
        </w:rPr>
      </w:pPr>
      <w:r>
        <w:rPr>
          <w:rFonts w:hint="eastAsia" w:ascii="宋体" w:hAnsi="宋体" w:eastAsia="宋体" w:cs="宋体"/>
          <w:b w:val="0"/>
          <w:bCs w:val="0"/>
          <w:color w:val="auto"/>
          <w:spacing w:val="-1"/>
          <w:sz w:val="24"/>
          <w:szCs w:val="24"/>
          <w:highlight w:val="none"/>
        </w:rPr>
        <w:t>3</w:t>
      </w:r>
      <w:r>
        <w:rPr>
          <w:rFonts w:hint="eastAsia" w:ascii="宋体" w:hAnsi="宋体" w:eastAsia="宋体" w:cs="宋体"/>
          <w:b w:val="0"/>
          <w:bCs w:val="0"/>
          <w:color w:val="auto"/>
          <w:spacing w:val="-1"/>
          <w:sz w:val="24"/>
          <w:szCs w:val="24"/>
          <w:highlight w:val="none"/>
          <w:lang w:val="en-US" w:eastAsia="zh-CN"/>
        </w:rPr>
        <w:t>.三</w:t>
      </w:r>
      <w:r>
        <w:rPr>
          <w:rFonts w:hint="eastAsia" w:ascii="宋体" w:hAnsi="宋体" w:eastAsia="宋体" w:cs="宋体"/>
          <w:b w:val="0"/>
          <w:bCs w:val="0"/>
          <w:color w:val="auto"/>
          <w:spacing w:val="-1"/>
          <w:sz w:val="24"/>
          <w:szCs w:val="24"/>
          <w:highlight w:val="none"/>
        </w:rPr>
        <w:t>方若因经营不善，受环境保护行政主管部门命令停业、宣告破产，或因其它原因无法处理</w:t>
      </w:r>
      <w:r>
        <w:rPr>
          <w:rFonts w:hint="eastAsia" w:ascii="宋体" w:hAnsi="宋体" w:eastAsia="宋体" w:cs="宋体"/>
          <w:b w:val="0"/>
          <w:bCs w:val="0"/>
          <w:color w:val="auto"/>
          <w:spacing w:val="-1"/>
          <w:sz w:val="24"/>
          <w:szCs w:val="24"/>
          <w:highlight w:val="none"/>
          <w:lang w:val="en-US" w:eastAsia="zh-CN"/>
        </w:rPr>
        <w:t>乙</w:t>
      </w:r>
      <w:r>
        <w:rPr>
          <w:rFonts w:hint="eastAsia" w:ascii="宋体" w:hAnsi="宋体" w:eastAsia="宋体" w:cs="宋体"/>
          <w:b w:val="0"/>
          <w:bCs w:val="0"/>
          <w:color w:val="auto"/>
          <w:spacing w:val="-1"/>
          <w:sz w:val="24"/>
          <w:szCs w:val="24"/>
          <w:highlight w:val="none"/>
        </w:rPr>
        <w:t>方之废弃物时，</w:t>
      </w:r>
      <w:r>
        <w:rPr>
          <w:rFonts w:hint="eastAsia" w:ascii="宋体" w:hAnsi="宋体" w:eastAsia="宋体" w:cs="宋体"/>
          <w:b w:val="0"/>
          <w:bCs w:val="0"/>
          <w:color w:val="auto"/>
          <w:spacing w:val="-1"/>
          <w:kern w:val="0"/>
          <w:sz w:val="24"/>
          <w:szCs w:val="24"/>
          <w:highlight w:val="none"/>
          <w:lang w:val="en-US" w:eastAsia="zh-CN"/>
        </w:rPr>
        <w:t>丙</w:t>
      </w:r>
      <w:r>
        <w:rPr>
          <w:rFonts w:hint="eastAsia" w:ascii="宋体" w:hAnsi="宋体" w:eastAsia="宋体" w:cs="宋体"/>
          <w:b w:val="0"/>
          <w:bCs w:val="0"/>
          <w:color w:val="auto"/>
          <w:spacing w:val="-1"/>
          <w:sz w:val="24"/>
          <w:szCs w:val="24"/>
          <w:highlight w:val="none"/>
        </w:rPr>
        <w:t>方应提前5天以书面方式通知</w:t>
      </w:r>
      <w:r>
        <w:rPr>
          <w:rFonts w:hint="eastAsia" w:ascii="宋体" w:hAnsi="宋体" w:eastAsia="宋体" w:cs="宋体"/>
          <w:b w:val="0"/>
          <w:bCs w:val="0"/>
          <w:color w:val="auto"/>
          <w:spacing w:val="-1"/>
          <w:sz w:val="24"/>
          <w:szCs w:val="24"/>
          <w:highlight w:val="none"/>
          <w:lang w:val="en-US" w:eastAsia="zh-CN"/>
        </w:rPr>
        <w:t>甲乙双</w:t>
      </w:r>
      <w:r>
        <w:rPr>
          <w:rFonts w:hint="eastAsia" w:ascii="宋体" w:hAnsi="宋体" w:eastAsia="宋体" w:cs="宋体"/>
          <w:b w:val="0"/>
          <w:bCs w:val="0"/>
          <w:color w:val="auto"/>
          <w:spacing w:val="-1"/>
          <w:sz w:val="24"/>
          <w:szCs w:val="24"/>
          <w:highlight w:val="none"/>
        </w:rPr>
        <w:t>方</w:t>
      </w:r>
      <w:r>
        <w:rPr>
          <w:rFonts w:hint="eastAsia" w:ascii="宋体" w:hAnsi="宋体" w:eastAsia="宋体" w:cs="宋体"/>
          <w:b w:val="0"/>
          <w:bCs w:val="0"/>
          <w:color w:val="auto"/>
          <w:spacing w:val="-1"/>
          <w:sz w:val="24"/>
          <w:szCs w:val="24"/>
          <w:highlight w:val="none"/>
          <w:lang w:eastAsia="zh-CN"/>
        </w:rPr>
        <w:t>，</w:t>
      </w:r>
      <w:r>
        <w:rPr>
          <w:rFonts w:hint="eastAsia" w:ascii="宋体" w:hAnsi="宋体" w:eastAsia="宋体" w:cs="宋体"/>
          <w:b w:val="0"/>
          <w:bCs w:val="0"/>
          <w:color w:val="auto"/>
          <w:spacing w:val="-1"/>
          <w:sz w:val="24"/>
          <w:szCs w:val="24"/>
          <w:highlight w:val="none"/>
          <w:lang w:val="en-US" w:eastAsia="zh-CN"/>
        </w:rPr>
        <w:t>甲乙双方有权单方面解除合同</w:t>
      </w:r>
      <w:r>
        <w:rPr>
          <w:rFonts w:hint="eastAsia" w:ascii="宋体" w:hAnsi="宋体" w:eastAsia="宋体" w:cs="宋体"/>
          <w:b w:val="0"/>
          <w:bCs w:val="0"/>
          <w:color w:val="auto"/>
          <w:spacing w:val="-1"/>
          <w:sz w:val="24"/>
          <w:szCs w:val="24"/>
          <w:highlight w:val="none"/>
        </w:rPr>
        <w:t xml:space="preserve">。 </w:t>
      </w:r>
    </w:p>
    <w:p w14:paraId="473471DB">
      <w:pPr>
        <w:pStyle w:val="18"/>
        <w:keepNext w:val="0"/>
        <w:keepLines w:val="0"/>
        <w:pageBreakBefore w:val="0"/>
        <w:widowControl w:val="0"/>
        <w:kinsoku/>
        <w:wordWrap/>
        <w:overflowPunct/>
        <w:topLinePunct w:val="0"/>
        <w:autoSpaceDE/>
        <w:autoSpaceDN/>
        <w:bidi w:val="0"/>
        <w:adjustRightInd/>
        <w:snapToGrid w:val="0"/>
        <w:spacing w:before="0" w:line="384" w:lineRule="auto"/>
        <w:ind w:left="0" w:leftChars="0" w:right="163" w:firstLine="476" w:firstLineChars="200"/>
        <w:jc w:val="both"/>
        <w:textAlignment w:val="auto"/>
        <w:rPr>
          <w:rFonts w:hint="eastAsia" w:ascii="宋体" w:hAnsi="宋体" w:eastAsia="宋体" w:cs="宋体"/>
          <w:b w:val="0"/>
          <w:bCs w:val="0"/>
          <w:color w:val="auto"/>
          <w:spacing w:val="-1"/>
          <w:sz w:val="24"/>
          <w:szCs w:val="24"/>
          <w:highlight w:val="none"/>
        </w:rPr>
      </w:pPr>
      <w:r>
        <w:rPr>
          <w:rFonts w:hint="eastAsia" w:ascii="宋体" w:hAnsi="宋体" w:eastAsia="宋体" w:cs="宋体"/>
          <w:b w:val="0"/>
          <w:bCs w:val="0"/>
          <w:color w:val="auto"/>
          <w:spacing w:val="-1"/>
          <w:sz w:val="24"/>
          <w:szCs w:val="24"/>
          <w:highlight w:val="none"/>
        </w:rPr>
        <w:t>4</w:t>
      </w:r>
      <w:r>
        <w:rPr>
          <w:rFonts w:hint="eastAsia" w:ascii="宋体" w:hAnsi="宋体" w:eastAsia="宋体" w:cs="宋体"/>
          <w:b w:val="0"/>
          <w:bCs w:val="0"/>
          <w:color w:val="auto"/>
          <w:spacing w:val="-1"/>
          <w:sz w:val="24"/>
          <w:szCs w:val="24"/>
          <w:highlight w:val="none"/>
          <w:lang w:val="en-US" w:eastAsia="zh-CN"/>
        </w:rPr>
        <w:t>.</w:t>
      </w:r>
      <w:r>
        <w:rPr>
          <w:rFonts w:hint="eastAsia" w:ascii="宋体" w:hAnsi="宋体" w:eastAsia="宋体" w:cs="宋体"/>
          <w:b w:val="0"/>
          <w:bCs w:val="0"/>
          <w:color w:val="auto"/>
          <w:spacing w:val="-1"/>
          <w:sz w:val="24"/>
          <w:szCs w:val="24"/>
          <w:highlight w:val="none"/>
        </w:rPr>
        <w:t xml:space="preserve">因违约方违约导致本协议解除的，违约方需向守约方支付已发生污泥处置费与运输费总和20%的违约金。 </w:t>
      </w:r>
    </w:p>
    <w:p w14:paraId="4AD4CA1E">
      <w:pPr>
        <w:pStyle w:val="18"/>
        <w:keepNext w:val="0"/>
        <w:keepLines w:val="0"/>
        <w:pageBreakBefore w:val="0"/>
        <w:widowControl w:val="0"/>
        <w:kinsoku/>
        <w:wordWrap/>
        <w:overflowPunct/>
        <w:topLinePunct w:val="0"/>
        <w:autoSpaceDE/>
        <w:autoSpaceDN/>
        <w:bidi w:val="0"/>
        <w:adjustRightInd/>
        <w:snapToGrid w:val="0"/>
        <w:spacing w:before="0" w:line="384" w:lineRule="auto"/>
        <w:ind w:left="0" w:leftChars="0" w:right="163" w:firstLine="478" w:firstLineChars="200"/>
        <w:jc w:val="both"/>
        <w:textAlignment w:val="auto"/>
        <w:rPr>
          <w:rFonts w:hint="eastAsia" w:ascii="宋体" w:hAnsi="宋体" w:eastAsia="宋体" w:cs="宋体"/>
          <w:b/>
          <w:bCs/>
          <w:color w:val="auto"/>
          <w:spacing w:val="-1"/>
          <w:w w:val="100"/>
          <w:sz w:val="24"/>
          <w:szCs w:val="24"/>
          <w:highlight w:val="none"/>
        </w:rPr>
      </w:pPr>
      <w:r>
        <w:rPr>
          <w:rFonts w:hint="eastAsia" w:ascii="宋体" w:hAnsi="宋体" w:eastAsia="宋体" w:cs="宋体"/>
          <w:b/>
          <w:bCs/>
          <w:color w:val="auto"/>
          <w:spacing w:val="-1"/>
          <w:sz w:val="24"/>
          <w:szCs w:val="24"/>
          <w:highlight w:val="none"/>
          <w:lang w:val="en-US" w:eastAsia="zh-CN"/>
        </w:rPr>
        <w:t>九</w:t>
      </w:r>
      <w:r>
        <w:rPr>
          <w:rFonts w:hint="eastAsia" w:ascii="宋体" w:hAnsi="宋体" w:eastAsia="宋体" w:cs="宋体"/>
          <w:b/>
          <w:bCs/>
          <w:color w:val="auto"/>
          <w:spacing w:val="-1"/>
          <w:sz w:val="24"/>
          <w:szCs w:val="24"/>
          <w:highlight w:val="none"/>
        </w:rPr>
        <w:t>、不可抗力</w:t>
      </w:r>
      <w:r>
        <w:rPr>
          <w:rFonts w:hint="eastAsia" w:ascii="宋体" w:hAnsi="宋体" w:eastAsia="宋体" w:cs="宋体"/>
          <w:b/>
          <w:bCs/>
          <w:color w:val="auto"/>
          <w:spacing w:val="-1"/>
          <w:w w:val="100"/>
          <w:sz w:val="24"/>
          <w:szCs w:val="24"/>
          <w:highlight w:val="none"/>
        </w:rPr>
        <w:t xml:space="preserve"> </w:t>
      </w:r>
    </w:p>
    <w:p w14:paraId="35120C03">
      <w:pPr>
        <w:pStyle w:val="18"/>
        <w:keepNext w:val="0"/>
        <w:keepLines w:val="0"/>
        <w:pageBreakBefore w:val="0"/>
        <w:widowControl w:val="0"/>
        <w:kinsoku/>
        <w:wordWrap/>
        <w:overflowPunct/>
        <w:topLinePunct w:val="0"/>
        <w:autoSpaceDE/>
        <w:autoSpaceDN/>
        <w:bidi w:val="0"/>
        <w:adjustRightInd/>
        <w:snapToGrid w:val="0"/>
        <w:spacing w:before="0" w:line="384" w:lineRule="auto"/>
        <w:ind w:left="0" w:leftChars="0" w:right="163" w:firstLine="476" w:firstLineChars="200"/>
        <w:jc w:val="both"/>
        <w:textAlignment w:val="auto"/>
        <w:rPr>
          <w:rFonts w:hint="eastAsia" w:ascii="宋体" w:hAnsi="宋体" w:eastAsia="宋体" w:cs="宋体"/>
          <w:b w:val="0"/>
          <w:bCs w:val="0"/>
          <w:color w:val="auto"/>
          <w:spacing w:val="-1"/>
          <w:sz w:val="24"/>
          <w:szCs w:val="24"/>
          <w:highlight w:val="none"/>
        </w:rPr>
      </w:pPr>
      <w:r>
        <w:rPr>
          <w:rFonts w:hint="eastAsia" w:ascii="宋体" w:hAnsi="宋体" w:eastAsia="宋体" w:cs="宋体"/>
          <w:b w:val="0"/>
          <w:bCs w:val="0"/>
          <w:color w:val="auto"/>
          <w:spacing w:val="-1"/>
          <w:sz w:val="24"/>
          <w:szCs w:val="24"/>
          <w:highlight w:val="none"/>
        </w:rPr>
        <w:t>本协议所指“不可抗力事件</w:t>
      </w:r>
      <w:r>
        <w:rPr>
          <w:rFonts w:hint="eastAsia" w:ascii="宋体" w:hAnsi="宋体" w:eastAsia="宋体" w:cs="宋体"/>
          <w:b w:val="0"/>
          <w:bCs w:val="0"/>
          <w:color w:val="auto"/>
          <w:spacing w:val="-1"/>
          <w:sz w:val="24"/>
          <w:szCs w:val="24"/>
          <w:highlight w:val="none"/>
          <w:lang w:eastAsia="zh-CN"/>
        </w:rPr>
        <w:t>”</w:t>
      </w:r>
      <w:r>
        <w:rPr>
          <w:rFonts w:hint="eastAsia" w:ascii="宋体" w:hAnsi="宋体" w:eastAsia="宋体" w:cs="宋体"/>
          <w:b w:val="0"/>
          <w:bCs w:val="0"/>
          <w:color w:val="auto"/>
          <w:spacing w:val="-1"/>
          <w:sz w:val="24"/>
          <w:szCs w:val="24"/>
          <w:highlight w:val="none"/>
        </w:rPr>
        <w:t>是指本协议签署之后出现的，妨碍任何一方履行或部分履行本协议的所有事件，而且该事件是本协议不能合理的控制、无法预料，或即使可以预料也无法合理避免和克服的战争和自然灾害等事件或项目设施或其他部分被政府征用事件。发生不可抗力事件时，各方应</w:t>
      </w:r>
      <w:r>
        <w:rPr>
          <w:rFonts w:hint="eastAsia" w:ascii="宋体" w:hAnsi="宋体" w:eastAsia="宋体" w:cs="宋体"/>
          <w:b w:val="0"/>
          <w:bCs w:val="0"/>
          <w:color w:val="auto"/>
          <w:spacing w:val="-1"/>
          <w:sz w:val="24"/>
          <w:szCs w:val="24"/>
          <w:highlight w:val="none"/>
          <w:lang w:val="en-US" w:eastAsia="zh-CN"/>
        </w:rPr>
        <w:t>自行</w:t>
      </w:r>
      <w:r>
        <w:rPr>
          <w:rFonts w:hint="eastAsia" w:ascii="宋体" w:hAnsi="宋体" w:eastAsia="宋体" w:cs="宋体"/>
          <w:b w:val="0"/>
          <w:bCs w:val="0"/>
          <w:color w:val="auto"/>
          <w:spacing w:val="-1"/>
          <w:sz w:val="24"/>
          <w:szCs w:val="24"/>
          <w:highlight w:val="none"/>
        </w:rPr>
        <w:t xml:space="preserve">承担由于不可抗力事件的发生对自身造成的损失。 </w:t>
      </w:r>
    </w:p>
    <w:p w14:paraId="4287B94C">
      <w:pPr>
        <w:pStyle w:val="18"/>
        <w:keepNext w:val="0"/>
        <w:keepLines w:val="0"/>
        <w:pageBreakBefore w:val="0"/>
        <w:widowControl w:val="0"/>
        <w:kinsoku/>
        <w:wordWrap/>
        <w:overflowPunct/>
        <w:topLinePunct w:val="0"/>
        <w:autoSpaceDE/>
        <w:autoSpaceDN/>
        <w:bidi w:val="0"/>
        <w:adjustRightInd/>
        <w:snapToGrid w:val="0"/>
        <w:spacing w:before="0" w:line="384" w:lineRule="auto"/>
        <w:ind w:left="0" w:leftChars="0" w:right="163" w:firstLine="478" w:firstLineChars="200"/>
        <w:jc w:val="both"/>
        <w:textAlignment w:val="auto"/>
        <w:rPr>
          <w:rFonts w:hint="eastAsia" w:ascii="宋体" w:hAnsi="宋体" w:eastAsia="宋体" w:cs="宋体"/>
          <w:b/>
          <w:bCs/>
          <w:color w:val="auto"/>
          <w:spacing w:val="-1"/>
          <w:sz w:val="24"/>
          <w:szCs w:val="24"/>
          <w:highlight w:val="none"/>
          <w:lang w:val="zh-CN" w:eastAsia="zh-CN"/>
        </w:rPr>
      </w:pPr>
      <w:r>
        <w:rPr>
          <w:rFonts w:hint="eastAsia" w:ascii="宋体" w:hAnsi="宋体" w:eastAsia="宋体" w:cs="宋体"/>
          <w:b/>
          <w:bCs/>
          <w:color w:val="auto"/>
          <w:spacing w:val="-1"/>
          <w:sz w:val="24"/>
          <w:szCs w:val="24"/>
          <w:highlight w:val="none"/>
          <w:lang w:val="en-US" w:eastAsia="zh-CN"/>
        </w:rPr>
        <w:t>十</w:t>
      </w:r>
      <w:r>
        <w:rPr>
          <w:rFonts w:hint="eastAsia" w:ascii="宋体" w:hAnsi="宋体" w:eastAsia="宋体" w:cs="宋体"/>
          <w:b/>
          <w:bCs/>
          <w:color w:val="auto"/>
          <w:spacing w:val="-1"/>
          <w:sz w:val="24"/>
          <w:szCs w:val="24"/>
          <w:highlight w:val="none"/>
          <w:lang w:val="zh-CN" w:eastAsia="zh-CN"/>
        </w:rPr>
        <w:t>、争议的解决办法</w:t>
      </w:r>
    </w:p>
    <w:p w14:paraId="68D00F67">
      <w:pPr>
        <w:pStyle w:val="18"/>
        <w:keepNext w:val="0"/>
        <w:keepLines w:val="0"/>
        <w:pageBreakBefore w:val="0"/>
        <w:widowControl w:val="0"/>
        <w:kinsoku/>
        <w:wordWrap/>
        <w:overflowPunct/>
        <w:topLinePunct w:val="0"/>
        <w:autoSpaceDE/>
        <w:autoSpaceDN/>
        <w:bidi w:val="0"/>
        <w:adjustRightInd/>
        <w:snapToGrid w:val="0"/>
        <w:spacing w:before="0" w:line="384" w:lineRule="auto"/>
        <w:ind w:left="0" w:leftChars="0" w:right="163" w:firstLine="476" w:firstLineChars="200"/>
        <w:jc w:val="both"/>
        <w:textAlignment w:val="auto"/>
        <w:rPr>
          <w:rFonts w:hint="eastAsia" w:ascii="宋体" w:hAnsi="宋体" w:eastAsia="宋体" w:cs="宋体"/>
          <w:b w:val="0"/>
          <w:bCs w:val="0"/>
          <w:color w:val="auto"/>
          <w:spacing w:val="-1"/>
          <w:sz w:val="24"/>
          <w:szCs w:val="24"/>
          <w:highlight w:val="none"/>
          <w:lang w:val="zh-CN" w:eastAsia="zh-CN"/>
        </w:rPr>
      </w:pPr>
      <w:r>
        <w:rPr>
          <w:rFonts w:hint="eastAsia" w:ascii="宋体" w:hAnsi="宋体" w:eastAsia="宋体" w:cs="宋体"/>
          <w:b w:val="0"/>
          <w:bCs w:val="0"/>
          <w:color w:val="auto"/>
          <w:spacing w:val="-1"/>
          <w:sz w:val="24"/>
          <w:szCs w:val="24"/>
          <w:highlight w:val="none"/>
          <w:lang w:val="zh-CN" w:eastAsia="zh-CN"/>
        </w:rPr>
        <w:t>1</w:t>
      </w:r>
      <w:r>
        <w:rPr>
          <w:rFonts w:hint="eastAsia" w:ascii="宋体" w:hAnsi="宋体" w:eastAsia="宋体" w:cs="宋体"/>
          <w:b w:val="0"/>
          <w:bCs w:val="0"/>
          <w:color w:val="auto"/>
          <w:spacing w:val="-1"/>
          <w:sz w:val="24"/>
          <w:szCs w:val="24"/>
          <w:highlight w:val="none"/>
          <w:lang w:val="en-US" w:eastAsia="zh-CN"/>
        </w:rPr>
        <w:t>.</w:t>
      </w:r>
      <w:r>
        <w:rPr>
          <w:rFonts w:hint="eastAsia" w:ascii="宋体" w:hAnsi="宋体" w:eastAsia="宋体" w:cs="宋体"/>
          <w:b w:val="0"/>
          <w:bCs w:val="0"/>
          <w:color w:val="auto"/>
          <w:spacing w:val="-1"/>
          <w:sz w:val="24"/>
          <w:szCs w:val="24"/>
          <w:highlight w:val="none"/>
          <w:lang w:val="zh-CN" w:eastAsia="zh-CN"/>
        </w:rPr>
        <w:t>因履行本合同引起的或与本合同有关的争议，甲、乙、</w:t>
      </w:r>
      <w:r>
        <w:rPr>
          <w:rFonts w:hint="eastAsia" w:ascii="宋体" w:hAnsi="宋体" w:eastAsia="宋体" w:cs="宋体"/>
          <w:b w:val="0"/>
          <w:bCs w:val="0"/>
          <w:color w:val="auto"/>
          <w:spacing w:val="-1"/>
          <w:sz w:val="24"/>
          <w:szCs w:val="24"/>
          <w:highlight w:val="none"/>
          <w:lang w:val="en-US" w:eastAsia="zh-CN"/>
        </w:rPr>
        <w:t>丙三</w:t>
      </w:r>
      <w:r>
        <w:rPr>
          <w:rFonts w:hint="eastAsia" w:ascii="宋体" w:hAnsi="宋体" w:eastAsia="宋体" w:cs="宋体"/>
          <w:b w:val="0"/>
          <w:bCs w:val="0"/>
          <w:color w:val="auto"/>
          <w:spacing w:val="-1"/>
          <w:sz w:val="24"/>
          <w:szCs w:val="24"/>
          <w:highlight w:val="none"/>
          <w:lang w:val="zh-CN" w:eastAsia="zh-CN"/>
        </w:rPr>
        <w:t>方应首先通过友好协商解决，如果协商不能解决争议，则采取以下第（1）种方式解决争议：</w:t>
      </w:r>
    </w:p>
    <w:p w14:paraId="63457ADD">
      <w:pPr>
        <w:pStyle w:val="18"/>
        <w:keepNext w:val="0"/>
        <w:keepLines w:val="0"/>
        <w:pageBreakBefore w:val="0"/>
        <w:widowControl w:val="0"/>
        <w:kinsoku/>
        <w:wordWrap/>
        <w:overflowPunct/>
        <w:topLinePunct w:val="0"/>
        <w:autoSpaceDE/>
        <w:autoSpaceDN/>
        <w:bidi w:val="0"/>
        <w:adjustRightInd/>
        <w:snapToGrid w:val="0"/>
        <w:spacing w:before="0" w:line="384" w:lineRule="auto"/>
        <w:ind w:left="0" w:leftChars="0" w:right="163" w:firstLine="476" w:firstLineChars="200"/>
        <w:jc w:val="both"/>
        <w:textAlignment w:val="auto"/>
        <w:rPr>
          <w:rFonts w:hint="eastAsia" w:ascii="宋体" w:hAnsi="宋体" w:eastAsia="宋体" w:cs="宋体"/>
          <w:b w:val="0"/>
          <w:bCs w:val="0"/>
          <w:color w:val="auto"/>
          <w:spacing w:val="-1"/>
          <w:sz w:val="24"/>
          <w:szCs w:val="24"/>
          <w:highlight w:val="none"/>
          <w:lang w:val="zh-CN" w:eastAsia="zh-CN"/>
        </w:rPr>
      </w:pPr>
      <w:r>
        <w:rPr>
          <w:rFonts w:hint="eastAsia" w:ascii="宋体" w:hAnsi="宋体" w:eastAsia="宋体" w:cs="宋体"/>
          <w:b w:val="0"/>
          <w:bCs w:val="0"/>
          <w:color w:val="auto"/>
          <w:spacing w:val="-1"/>
          <w:sz w:val="24"/>
          <w:szCs w:val="24"/>
          <w:highlight w:val="none"/>
          <w:lang w:val="zh-CN" w:eastAsia="zh-CN"/>
        </w:rPr>
        <w:t>（1）向</w:t>
      </w:r>
      <w:r>
        <w:rPr>
          <w:rFonts w:hint="eastAsia" w:ascii="宋体" w:hAnsi="宋体" w:eastAsia="宋体" w:cs="宋体"/>
          <w:b w:val="0"/>
          <w:bCs w:val="0"/>
          <w:color w:val="auto"/>
          <w:spacing w:val="-1"/>
          <w:sz w:val="24"/>
          <w:szCs w:val="24"/>
          <w:highlight w:val="none"/>
          <w:lang w:val="en-US" w:eastAsia="zh-CN"/>
        </w:rPr>
        <w:t>浦口区</w:t>
      </w:r>
      <w:r>
        <w:rPr>
          <w:rFonts w:hint="eastAsia" w:ascii="宋体" w:hAnsi="宋体" w:eastAsia="宋体" w:cs="宋体"/>
          <w:b w:val="0"/>
          <w:bCs w:val="0"/>
          <w:color w:val="auto"/>
          <w:spacing w:val="-1"/>
          <w:sz w:val="24"/>
          <w:szCs w:val="24"/>
          <w:highlight w:val="none"/>
          <w:lang w:val="zh-CN" w:eastAsia="zh-CN"/>
        </w:rPr>
        <w:t>人民法院提起诉讼；</w:t>
      </w:r>
    </w:p>
    <w:p w14:paraId="65849303">
      <w:pPr>
        <w:pStyle w:val="18"/>
        <w:keepNext w:val="0"/>
        <w:keepLines w:val="0"/>
        <w:pageBreakBefore w:val="0"/>
        <w:widowControl w:val="0"/>
        <w:kinsoku/>
        <w:wordWrap/>
        <w:overflowPunct/>
        <w:topLinePunct w:val="0"/>
        <w:autoSpaceDE/>
        <w:autoSpaceDN/>
        <w:bidi w:val="0"/>
        <w:adjustRightInd/>
        <w:snapToGrid w:val="0"/>
        <w:spacing w:before="0" w:line="384" w:lineRule="auto"/>
        <w:ind w:left="0" w:leftChars="0" w:right="163" w:firstLine="476" w:firstLineChars="200"/>
        <w:jc w:val="both"/>
        <w:textAlignment w:val="auto"/>
        <w:rPr>
          <w:rFonts w:hint="eastAsia" w:ascii="宋体" w:hAnsi="宋体" w:eastAsia="宋体" w:cs="宋体"/>
          <w:b w:val="0"/>
          <w:bCs w:val="0"/>
          <w:color w:val="auto"/>
          <w:spacing w:val="-1"/>
          <w:sz w:val="24"/>
          <w:szCs w:val="24"/>
          <w:highlight w:val="none"/>
          <w:lang w:val="zh-CN" w:eastAsia="zh-CN"/>
        </w:rPr>
      </w:pPr>
      <w:r>
        <w:rPr>
          <w:rFonts w:hint="eastAsia" w:ascii="宋体" w:hAnsi="宋体" w:eastAsia="宋体" w:cs="宋体"/>
          <w:b w:val="0"/>
          <w:bCs w:val="0"/>
          <w:color w:val="auto"/>
          <w:spacing w:val="-1"/>
          <w:sz w:val="24"/>
          <w:szCs w:val="24"/>
          <w:highlight w:val="none"/>
          <w:lang w:val="zh-CN" w:eastAsia="zh-CN"/>
        </w:rPr>
        <w:t>（2）向南京仲裁委员会按其仲裁规则申请仲裁。</w:t>
      </w:r>
    </w:p>
    <w:p w14:paraId="3200DDA1">
      <w:pPr>
        <w:pStyle w:val="18"/>
        <w:keepNext w:val="0"/>
        <w:keepLines w:val="0"/>
        <w:pageBreakBefore w:val="0"/>
        <w:widowControl w:val="0"/>
        <w:kinsoku/>
        <w:wordWrap/>
        <w:overflowPunct/>
        <w:topLinePunct w:val="0"/>
        <w:autoSpaceDE/>
        <w:autoSpaceDN/>
        <w:bidi w:val="0"/>
        <w:adjustRightInd/>
        <w:snapToGrid w:val="0"/>
        <w:spacing w:before="0" w:line="384" w:lineRule="auto"/>
        <w:ind w:left="0" w:leftChars="0" w:right="163" w:firstLine="478" w:firstLineChars="200"/>
        <w:jc w:val="both"/>
        <w:textAlignment w:val="auto"/>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lang w:val="en-US" w:eastAsia="zh-CN"/>
        </w:rPr>
        <w:t>十一</w:t>
      </w:r>
      <w:r>
        <w:rPr>
          <w:rFonts w:hint="eastAsia" w:ascii="宋体" w:hAnsi="宋体" w:eastAsia="宋体" w:cs="宋体"/>
          <w:b/>
          <w:bCs/>
          <w:color w:val="auto"/>
          <w:spacing w:val="-1"/>
          <w:sz w:val="24"/>
          <w:szCs w:val="24"/>
          <w:highlight w:val="none"/>
        </w:rPr>
        <w:t xml:space="preserve">、协议期限及其它说明 </w:t>
      </w:r>
    </w:p>
    <w:p w14:paraId="6501B6DB">
      <w:pPr>
        <w:pStyle w:val="18"/>
        <w:keepNext w:val="0"/>
        <w:keepLines w:val="0"/>
        <w:pageBreakBefore w:val="0"/>
        <w:widowControl w:val="0"/>
        <w:kinsoku/>
        <w:wordWrap/>
        <w:overflowPunct/>
        <w:topLinePunct w:val="0"/>
        <w:autoSpaceDE/>
        <w:autoSpaceDN/>
        <w:bidi w:val="0"/>
        <w:adjustRightInd/>
        <w:snapToGrid w:val="0"/>
        <w:spacing w:before="0" w:line="384" w:lineRule="auto"/>
        <w:ind w:left="0" w:leftChars="0" w:right="163" w:firstLine="476" w:firstLineChars="200"/>
        <w:jc w:val="both"/>
        <w:textAlignment w:val="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本合同一式陆份，甲乙丙三方各执贰份，自三方签字盖章之日起生效。 </w:t>
      </w:r>
    </w:p>
    <w:p w14:paraId="04B7FAD5">
      <w:pPr>
        <w:pStyle w:val="46"/>
        <w:ind w:left="0" w:firstLine="0" w:firstLineChars="0"/>
        <w:rPr>
          <w:rFonts w:hint="eastAsia" w:ascii="宋体" w:hAnsi="宋体" w:eastAsia="宋体" w:cs="宋体"/>
          <w:color w:val="auto"/>
          <w:spacing w:val="-1"/>
          <w:sz w:val="24"/>
          <w:szCs w:val="24"/>
          <w:highlight w:val="none"/>
          <w:lang w:val="en-US" w:eastAsia="zh-CN"/>
        </w:rPr>
      </w:pPr>
    </w:p>
    <w:p w14:paraId="224BAB5D">
      <w:pPr>
        <w:pStyle w:val="46"/>
        <w:ind w:left="0" w:firstLine="0" w:firstLineChars="0"/>
        <w:rPr>
          <w:rFonts w:hint="eastAsia" w:ascii="宋体" w:hAnsi="宋体" w:eastAsia="宋体" w:cs="宋体"/>
          <w:color w:val="auto"/>
          <w:spacing w:val="-1"/>
          <w:sz w:val="24"/>
          <w:szCs w:val="24"/>
          <w:highlight w:val="none"/>
          <w:lang w:val="en-US" w:eastAsia="zh-CN"/>
        </w:rPr>
      </w:pPr>
    </w:p>
    <w:p w14:paraId="645F26C9">
      <w:pPr>
        <w:pStyle w:val="46"/>
        <w:ind w:left="0" w:firstLine="0" w:firstLineChars="0"/>
        <w:rPr>
          <w:rFonts w:hint="eastAsia" w:ascii="宋体" w:hAnsi="宋体" w:eastAsia="宋体" w:cs="宋体"/>
          <w:color w:val="auto"/>
          <w:spacing w:val="-1"/>
          <w:sz w:val="24"/>
          <w:szCs w:val="24"/>
          <w:highlight w:val="none"/>
          <w:lang w:val="en-US" w:eastAsia="zh-CN"/>
        </w:rPr>
      </w:pPr>
    </w:p>
    <w:p w14:paraId="41D5F492">
      <w:pPr>
        <w:pStyle w:val="46"/>
        <w:ind w:left="0" w:firstLine="0" w:firstLineChars="0"/>
        <w:rPr>
          <w:rFonts w:hint="eastAsia" w:ascii="宋体" w:hAnsi="宋体" w:eastAsia="宋体" w:cs="宋体"/>
          <w:color w:val="auto"/>
          <w:spacing w:val="-1"/>
          <w:sz w:val="24"/>
          <w:szCs w:val="24"/>
          <w:highlight w:val="none"/>
          <w:lang w:val="en-US" w:eastAsia="zh-CN"/>
        </w:rPr>
      </w:pPr>
    </w:p>
    <w:tbl>
      <w:tblPr>
        <w:tblStyle w:val="48"/>
        <w:tblW w:w="10181" w:type="dxa"/>
        <w:jc w:val="center"/>
        <w:tblLayout w:type="fixed"/>
        <w:tblCellMar>
          <w:top w:w="0" w:type="dxa"/>
          <w:left w:w="108" w:type="dxa"/>
          <w:bottom w:w="0" w:type="dxa"/>
          <w:right w:w="108" w:type="dxa"/>
        </w:tblCellMar>
      </w:tblPr>
      <w:tblGrid>
        <w:gridCol w:w="3295"/>
        <w:gridCol w:w="3792"/>
        <w:gridCol w:w="3094"/>
      </w:tblGrid>
      <w:tr w14:paraId="50C29442">
        <w:tblPrEx>
          <w:tblCellMar>
            <w:top w:w="0" w:type="dxa"/>
            <w:left w:w="108" w:type="dxa"/>
            <w:bottom w:w="0" w:type="dxa"/>
            <w:right w:w="108" w:type="dxa"/>
          </w:tblCellMar>
        </w:tblPrEx>
        <w:trPr>
          <w:trHeight w:val="680" w:hRule="atLeast"/>
          <w:jc w:val="center"/>
        </w:trPr>
        <w:tc>
          <w:tcPr>
            <w:tcW w:w="3295" w:type="dxa"/>
            <w:tcBorders>
              <w:top w:val="nil"/>
              <w:left w:val="nil"/>
              <w:bottom w:val="nil"/>
              <w:right w:val="nil"/>
            </w:tcBorders>
            <w:noWrap/>
            <w:vAlign w:val="top"/>
          </w:tcPr>
          <w:p w14:paraId="756AC790">
            <w:pPr>
              <w:widowControl/>
              <w:adjustRightInd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甲方（</w:t>
            </w:r>
            <w:r>
              <w:rPr>
                <w:rFonts w:hint="eastAsia" w:ascii="宋体" w:hAnsi="宋体" w:eastAsia="宋体" w:cs="宋体"/>
                <w:color w:val="auto"/>
                <w:sz w:val="24"/>
                <w:szCs w:val="24"/>
                <w:highlight w:val="none"/>
                <w:lang w:val="zh-CN"/>
              </w:rPr>
              <w:t>委托方</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）：（盖章）</w:t>
            </w:r>
          </w:p>
        </w:tc>
        <w:tc>
          <w:tcPr>
            <w:tcW w:w="3792" w:type="dxa"/>
            <w:tcBorders>
              <w:top w:val="nil"/>
              <w:left w:val="nil"/>
              <w:bottom w:val="nil"/>
              <w:right w:val="nil"/>
            </w:tcBorders>
            <w:noWrap/>
            <w:vAlign w:val="top"/>
          </w:tcPr>
          <w:p w14:paraId="311ECFEF">
            <w:pPr>
              <w:widowControl/>
              <w:adjustRightInd w:val="0"/>
              <w:spacing w:line="360" w:lineRule="auto"/>
              <w:ind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乙方（</w:t>
            </w:r>
            <w:r>
              <w:rPr>
                <w:rFonts w:hint="eastAsia" w:ascii="宋体" w:hAnsi="宋体" w:eastAsia="宋体" w:cs="宋体"/>
                <w:color w:val="auto"/>
                <w:sz w:val="24"/>
                <w:szCs w:val="24"/>
                <w:highlight w:val="none"/>
                <w:lang w:val="zh-CN"/>
              </w:rPr>
              <w:t>委托方</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）：（盖章）</w:t>
            </w:r>
          </w:p>
        </w:tc>
        <w:tc>
          <w:tcPr>
            <w:tcW w:w="3094" w:type="dxa"/>
            <w:tcBorders>
              <w:top w:val="nil"/>
              <w:left w:val="nil"/>
              <w:bottom w:val="nil"/>
              <w:right w:val="nil"/>
            </w:tcBorders>
            <w:noWrap/>
            <w:vAlign w:val="top"/>
          </w:tcPr>
          <w:p w14:paraId="07CCF9F2">
            <w:pPr>
              <w:widowControl/>
              <w:adjustRightInd w:val="0"/>
              <w:spacing w:line="360" w:lineRule="auto"/>
              <w:ind w:firstLine="4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丙方（受</w:t>
            </w:r>
            <w:r>
              <w:rPr>
                <w:rFonts w:hint="eastAsia" w:ascii="宋体" w:hAnsi="宋体" w:eastAsia="宋体" w:cs="宋体"/>
                <w:color w:val="auto"/>
                <w:sz w:val="24"/>
                <w:szCs w:val="24"/>
                <w:highlight w:val="none"/>
                <w:lang w:val="zh-CN"/>
              </w:rPr>
              <w:t>托方</w:t>
            </w:r>
            <w:r>
              <w:rPr>
                <w:rFonts w:hint="eastAsia" w:ascii="宋体" w:hAnsi="宋体" w:eastAsia="宋体" w:cs="宋体"/>
                <w:color w:val="auto"/>
                <w:sz w:val="24"/>
                <w:szCs w:val="24"/>
                <w:highlight w:val="none"/>
                <w:lang w:val="en-US" w:eastAsia="zh-CN"/>
              </w:rPr>
              <w:t>）</w:t>
            </w:r>
          </w:p>
        </w:tc>
      </w:tr>
      <w:tr w14:paraId="20FC3FBF">
        <w:tblPrEx>
          <w:tblCellMar>
            <w:top w:w="0" w:type="dxa"/>
            <w:left w:w="108" w:type="dxa"/>
            <w:bottom w:w="0" w:type="dxa"/>
            <w:right w:w="108" w:type="dxa"/>
          </w:tblCellMar>
        </w:tblPrEx>
        <w:trPr>
          <w:trHeight w:val="680" w:hRule="atLeast"/>
          <w:jc w:val="center"/>
        </w:trPr>
        <w:tc>
          <w:tcPr>
            <w:tcW w:w="3295" w:type="dxa"/>
            <w:tcBorders>
              <w:top w:val="nil"/>
              <w:left w:val="nil"/>
              <w:bottom w:val="nil"/>
              <w:right w:val="nil"/>
            </w:tcBorders>
            <w:noWrap/>
            <w:vAlign w:val="top"/>
          </w:tcPr>
          <w:p w14:paraId="3A53ADF7">
            <w:pPr>
              <w:widowControl/>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代表人：</w:t>
            </w:r>
          </w:p>
        </w:tc>
        <w:tc>
          <w:tcPr>
            <w:tcW w:w="3792" w:type="dxa"/>
            <w:tcBorders>
              <w:top w:val="nil"/>
              <w:left w:val="nil"/>
              <w:bottom w:val="nil"/>
              <w:right w:val="nil"/>
            </w:tcBorders>
            <w:noWrap/>
            <w:vAlign w:val="top"/>
          </w:tcPr>
          <w:p w14:paraId="61FB098D">
            <w:pPr>
              <w:widowControl/>
              <w:adjustRightInd w:val="0"/>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代表人：</w:t>
            </w:r>
          </w:p>
        </w:tc>
        <w:tc>
          <w:tcPr>
            <w:tcW w:w="3094" w:type="dxa"/>
            <w:tcBorders>
              <w:top w:val="nil"/>
              <w:left w:val="nil"/>
              <w:bottom w:val="nil"/>
              <w:right w:val="nil"/>
            </w:tcBorders>
            <w:noWrap/>
            <w:vAlign w:val="top"/>
          </w:tcPr>
          <w:p w14:paraId="7E7DCC36">
            <w:pPr>
              <w:widowControl/>
              <w:adjustRightInd w:val="0"/>
              <w:spacing w:line="360" w:lineRule="auto"/>
              <w:ind w:firstLine="420" w:firstLineChars="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代表人：</w:t>
            </w:r>
          </w:p>
        </w:tc>
      </w:tr>
      <w:tr w14:paraId="2C07B915">
        <w:tblPrEx>
          <w:tblCellMar>
            <w:top w:w="0" w:type="dxa"/>
            <w:left w:w="108" w:type="dxa"/>
            <w:bottom w:w="0" w:type="dxa"/>
            <w:right w:w="108" w:type="dxa"/>
          </w:tblCellMar>
        </w:tblPrEx>
        <w:trPr>
          <w:trHeight w:val="680" w:hRule="atLeast"/>
          <w:jc w:val="center"/>
        </w:trPr>
        <w:tc>
          <w:tcPr>
            <w:tcW w:w="3295" w:type="dxa"/>
            <w:tcBorders>
              <w:top w:val="nil"/>
              <w:left w:val="nil"/>
              <w:bottom w:val="nil"/>
              <w:right w:val="nil"/>
            </w:tcBorders>
            <w:noWrap/>
            <w:vAlign w:val="top"/>
          </w:tcPr>
          <w:p w14:paraId="5C7F3A9C">
            <w:pPr>
              <w:widowControl/>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电话：</w:t>
            </w:r>
          </w:p>
        </w:tc>
        <w:tc>
          <w:tcPr>
            <w:tcW w:w="3792" w:type="dxa"/>
            <w:tcBorders>
              <w:top w:val="nil"/>
              <w:left w:val="nil"/>
              <w:bottom w:val="nil"/>
              <w:right w:val="nil"/>
            </w:tcBorders>
            <w:noWrap/>
            <w:vAlign w:val="top"/>
          </w:tcPr>
          <w:p w14:paraId="1EF8B2C1">
            <w:pPr>
              <w:widowControl/>
              <w:adjustRightInd w:val="0"/>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电话：</w:t>
            </w:r>
          </w:p>
        </w:tc>
        <w:tc>
          <w:tcPr>
            <w:tcW w:w="3094" w:type="dxa"/>
            <w:tcBorders>
              <w:top w:val="nil"/>
              <w:left w:val="nil"/>
              <w:bottom w:val="nil"/>
              <w:right w:val="nil"/>
            </w:tcBorders>
            <w:noWrap/>
            <w:vAlign w:val="top"/>
          </w:tcPr>
          <w:p w14:paraId="3F1DD4FB">
            <w:pPr>
              <w:widowControl/>
              <w:adjustRightInd w:val="0"/>
              <w:spacing w:line="360" w:lineRule="auto"/>
              <w:ind w:firstLine="420" w:firstLineChars="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电话：</w:t>
            </w:r>
          </w:p>
        </w:tc>
      </w:tr>
      <w:tr w14:paraId="1FE215D7">
        <w:tblPrEx>
          <w:tblCellMar>
            <w:top w:w="0" w:type="dxa"/>
            <w:left w:w="108" w:type="dxa"/>
            <w:bottom w:w="0" w:type="dxa"/>
            <w:right w:w="108" w:type="dxa"/>
          </w:tblCellMar>
        </w:tblPrEx>
        <w:trPr>
          <w:trHeight w:val="680" w:hRule="atLeast"/>
          <w:jc w:val="center"/>
        </w:trPr>
        <w:tc>
          <w:tcPr>
            <w:tcW w:w="3295" w:type="dxa"/>
            <w:tcBorders>
              <w:top w:val="nil"/>
              <w:left w:val="nil"/>
              <w:bottom w:val="nil"/>
              <w:right w:val="nil"/>
            </w:tcBorders>
            <w:noWrap/>
            <w:vAlign w:val="top"/>
          </w:tcPr>
          <w:p w14:paraId="547C8329">
            <w:pPr>
              <w:widowControl/>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开户银行：</w:t>
            </w:r>
          </w:p>
        </w:tc>
        <w:tc>
          <w:tcPr>
            <w:tcW w:w="3792" w:type="dxa"/>
            <w:tcBorders>
              <w:top w:val="nil"/>
              <w:left w:val="nil"/>
              <w:bottom w:val="nil"/>
              <w:right w:val="nil"/>
            </w:tcBorders>
            <w:noWrap/>
            <w:vAlign w:val="top"/>
          </w:tcPr>
          <w:p w14:paraId="07CD5BB5">
            <w:pPr>
              <w:widowControl/>
              <w:adjustRightInd w:val="0"/>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开户银行：</w:t>
            </w:r>
          </w:p>
        </w:tc>
        <w:tc>
          <w:tcPr>
            <w:tcW w:w="3094" w:type="dxa"/>
            <w:tcBorders>
              <w:top w:val="nil"/>
              <w:left w:val="nil"/>
              <w:bottom w:val="nil"/>
              <w:right w:val="nil"/>
            </w:tcBorders>
            <w:noWrap/>
            <w:vAlign w:val="top"/>
          </w:tcPr>
          <w:p w14:paraId="339D1E7D">
            <w:pPr>
              <w:widowControl/>
              <w:adjustRightInd w:val="0"/>
              <w:spacing w:line="360" w:lineRule="auto"/>
              <w:ind w:firstLine="420" w:firstLineChars="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开户银行：</w:t>
            </w:r>
          </w:p>
        </w:tc>
      </w:tr>
      <w:tr w14:paraId="3DDA3924">
        <w:tblPrEx>
          <w:tblCellMar>
            <w:top w:w="0" w:type="dxa"/>
            <w:left w:w="108" w:type="dxa"/>
            <w:bottom w:w="0" w:type="dxa"/>
            <w:right w:w="108" w:type="dxa"/>
          </w:tblCellMar>
        </w:tblPrEx>
        <w:trPr>
          <w:trHeight w:val="680" w:hRule="atLeast"/>
          <w:jc w:val="center"/>
        </w:trPr>
        <w:tc>
          <w:tcPr>
            <w:tcW w:w="3295" w:type="dxa"/>
            <w:tcBorders>
              <w:top w:val="nil"/>
              <w:left w:val="nil"/>
              <w:bottom w:val="nil"/>
              <w:right w:val="nil"/>
            </w:tcBorders>
            <w:noWrap/>
            <w:vAlign w:val="top"/>
          </w:tcPr>
          <w:p w14:paraId="366DAB86">
            <w:pPr>
              <w:widowControl/>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帐号：</w:t>
            </w:r>
          </w:p>
        </w:tc>
        <w:tc>
          <w:tcPr>
            <w:tcW w:w="3792" w:type="dxa"/>
            <w:tcBorders>
              <w:top w:val="nil"/>
              <w:left w:val="nil"/>
              <w:bottom w:val="nil"/>
              <w:right w:val="nil"/>
            </w:tcBorders>
            <w:noWrap/>
            <w:vAlign w:val="top"/>
          </w:tcPr>
          <w:p w14:paraId="3383CB4E">
            <w:pPr>
              <w:widowControl/>
              <w:adjustRightInd w:val="0"/>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帐号：</w:t>
            </w:r>
          </w:p>
        </w:tc>
        <w:tc>
          <w:tcPr>
            <w:tcW w:w="3094" w:type="dxa"/>
            <w:tcBorders>
              <w:top w:val="nil"/>
              <w:left w:val="nil"/>
              <w:bottom w:val="nil"/>
              <w:right w:val="nil"/>
            </w:tcBorders>
            <w:noWrap/>
            <w:vAlign w:val="top"/>
          </w:tcPr>
          <w:p w14:paraId="0B6A6F7C">
            <w:pPr>
              <w:widowControl/>
              <w:adjustRightInd w:val="0"/>
              <w:spacing w:line="360" w:lineRule="auto"/>
              <w:ind w:firstLine="420" w:firstLineChars="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帐号：</w:t>
            </w:r>
          </w:p>
        </w:tc>
      </w:tr>
    </w:tbl>
    <w:p w14:paraId="3EA18B03">
      <w:pPr>
        <w:widowControl/>
        <w:spacing w:line="300" w:lineRule="auto"/>
        <w:jc w:val="left"/>
        <w:rPr>
          <w:rFonts w:hint="eastAsia" w:ascii="宋体" w:hAnsi="宋体" w:cs="宋体"/>
          <w:bCs/>
          <w:color w:val="auto"/>
          <w:sz w:val="32"/>
          <w:szCs w:val="32"/>
          <w:highlight w:val="none"/>
          <w:lang w:val="en-US" w:eastAsia="zh-CN"/>
        </w:rPr>
      </w:pPr>
    </w:p>
    <w:p w14:paraId="785FE653">
      <w:pPr>
        <w:pStyle w:val="61"/>
        <w:keepNext w:val="0"/>
        <w:keepLines w:val="0"/>
        <w:pageBreakBefore w:val="0"/>
        <w:widowControl w:val="0"/>
        <w:kinsoku/>
        <w:wordWrap/>
        <w:overflowPunct/>
        <w:topLinePunct w:val="0"/>
        <w:autoSpaceDE/>
        <w:autoSpaceDN/>
        <w:bidi w:val="0"/>
        <w:adjustRightInd/>
        <w:snapToGrid/>
        <w:spacing w:line="360" w:lineRule="auto"/>
        <w:ind w:left="0" w:leftChars="0" w:firstLine="478" w:firstLineChars="200"/>
        <w:textAlignment w:val="auto"/>
        <w:rPr>
          <w:rFonts w:hint="eastAsia" w:ascii="宋体" w:hAnsi="宋体" w:eastAsia="宋体" w:cs="宋体"/>
          <w:b/>
          <w:bCs/>
          <w:color w:val="auto"/>
          <w:spacing w:val="-1"/>
          <w:sz w:val="24"/>
          <w:szCs w:val="24"/>
          <w:highlight w:val="none"/>
          <w:lang w:val="zh-CN" w:eastAsia="zh-CN"/>
        </w:rPr>
      </w:pPr>
    </w:p>
    <w:p w14:paraId="1D52B3BB">
      <w:pPr>
        <w:pStyle w:val="61"/>
        <w:keepNext w:val="0"/>
        <w:keepLines w:val="0"/>
        <w:pageBreakBefore w:val="0"/>
        <w:widowControl w:val="0"/>
        <w:kinsoku/>
        <w:wordWrap/>
        <w:overflowPunct/>
        <w:topLinePunct w:val="0"/>
        <w:autoSpaceDE/>
        <w:autoSpaceDN/>
        <w:bidi w:val="0"/>
        <w:adjustRightInd/>
        <w:snapToGrid/>
        <w:spacing w:line="360" w:lineRule="auto"/>
        <w:ind w:left="0" w:leftChars="0" w:firstLine="478" w:firstLineChars="200"/>
        <w:textAlignment w:val="auto"/>
        <w:rPr>
          <w:rFonts w:hint="eastAsia" w:ascii="宋体" w:hAnsi="宋体" w:eastAsia="宋体" w:cs="宋体"/>
          <w:b/>
          <w:bCs/>
          <w:color w:val="auto"/>
          <w:spacing w:val="-1"/>
          <w:sz w:val="24"/>
          <w:szCs w:val="24"/>
          <w:highlight w:val="none"/>
          <w:lang w:val="zh-CN" w:eastAsia="zh-CN"/>
        </w:rPr>
      </w:pPr>
    </w:p>
    <w:p w14:paraId="30C88150">
      <w:pPr>
        <w:pStyle w:val="61"/>
        <w:keepNext w:val="0"/>
        <w:keepLines w:val="0"/>
        <w:pageBreakBefore w:val="0"/>
        <w:widowControl w:val="0"/>
        <w:kinsoku/>
        <w:wordWrap/>
        <w:overflowPunct/>
        <w:topLinePunct w:val="0"/>
        <w:autoSpaceDE/>
        <w:autoSpaceDN/>
        <w:bidi w:val="0"/>
        <w:adjustRightInd/>
        <w:snapToGrid/>
        <w:spacing w:line="360" w:lineRule="auto"/>
        <w:ind w:left="0" w:leftChars="0" w:firstLine="478" w:firstLineChars="200"/>
        <w:textAlignment w:val="auto"/>
        <w:rPr>
          <w:rFonts w:hint="eastAsia" w:ascii="宋体" w:hAnsi="宋体" w:eastAsia="宋体" w:cs="宋体"/>
          <w:b/>
          <w:bCs/>
          <w:color w:val="auto"/>
          <w:spacing w:val="-1"/>
          <w:sz w:val="24"/>
          <w:szCs w:val="24"/>
          <w:highlight w:val="none"/>
          <w:lang w:val="zh-CN" w:eastAsia="zh-CN"/>
        </w:rPr>
      </w:pPr>
    </w:p>
    <w:p w14:paraId="2BB88C18">
      <w:pPr>
        <w:pStyle w:val="61"/>
        <w:keepNext w:val="0"/>
        <w:keepLines w:val="0"/>
        <w:pageBreakBefore w:val="0"/>
        <w:widowControl w:val="0"/>
        <w:kinsoku/>
        <w:wordWrap/>
        <w:overflowPunct/>
        <w:topLinePunct w:val="0"/>
        <w:autoSpaceDE/>
        <w:autoSpaceDN/>
        <w:bidi w:val="0"/>
        <w:adjustRightInd/>
        <w:snapToGrid/>
        <w:spacing w:line="360" w:lineRule="auto"/>
        <w:ind w:left="0" w:leftChars="0" w:firstLine="478" w:firstLineChars="200"/>
        <w:textAlignment w:val="auto"/>
        <w:rPr>
          <w:rFonts w:hint="eastAsia" w:ascii="宋体" w:hAnsi="宋体" w:eastAsia="宋体" w:cs="宋体"/>
          <w:b/>
          <w:bCs/>
          <w:color w:val="auto"/>
          <w:spacing w:val="-1"/>
          <w:sz w:val="24"/>
          <w:szCs w:val="24"/>
          <w:highlight w:val="none"/>
          <w:lang w:val="zh-CN" w:eastAsia="zh-CN"/>
        </w:rPr>
      </w:pPr>
    </w:p>
    <w:p w14:paraId="66849AC0">
      <w:pPr>
        <w:pStyle w:val="61"/>
        <w:keepNext w:val="0"/>
        <w:keepLines w:val="0"/>
        <w:pageBreakBefore w:val="0"/>
        <w:widowControl w:val="0"/>
        <w:kinsoku/>
        <w:wordWrap/>
        <w:overflowPunct/>
        <w:topLinePunct w:val="0"/>
        <w:autoSpaceDE/>
        <w:autoSpaceDN/>
        <w:bidi w:val="0"/>
        <w:adjustRightInd/>
        <w:snapToGrid/>
        <w:spacing w:line="360" w:lineRule="auto"/>
        <w:ind w:left="0" w:leftChars="0" w:firstLine="478" w:firstLineChars="200"/>
        <w:textAlignment w:val="auto"/>
        <w:rPr>
          <w:rFonts w:hint="eastAsia" w:ascii="宋体" w:hAnsi="宋体" w:eastAsia="宋体" w:cs="宋体"/>
          <w:b/>
          <w:bCs/>
          <w:color w:val="auto"/>
          <w:spacing w:val="-1"/>
          <w:sz w:val="24"/>
          <w:szCs w:val="24"/>
          <w:highlight w:val="none"/>
          <w:lang w:val="zh-CN" w:eastAsia="zh-CN"/>
        </w:rPr>
      </w:pPr>
    </w:p>
    <w:p w14:paraId="4FE256AA">
      <w:pPr>
        <w:pStyle w:val="61"/>
        <w:keepNext w:val="0"/>
        <w:keepLines w:val="0"/>
        <w:pageBreakBefore w:val="0"/>
        <w:widowControl w:val="0"/>
        <w:kinsoku/>
        <w:wordWrap/>
        <w:overflowPunct/>
        <w:topLinePunct w:val="0"/>
        <w:autoSpaceDE/>
        <w:autoSpaceDN/>
        <w:bidi w:val="0"/>
        <w:adjustRightInd/>
        <w:snapToGrid/>
        <w:spacing w:line="360" w:lineRule="auto"/>
        <w:ind w:left="0" w:leftChars="0" w:firstLine="478" w:firstLineChars="200"/>
        <w:textAlignment w:val="auto"/>
        <w:rPr>
          <w:rFonts w:hint="eastAsia" w:ascii="宋体" w:hAnsi="宋体" w:eastAsia="宋体" w:cs="宋体"/>
          <w:b/>
          <w:bCs/>
          <w:color w:val="auto"/>
          <w:spacing w:val="-1"/>
          <w:sz w:val="24"/>
          <w:szCs w:val="24"/>
          <w:highlight w:val="none"/>
          <w:lang w:val="zh-CN" w:eastAsia="zh-CN"/>
        </w:rPr>
      </w:pPr>
    </w:p>
    <w:p w14:paraId="0DCFB580">
      <w:pPr>
        <w:pStyle w:val="61"/>
        <w:keepNext w:val="0"/>
        <w:keepLines w:val="0"/>
        <w:pageBreakBefore w:val="0"/>
        <w:widowControl w:val="0"/>
        <w:kinsoku/>
        <w:wordWrap/>
        <w:overflowPunct/>
        <w:topLinePunct w:val="0"/>
        <w:autoSpaceDE/>
        <w:autoSpaceDN/>
        <w:bidi w:val="0"/>
        <w:adjustRightInd/>
        <w:snapToGrid/>
        <w:spacing w:line="360" w:lineRule="auto"/>
        <w:ind w:left="0" w:leftChars="0" w:firstLine="478" w:firstLineChars="200"/>
        <w:textAlignment w:val="auto"/>
        <w:rPr>
          <w:rFonts w:hint="eastAsia" w:ascii="宋体" w:hAnsi="宋体" w:eastAsia="宋体" w:cs="宋体"/>
          <w:b/>
          <w:bCs/>
          <w:color w:val="auto"/>
          <w:spacing w:val="-1"/>
          <w:sz w:val="24"/>
          <w:szCs w:val="24"/>
          <w:highlight w:val="none"/>
          <w:lang w:val="zh-CN" w:eastAsia="zh-CN"/>
        </w:rPr>
      </w:pPr>
    </w:p>
    <w:p w14:paraId="732999DE">
      <w:pPr>
        <w:pStyle w:val="61"/>
        <w:keepNext w:val="0"/>
        <w:keepLines w:val="0"/>
        <w:pageBreakBefore w:val="0"/>
        <w:widowControl w:val="0"/>
        <w:kinsoku/>
        <w:wordWrap/>
        <w:overflowPunct/>
        <w:topLinePunct w:val="0"/>
        <w:autoSpaceDE/>
        <w:autoSpaceDN/>
        <w:bidi w:val="0"/>
        <w:adjustRightInd/>
        <w:snapToGrid/>
        <w:spacing w:line="360" w:lineRule="auto"/>
        <w:ind w:left="0" w:leftChars="0" w:firstLine="478" w:firstLineChars="200"/>
        <w:textAlignment w:val="auto"/>
        <w:rPr>
          <w:rFonts w:hint="eastAsia" w:ascii="宋体" w:hAnsi="宋体" w:eastAsia="宋体" w:cs="宋体"/>
          <w:b/>
          <w:bCs/>
          <w:color w:val="auto"/>
          <w:spacing w:val="-1"/>
          <w:sz w:val="24"/>
          <w:szCs w:val="24"/>
          <w:highlight w:val="none"/>
          <w:lang w:val="zh-CN" w:eastAsia="zh-CN"/>
        </w:rPr>
      </w:pPr>
    </w:p>
    <w:p w14:paraId="10CA03C1">
      <w:pPr>
        <w:pStyle w:val="61"/>
        <w:keepNext w:val="0"/>
        <w:keepLines w:val="0"/>
        <w:pageBreakBefore w:val="0"/>
        <w:widowControl w:val="0"/>
        <w:kinsoku/>
        <w:wordWrap/>
        <w:overflowPunct/>
        <w:topLinePunct w:val="0"/>
        <w:autoSpaceDE/>
        <w:autoSpaceDN/>
        <w:bidi w:val="0"/>
        <w:adjustRightInd/>
        <w:snapToGrid/>
        <w:spacing w:line="360" w:lineRule="auto"/>
        <w:ind w:left="0" w:leftChars="0" w:firstLine="478" w:firstLineChars="200"/>
        <w:textAlignment w:val="auto"/>
        <w:rPr>
          <w:rFonts w:hint="eastAsia" w:ascii="宋体" w:hAnsi="宋体" w:eastAsia="宋体" w:cs="宋体"/>
          <w:b/>
          <w:bCs/>
          <w:color w:val="auto"/>
          <w:spacing w:val="-1"/>
          <w:sz w:val="24"/>
          <w:szCs w:val="24"/>
          <w:highlight w:val="none"/>
          <w:lang w:val="zh-CN" w:eastAsia="zh-CN"/>
        </w:rPr>
      </w:pPr>
      <w:r>
        <w:rPr>
          <w:rFonts w:hint="eastAsia" w:ascii="宋体" w:hAnsi="宋体" w:eastAsia="宋体" w:cs="宋体"/>
          <w:b/>
          <w:bCs/>
          <w:color w:val="auto"/>
          <w:spacing w:val="-1"/>
          <w:sz w:val="24"/>
          <w:szCs w:val="24"/>
          <w:highlight w:val="none"/>
          <w:lang w:val="zh-CN" w:eastAsia="zh-CN"/>
        </w:rPr>
        <w:t>附件</w:t>
      </w:r>
      <w:r>
        <w:rPr>
          <w:rFonts w:hint="eastAsia" w:ascii="宋体" w:hAnsi="宋体" w:eastAsia="宋体" w:cs="宋体"/>
          <w:b/>
          <w:bCs/>
          <w:color w:val="auto"/>
          <w:spacing w:val="-1"/>
          <w:sz w:val="24"/>
          <w:szCs w:val="24"/>
          <w:highlight w:val="none"/>
          <w:lang w:val="en-US" w:eastAsia="zh-CN"/>
        </w:rPr>
        <w:t>一</w:t>
      </w:r>
      <w:r>
        <w:rPr>
          <w:rFonts w:hint="eastAsia" w:ascii="宋体" w:hAnsi="宋体" w:eastAsia="宋体" w:cs="宋体"/>
          <w:b/>
          <w:bCs/>
          <w:color w:val="auto"/>
          <w:spacing w:val="-1"/>
          <w:sz w:val="24"/>
          <w:szCs w:val="24"/>
          <w:highlight w:val="none"/>
          <w:lang w:val="zh-CN" w:eastAsia="zh-CN"/>
        </w:rPr>
        <w:t>：考核办法</w:t>
      </w:r>
    </w:p>
    <w:p w14:paraId="68B5CA5E">
      <w:pPr>
        <w:pStyle w:val="6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val="0"/>
          <w:color w:val="auto"/>
          <w:spacing w:val="-1"/>
          <w:sz w:val="24"/>
          <w:szCs w:val="24"/>
          <w:highlight w:val="none"/>
          <w:lang w:val="zh-CN" w:eastAsia="zh-CN"/>
        </w:rPr>
      </w:pPr>
      <w:r>
        <w:rPr>
          <w:rFonts w:hint="eastAsia" w:ascii="宋体" w:hAnsi="宋体" w:eastAsia="宋体" w:cs="宋体"/>
          <w:bCs w:val="0"/>
          <w:color w:val="auto"/>
          <w:spacing w:val="-1"/>
          <w:sz w:val="24"/>
          <w:szCs w:val="24"/>
          <w:highlight w:val="none"/>
          <w:lang w:val="zh-CN" w:eastAsia="zh-CN"/>
        </w:rPr>
        <w:t>一、考核范围</w:t>
      </w:r>
    </w:p>
    <w:p w14:paraId="16367110">
      <w:pPr>
        <w:pStyle w:val="6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val="0"/>
          <w:color w:val="auto"/>
          <w:spacing w:val="-1"/>
          <w:sz w:val="24"/>
          <w:szCs w:val="24"/>
          <w:highlight w:val="none"/>
          <w:lang w:val="zh-CN" w:eastAsia="zh-CN"/>
        </w:rPr>
      </w:pPr>
      <w:r>
        <w:rPr>
          <w:rFonts w:hint="eastAsia" w:ascii="宋体" w:hAnsi="宋体" w:eastAsia="宋体" w:cs="宋体"/>
          <w:bCs w:val="0"/>
          <w:color w:val="auto"/>
          <w:spacing w:val="-1"/>
          <w:sz w:val="24"/>
          <w:szCs w:val="24"/>
          <w:highlight w:val="none"/>
          <w:lang w:val="zh-CN" w:eastAsia="zh-CN"/>
        </w:rPr>
        <w:t>本考核办法适用于</w:t>
      </w:r>
      <w:r>
        <w:rPr>
          <w:rFonts w:hint="eastAsia" w:ascii="宋体" w:hAnsi="宋体" w:cs="宋体"/>
          <w:color w:val="auto"/>
          <w:sz w:val="24"/>
          <w:szCs w:val="24"/>
          <w:highlight w:val="none"/>
          <w:u w:val="single"/>
          <w:lang w:eastAsia="zh-CN"/>
        </w:rPr>
        <w:t>浦口经济开发区工业废水处理厂污泥处置项目</w:t>
      </w:r>
      <w:r>
        <w:rPr>
          <w:rFonts w:hint="eastAsia" w:ascii="宋体" w:hAnsi="宋体" w:eastAsia="宋体" w:cs="宋体"/>
          <w:bCs w:val="0"/>
          <w:color w:val="auto"/>
          <w:spacing w:val="-1"/>
          <w:sz w:val="24"/>
          <w:szCs w:val="24"/>
          <w:highlight w:val="none"/>
          <w:lang w:val="zh-CN" w:eastAsia="zh-CN"/>
        </w:rPr>
        <w:t>的中标供应商。</w:t>
      </w:r>
    </w:p>
    <w:p w14:paraId="28E19E97">
      <w:pPr>
        <w:pStyle w:val="6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val="0"/>
          <w:color w:val="auto"/>
          <w:spacing w:val="-1"/>
          <w:sz w:val="24"/>
          <w:szCs w:val="24"/>
          <w:highlight w:val="none"/>
          <w:lang w:val="zh-CN" w:eastAsia="zh-CN"/>
        </w:rPr>
      </w:pPr>
      <w:r>
        <w:rPr>
          <w:rFonts w:hint="eastAsia" w:ascii="宋体" w:hAnsi="宋体" w:eastAsia="宋体" w:cs="宋体"/>
          <w:bCs w:val="0"/>
          <w:color w:val="auto"/>
          <w:spacing w:val="-1"/>
          <w:sz w:val="24"/>
          <w:szCs w:val="24"/>
          <w:highlight w:val="none"/>
          <w:lang w:val="zh-CN" w:eastAsia="zh-CN"/>
        </w:rPr>
        <w:t>二、考核依据</w:t>
      </w:r>
    </w:p>
    <w:p w14:paraId="0EAB7A69">
      <w:pPr>
        <w:pStyle w:val="6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val="0"/>
          <w:color w:val="auto"/>
          <w:spacing w:val="-1"/>
          <w:sz w:val="24"/>
          <w:szCs w:val="24"/>
          <w:highlight w:val="none"/>
          <w:lang w:val="zh-CN" w:eastAsia="zh-CN"/>
        </w:rPr>
      </w:pPr>
      <w:r>
        <w:rPr>
          <w:rFonts w:hint="eastAsia" w:ascii="宋体" w:hAnsi="宋体" w:eastAsia="宋体" w:cs="宋体"/>
          <w:bCs w:val="0"/>
          <w:color w:val="auto"/>
          <w:spacing w:val="-1"/>
          <w:sz w:val="24"/>
          <w:szCs w:val="24"/>
          <w:highlight w:val="none"/>
          <w:lang w:val="zh-CN" w:eastAsia="zh-CN"/>
        </w:rPr>
        <w:t>1.南京浦口经济开发区管理委员会工作要求。</w:t>
      </w:r>
    </w:p>
    <w:p w14:paraId="4DCF45E7">
      <w:pPr>
        <w:pStyle w:val="6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val="0"/>
          <w:color w:val="auto"/>
          <w:spacing w:val="-1"/>
          <w:sz w:val="24"/>
          <w:szCs w:val="24"/>
          <w:highlight w:val="none"/>
          <w:lang w:val="zh-CN" w:eastAsia="zh-CN"/>
        </w:rPr>
      </w:pPr>
      <w:r>
        <w:rPr>
          <w:rFonts w:hint="eastAsia" w:ascii="宋体" w:hAnsi="宋体" w:eastAsia="宋体" w:cs="宋体"/>
          <w:bCs w:val="0"/>
          <w:color w:val="auto"/>
          <w:spacing w:val="-1"/>
          <w:sz w:val="24"/>
          <w:szCs w:val="24"/>
          <w:highlight w:val="none"/>
          <w:lang w:val="zh-CN" w:eastAsia="zh-CN"/>
        </w:rPr>
        <w:t>三、考核机构</w:t>
      </w:r>
    </w:p>
    <w:p w14:paraId="2DD6D899">
      <w:pPr>
        <w:pStyle w:val="6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val="0"/>
          <w:color w:val="auto"/>
          <w:spacing w:val="-1"/>
          <w:sz w:val="24"/>
          <w:szCs w:val="24"/>
          <w:highlight w:val="none"/>
          <w:lang w:val="zh-CN" w:eastAsia="zh-CN"/>
        </w:rPr>
      </w:pPr>
      <w:r>
        <w:rPr>
          <w:rFonts w:hint="eastAsia" w:ascii="宋体" w:hAnsi="宋体" w:eastAsia="宋体" w:cs="宋体"/>
          <w:bCs w:val="0"/>
          <w:color w:val="auto"/>
          <w:spacing w:val="-1"/>
          <w:sz w:val="24"/>
          <w:szCs w:val="24"/>
          <w:highlight w:val="none"/>
          <w:lang w:val="zh-CN" w:eastAsia="zh-CN"/>
        </w:rPr>
        <w:t>由管委会经办部门组成考核小组，负责对中标供应商进行考核。</w:t>
      </w:r>
    </w:p>
    <w:p w14:paraId="70CBF0DE">
      <w:pPr>
        <w:pStyle w:val="6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val="0"/>
          <w:color w:val="auto"/>
          <w:spacing w:val="-1"/>
          <w:sz w:val="24"/>
          <w:szCs w:val="24"/>
          <w:highlight w:val="none"/>
          <w:lang w:val="zh-CN" w:eastAsia="zh-CN"/>
        </w:rPr>
      </w:pPr>
      <w:r>
        <w:rPr>
          <w:rFonts w:hint="eastAsia" w:ascii="宋体" w:hAnsi="宋体" w:eastAsia="宋体" w:cs="宋体"/>
          <w:bCs w:val="0"/>
          <w:color w:val="auto"/>
          <w:spacing w:val="-1"/>
          <w:sz w:val="24"/>
          <w:szCs w:val="24"/>
          <w:highlight w:val="none"/>
          <w:lang w:val="zh-CN" w:eastAsia="zh-CN"/>
        </w:rPr>
        <w:t>四、考核程序</w:t>
      </w:r>
    </w:p>
    <w:p w14:paraId="7F958E6B">
      <w:pPr>
        <w:pStyle w:val="6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val="0"/>
          <w:color w:val="auto"/>
          <w:spacing w:val="-1"/>
          <w:sz w:val="24"/>
          <w:szCs w:val="24"/>
          <w:highlight w:val="none"/>
          <w:lang w:val="zh-CN" w:eastAsia="zh-CN"/>
        </w:rPr>
      </w:pPr>
      <w:r>
        <w:rPr>
          <w:rFonts w:hint="eastAsia" w:ascii="宋体" w:hAnsi="宋体" w:eastAsia="宋体" w:cs="宋体"/>
          <w:bCs w:val="0"/>
          <w:color w:val="auto"/>
          <w:spacing w:val="-1"/>
          <w:sz w:val="24"/>
          <w:szCs w:val="24"/>
          <w:highlight w:val="none"/>
          <w:lang w:val="zh-CN" w:eastAsia="zh-CN"/>
        </w:rPr>
        <w:t>考核小组结合中标供应商平时的工作情况，</w:t>
      </w:r>
      <w:r>
        <w:rPr>
          <w:rFonts w:hint="eastAsia" w:ascii="宋体" w:hAnsi="宋体" w:cs="宋体"/>
          <w:bCs w:val="0"/>
          <w:color w:val="auto"/>
          <w:spacing w:val="-1"/>
          <w:sz w:val="24"/>
          <w:szCs w:val="24"/>
          <w:highlight w:val="none"/>
          <w:lang w:val="en-US" w:eastAsia="zh-CN"/>
        </w:rPr>
        <w:t>按月考核，</w:t>
      </w:r>
      <w:r>
        <w:rPr>
          <w:rFonts w:hint="eastAsia" w:ascii="宋体" w:hAnsi="宋体" w:eastAsia="宋体" w:cs="宋体"/>
          <w:bCs w:val="0"/>
          <w:color w:val="auto"/>
          <w:spacing w:val="-1"/>
          <w:sz w:val="24"/>
          <w:szCs w:val="24"/>
          <w:highlight w:val="none"/>
          <w:lang w:val="zh-CN" w:eastAsia="zh-CN"/>
        </w:rPr>
        <w:t>形成年度考核意见，明确是否续签合同。</w:t>
      </w:r>
    </w:p>
    <w:p w14:paraId="4B6F030A">
      <w:pPr>
        <w:pStyle w:val="6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val="0"/>
          <w:color w:val="auto"/>
          <w:spacing w:val="-1"/>
          <w:sz w:val="24"/>
          <w:szCs w:val="24"/>
          <w:highlight w:val="none"/>
          <w:lang w:val="zh-CN" w:eastAsia="zh-CN"/>
        </w:rPr>
      </w:pPr>
      <w:r>
        <w:rPr>
          <w:rFonts w:hint="eastAsia" w:ascii="宋体" w:hAnsi="宋体" w:eastAsia="宋体" w:cs="宋体"/>
          <w:bCs w:val="0"/>
          <w:color w:val="auto"/>
          <w:spacing w:val="-1"/>
          <w:sz w:val="24"/>
          <w:szCs w:val="24"/>
          <w:highlight w:val="none"/>
          <w:lang w:val="zh-CN" w:eastAsia="zh-CN"/>
        </w:rPr>
        <w:t>五、考核方式</w:t>
      </w:r>
    </w:p>
    <w:p w14:paraId="5D5C914C">
      <w:pPr>
        <w:pStyle w:val="6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val="0"/>
          <w:color w:val="auto"/>
          <w:spacing w:val="-1"/>
          <w:sz w:val="24"/>
          <w:szCs w:val="24"/>
          <w:highlight w:val="none"/>
          <w:lang w:val="zh-CN" w:eastAsia="zh-CN"/>
        </w:rPr>
      </w:pPr>
      <w:r>
        <w:rPr>
          <w:rFonts w:hint="eastAsia" w:ascii="宋体" w:hAnsi="宋体" w:eastAsia="宋体" w:cs="宋体"/>
          <w:bCs w:val="0"/>
          <w:color w:val="auto"/>
          <w:spacing w:val="-1"/>
          <w:sz w:val="24"/>
          <w:szCs w:val="24"/>
          <w:highlight w:val="none"/>
          <w:lang w:val="zh-CN" w:eastAsia="zh-CN"/>
        </w:rPr>
        <w:t>1.考核采用评分制，总分100分。</w:t>
      </w:r>
    </w:p>
    <w:p w14:paraId="5869FA2B">
      <w:pPr>
        <w:pStyle w:val="6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pacing w:val="-1"/>
          <w:sz w:val="24"/>
          <w:szCs w:val="24"/>
          <w:highlight w:val="none"/>
          <w:lang w:val="zh-CN" w:eastAsia="zh-CN"/>
        </w:rPr>
      </w:pPr>
      <w:r>
        <w:rPr>
          <w:rFonts w:hint="eastAsia" w:ascii="宋体" w:hAnsi="宋体" w:eastAsia="宋体" w:cs="宋体"/>
          <w:bCs w:val="0"/>
          <w:color w:val="auto"/>
          <w:spacing w:val="-1"/>
          <w:sz w:val="24"/>
          <w:szCs w:val="24"/>
          <w:highlight w:val="none"/>
          <w:lang w:val="zh-CN" w:eastAsia="zh-CN"/>
        </w:rPr>
        <w:t>2.考核办法具体详见附件表格。</w:t>
      </w:r>
    </w:p>
    <w:tbl>
      <w:tblPr>
        <w:tblStyle w:val="48"/>
        <w:tblW w:w="9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592"/>
        <w:gridCol w:w="1132"/>
        <w:gridCol w:w="4761"/>
        <w:gridCol w:w="828"/>
      </w:tblGrid>
      <w:tr w14:paraId="738B5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noWrap/>
            <w:vAlign w:val="center"/>
          </w:tcPr>
          <w:p w14:paraId="125E6C46">
            <w:pPr>
              <w:widowControl/>
              <w:spacing w:after="125" w:line="4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592" w:type="dxa"/>
            <w:noWrap/>
            <w:vAlign w:val="center"/>
          </w:tcPr>
          <w:p w14:paraId="3527D2D4">
            <w:pPr>
              <w:widowControl/>
              <w:spacing w:after="125" w:line="4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考核内容</w:t>
            </w:r>
          </w:p>
        </w:tc>
        <w:tc>
          <w:tcPr>
            <w:tcW w:w="1132" w:type="dxa"/>
            <w:noWrap/>
            <w:vAlign w:val="center"/>
          </w:tcPr>
          <w:p w14:paraId="6404B600">
            <w:pPr>
              <w:widowControl/>
              <w:spacing w:after="125" w:line="4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标准分</w:t>
            </w:r>
          </w:p>
        </w:tc>
        <w:tc>
          <w:tcPr>
            <w:tcW w:w="4761" w:type="dxa"/>
            <w:noWrap/>
            <w:vAlign w:val="center"/>
          </w:tcPr>
          <w:p w14:paraId="41DFD6B7">
            <w:pPr>
              <w:widowControl/>
              <w:spacing w:after="125" w:line="4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扣分原因</w:t>
            </w:r>
          </w:p>
        </w:tc>
        <w:tc>
          <w:tcPr>
            <w:tcW w:w="828" w:type="dxa"/>
            <w:noWrap/>
            <w:vAlign w:val="center"/>
          </w:tcPr>
          <w:p w14:paraId="3326468D">
            <w:pPr>
              <w:widowControl/>
              <w:spacing w:after="125" w:line="4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得分</w:t>
            </w:r>
          </w:p>
        </w:tc>
      </w:tr>
      <w:tr w14:paraId="5C8C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74" w:type="dxa"/>
            <w:noWrap/>
            <w:vAlign w:val="center"/>
          </w:tcPr>
          <w:p w14:paraId="1B6D8076">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w:t>
            </w:r>
          </w:p>
        </w:tc>
        <w:tc>
          <w:tcPr>
            <w:tcW w:w="1592" w:type="dxa"/>
            <w:noWrap/>
            <w:vAlign w:val="center"/>
          </w:tcPr>
          <w:p w14:paraId="048EF687">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装卸质量</w:t>
            </w:r>
          </w:p>
        </w:tc>
        <w:tc>
          <w:tcPr>
            <w:tcW w:w="1132" w:type="dxa"/>
            <w:noWrap/>
            <w:vAlign w:val="center"/>
          </w:tcPr>
          <w:p w14:paraId="11B9BAF8">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w:t>
            </w:r>
          </w:p>
        </w:tc>
        <w:tc>
          <w:tcPr>
            <w:tcW w:w="4761" w:type="dxa"/>
            <w:noWrap/>
            <w:vAlign w:val="top"/>
          </w:tcPr>
          <w:p w14:paraId="106E9DE3">
            <w:pPr>
              <w:widowControl/>
              <w:spacing w:before="0" w:beforeAutospacing="0" w:after="125" w:afterAutospacing="0" w:line="320" w:lineRule="exact"/>
              <w:jc w:val="both"/>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pacing w:val="0"/>
                <w:kern w:val="0"/>
                <w:sz w:val="24"/>
                <w:szCs w:val="24"/>
                <w:highlight w:val="none"/>
                <w:lang w:val="en-US" w:eastAsia="zh-CN" w:bidi="ar"/>
              </w:rPr>
              <w:t>按厂里给定计划及时完成运输工作，运输人员要按称重标准，装到位，卸干净，并接受现场管理人员随机抽查，每发现一次不符合标准的行为，扣2分/次，扣完为止。</w:t>
            </w:r>
          </w:p>
        </w:tc>
        <w:tc>
          <w:tcPr>
            <w:tcW w:w="828" w:type="dxa"/>
            <w:noWrap/>
            <w:vAlign w:val="top"/>
          </w:tcPr>
          <w:p w14:paraId="36C5085F">
            <w:pPr>
              <w:widowControl/>
              <w:spacing w:after="125" w:line="400" w:lineRule="exact"/>
              <w:jc w:val="left"/>
              <w:rPr>
                <w:rFonts w:hint="eastAsia" w:ascii="宋体" w:hAnsi="宋体" w:eastAsia="宋体" w:cs="宋体"/>
                <w:color w:val="auto"/>
                <w:kern w:val="0"/>
                <w:sz w:val="24"/>
                <w:szCs w:val="24"/>
                <w:highlight w:val="none"/>
              </w:rPr>
            </w:pPr>
          </w:p>
        </w:tc>
      </w:tr>
      <w:tr w14:paraId="7D70F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774" w:type="dxa"/>
            <w:noWrap/>
            <w:vAlign w:val="center"/>
          </w:tcPr>
          <w:p w14:paraId="1294499C">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w:t>
            </w:r>
          </w:p>
        </w:tc>
        <w:tc>
          <w:tcPr>
            <w:tcW w:w="1592" w:type="dxa"/>
            <w:noWrap/>
            <w:vAlign w:val="center"/>
          </w:tcPr>
          <w:p w14:paraId="0DE40DCC">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服务及时性</w:t>
            </w:r>
          </w:p>
        </w:tc>
        <w:tc>
          <w:tcPr>
            <w:tcW w:w="1132" w:type="dxa"/>
            <w:noWrap/>
            <w:vAlign w:val="center"/>
          </w:tcPr>
          <w:p w14:paraId="03264AF8">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20</w:t>
            </w:r>
          </w:p>
        </w:tc>
        <w:tc>
          <w:tcPr>
            <w:tcW w:w="4761" w:type="dxa"/>
            <w:noWrap/>
            <w:vAlign w:val="center"/>
          </w:tcPr>
          <w:p w14:paraId="3FDA68D2">
            <w:pPr>
              <w:widowControl/>
              <w:spacing w:before="0" w:beforeAutospacing="0" w:after="125" w:line="320" w:lineRule="exact"/>
              <w:jc w:val="both"/>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pacing w:val="0"/>
                <w:kern w:val="0"/>
                <w:sz w:val="24"/>
                <w:szCs w:val="24"/>
                <w:highlight w:val="none"/>
                <w:lang w:val="en-US" w:eastAsia="zh-CN" w:bidi="ar"/>
              </w:rPr>
              <w:t>污泥清运必须及时，污泥清运不及时，或漏清每次扣2分，假设因污泥清运不及时导致污泥积压并未及时处理的，扣2分/次，扣完为止。</w:t>
            </w:r>
          </w:p>
        </w:tc>
        <w:tc>
          <w:tcPr>
            <w:tcW w:w="828" w:type="dxa"/>
            <w:noWrap/>
            <w:vAlign w:val="top"/>
          </w:tcPr>
          <w:p w14:paraId="5DEABE6A">
            <w:pPr>
              <w:widowControl/>
              <w:spacing w:after="125" w:line="480" w:lineRule="exact"/>
              <w:jc w:val="left"/>
              <w:rPr>
                <w:rFonts w:hint="eastAsia" w:ascii="宋体" w:hAnsi="宋体" w:eastAsia="宋体" w:cs="宋体"/>
                <w:color w:val="auto"/>
                <w:kern w:val="0"/>
                <w:sz w:val="24"/>
                <w:szCs w:val="24"/>
                <w:highlight w:val="none"/>
              </w:rPr>
            </w:pPr>
          </w:p>
        </w:tc>
      </w:tr>
      <w:tr w14:paraId="6395A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774" w:type="dxa"/>
            <w:noWrap/>
            <w:vAlign w:val="center"/>
          </w:tcPr>
          <w:p w14:paraId="57E1FA84">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w:t>
            </w:r>
          </w:p>
        </w:tc>
        <w:tc>
          <w:tcPr>
            <w:tcW w:w="1592" w:type="dxa"/>
            <w:noWrap/>
            <w:vAlign w:val="center"/>
          </w:tcPr>
          <w:p w14:paraId="0CC3C134">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运输过程</w:t>
            </w:r>
          </w:p>
        </w:tc>
        <w:tc>
          <w:tcPr>
            <w:tcW w:w="1132" w:type="dxa"/>
            <w:noWrap/>
            <w:vAlign w:val="center"/>
          </w:tcPr>
          <w:p w14:paraId="4A5C9D9E">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w:t>
            </w:r>
          </w:p>
        </w:tc>
        <w:tc>
          <w:tcPr>
            <w:tcW w:w="4761" w:type="dxa"/>
            <w:noWrap/>
            <w:vAlign w:val="center"/>
          </w:tcPr>
          <w:p w14:paraId="15990148">
            <w:pPr>
              <w:widowControl/>
              <w:spacing w:after="125" w:line="320" w:lineRule="exact"/>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满车后必须加盖密封，车辆不超载运输，外侧不得加挂其它杂物，密封运输，垃圾不得漏酒、污染道路，</w:t>
            </w:r>
            <w:r>
              <w:rPr>
                <w:rFonts w:hint="eastAsia" w:ascii="宋体" w:hAnsi="宋体" w:eastAsia="宋体" w:cs="宋体"/>
                <w:color w:val="auto"/>
                <w:spacing w:val="0"/>
                <w:kern w:val="0"/>
                <w:sz w:val="24"/>
                <w:szCs w:val="24"/>
                <w:highlight w:val="none"/>
                <w:lang w:val="en-US" w:eastAsia="zh-CN" w:bidi="ar"/>
              </w:rPr>
              <w:t>每发现一次不符合标准的行为，扣2分/次，扣完为止。</w:t>
            </w:r>
          </w:p>
        </w:tc>
        <w:tc>
          <w:tcPr>
            <w:tcW w:w="828" w:type="dxa"/>
            <w:noWrap/>
            <w:vAlign w:val="top"/>
          </w:tcPr>
          <w:p w14:paraId="5096550B">
            <w:pPr>
              <w:widowControl/>
              <w:spacing w:after="125" w:line="400" w:lineRule="exact"/>
              <w:jc w:val="left"/>
              <w:rPr>
                <w:rFonts w:hint="eastAsia" w:ascii="宋体" w:hAnsi="宋体" w:eastAsia="宋体" w:cs="宋体"/>
                <w:color w:val="auto"/>
                <w:kern w:val="0"/>
                <w:sz w:val="24"/>
                <w:szCs w:val="24"/>
                <w:highlight w:val="none"/>
              </w:rPr>
            </w:pPr>
          </w:p>
        </w:tc>
      </w:tr>
      <w:tr w14:paraId="1B467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774" w:type="dxa"/>
            <w:noWrap/>
            <w:vAlign w:val="center"/>
          </w:tcPr>
          <w:p w14:paraId="6FD424E5">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4</w:t>
            </w:r>
          </w:p>
        </w:tc>
        <w:tc>
          <w:tcPr>
            <w:tcW w:w="1592" w:type="dxa"/>
            <w:noWrap/>
            <w:vAlign w:val="center"/>
          </w:tcPr>
          <w:p w14:paraId="36674711">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项目资料</w:t>
            </w:r>
            <w:r>
              <w:rPr>
                <w:rFonts w:hint="eastAsia" w:ascii="宋体" w:hAnsi="宋体" w:eastAsia="宋体" w:cs="宋体"/>
                <w:color w:val="auto"/>
                <w:kern w:val="0"/>
                <w:sz w:val="24"/>
                <w:szCs w:val="24"/>
                <w:highlight w:val="none"/>
                <w:lang w:val="en-US" w:eastAsia="zh-CN"/>
              </w:rPr>
              <w:t>收集</w:t>
            </w:r>
          </w:p>
        </w:tc>
        <w:tc>
          <w:tcPr>
            <w:tcW w:w="1132" w:type="dxa"/>
            <w:noWrap/>
            <w:vAlign w:val="center"/>
          </w:tcPr>
          <w:p w14:paraId="35F05BE0">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10</w:t>
            </w:r>
          </w:p>
        </w:tc>
        <w:tc>
          <w:tcPr>
            <w:tcW w:w="4761" w:type="dxa"/>
            <w:noWrap/>
            <w:vAlign w:val="top"/>
          </w:tcPr>
          <w:p w14:paraId="27F76624">
            <w:pPr>
              <w:widowControl/>
              <w:spacing w:after="125" w:line="320" w:lineRule="exact"/>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车辆性能良好，</w:t>
            </w:r>
            <w:r>
              <w:rPr>
                <w:rFonts w:hint="eastAsia" w:ascii="宋体" w:hAnsi="宋体" w:eastAsia="宋体" w:cs="宋体"/>
                <w:color w:val="auto"/>
                <w:kern w:val="0"/>
                <w:sz w:val="24"/>
                <w:szCs w:val="24"/>
                <w:highlight w:val="none"/>
                <w:lang w:val="en-US" w:eastAsia="zh-CN"/>
              </w:rPr>
              <w:t>各项技术指标满足污泥清运要求，车辆</w:t>
            </w:r>
            <w:r>
              <w:rPr>
                <w:rFonts w:hint="eastAsia" w:ascii="宋体" w:hAnsi="宋体" w:eastAsia="宋体" w:cs="宋体"/>
                <w:color w:val="auto"/>
                <w:kern w:val="0"/>
                <w:sz w:val="24"/>
                <w:szCs w:val="24"/>
                <w:highlight w:val="none"/>
              </w:rPr>
              <w:t>统一标识，外观无缺损、号牌清晰、车容车貌整洁美观，</w:t>
            </w:r>
            <w:r>
              <w:rPr>
                <w:rFonts w:hint="eastAsia" w:ascii="宋体" w:hAnsi="宋体" w:eastAsia="宋体" w:cs="宋体"/>
                <w:color w:val="auto"/>
                <w:spacing w:val="0"/>
                <w:kern w:val="0"/>
                <w:sz w:val="24"/>
                <w:szCs w:val="24"/>
                <w:highlight w:val="none"/>
                <w:lang w:val="en-US" w:eastAsia="zh-CN" w:bidi="ar"/>
              </w:rPr>
              <w:t>每发现一次不符合标准的行为</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spacing w:val="0"/>
                <w:kern w:val="0"/>
                <w:sz w:val="24"/>
                <w:szCs w:val="24"/>
                <w:highlight w:val="none"/>
                <w:lang w:val="en-US" w:eastAsia="zh-CN" w:bidi="ar"/>
              </w:rPr>
              <w:t>扣2分/次，扣完为止。</w:t>
            </w:r>
          </w:p>
        </w:tc>
        <w:tc>
          <w:tcPr>
            <w:tcW w:w="828" w:type="dxa"/>
            <w:noWrap/>
            <w:vAlign w:val="top"/>
          </w:tcPr>
          <w:p w14:paraId="5E1D2479">
            <w:pPr>
              <w:widowControl/>
              <w:spacing w:after="125" w:line="400" w:lineRule="exact"/>
              <w:jc w:val="left"/>
              <w:rPr>
                <w:rFonts w:hint="eastAsia" w:ascii="宋体" w:hAnsi="宋体" w:eastAsia="宋体" w:cs="宋体"/>
                <w:color w:val="auto"/>
                <w:kern w:val="0"/>
                <w:sz w:val="24"/>
                <w:szCs w:val="24"/>
                <w:highlight w:val="none"/>
              </w:rPr>
            </w:pPr>
          </w:p>
        </w:tc>
      </w:tr>
      <w:tr w14:paraId="6202C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74" w:type="dxa"/>
            <w:noWrap/>
            <w:vAlign w:val="center"/>
          </w:tcPr>
          <w:p w14:paraId="6F919FB3">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5</w:t>
            </w:r>
          </w:p>
        </w:tc>
        <w:tc>
          <w:tcPr>
            <w:tcW w:w="1592" w:type="dxa"/>
            <w:noWrap/>
            <w:vAlign w:val="center"/>
          </w:tcPr>
          <w:p w14:paraId="1FB6271D">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重大事件的报告</w:t>
            </w:r>
          </w:p>
        </w:tc>
        <w:tc>
          <w:tcPr>
            <w:tcW w:w="1132" w:type="dxa"/>
            <w:noWrap/>
            <w:vAlign w:val="center"/>
          </w:tcPr>
          <w:p w14:paraId="282B630D">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w:t>
            </w:r>
          </w:p>
        </w:tc>
        <w:tc>
          <w:tcPr>
            <w:tcW w:w="4761" w:type="dxa"/>
            <w:noWrap/>
            <w:vAlign w:val="center"/>
          </w:tcPr>
          <w:p w14:paraId="7B26E2FD">
            <w:pPr>
              <w:widowControl/>
              <w:spacing w:before="0" w:beforeAutospacing="0" w:after="125" w:afterAutospacing="0" w:line="320" w:lineRule="exact"/>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遇重大事项或问题事先未及时向</w:t>
            </w:r>
            <w:r>
              <w:rPr>
                <w:rFonts w:hint="eastAsia" w:ascii="宋体" w:hAnsi="宋体" w:cs="宋体"/>
                <w:color w:val="auto"/>
                <w:kern w:val="0"/>
                <w:sz w:val="24"/>
                <w:szCs w:val="24"/>
                <w:highlight w:val="none"/>
                <w:lang w:val="en-US" w:eastAsia="zh-CN"/>
              </w:rPr>
              <w:t>甲乙双方</w:t>
            </w:r>
            <w:r>
              <w:rPr>
                <w:rFonts w:hint="eastAsia" w:ascii="宋体" w:hAnsi="宋体" w:eastAsia="宋体" w:cs="宋体"/>
                <w:color w:val="auto"/>
                <w:kern w:val="0"/>
                <w:sz w:val="24"/>
                <w:szCs w:val="24"/>
                <w:highlight w:val="none"/>
              </w:rPr>
              <w:t>报告，单方面做出处理意见的，每发现一次扣</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分，直至扣完为止。发现</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次以上的，可终止合同。</w:t>
            </w:r>
          </w:p>
        </w:tc>
        <w:tc>
          <w:tcPr>
            <w:tcW w:w="828" w:type="dxa"/>
            <w:noWrap/>
            <w:vAlign w:val="top"/>
          </w:tcPr>
          <w:p w14:paraId="1ED538F9">
            <w:pPr>
              <w:widowControl/>
              <w:spacing w:after="125" w:line="400" w:lineRule="exact"/>
              <w:jc w:val="left"/>
              <w:rPr>
                <w:rFonts w:hint="eastAsia" w:ascii="宋体" w:hAnsi="宋体" w:eastAsia="宋体" w:cs="宋体"/>
                <w:color w:val="auto"/>
                <w:kern w:val="0"/>
                <w:sz w:val="24"/>
                <w:szCs w:val="24"/>
                <w:highlight w:val="none"/>
              </w:rPr>
            </w:pPr>
          </w:p>
        </w:tc>
      </w:tr>
      <w:tr w14:paraId="0D08C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74" w:type="dxa"/>
            <w:noWrap/>
            <w:vAlign w:val="center"/>
          </w:tcPr>
          <w:p w14:paraId="3770D14C">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6</w:t>
            </w:r>
          </w:p>
        </w:tc>
        <w:tc>
          <w:tcPr>
            <w:tcW w:w="1592" w:type="dxa"/>
            <w:noWrap/>
            <w:vAlign w:val="center"/>
          </w:tcPr>
          <w:p w14:paraId="410CDFB2">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管理台账</w:t>
            </w:r>
          </w:p>
        </w:tc>
        <w:tc>
          <w:tcPr>
            <w:tcW w:w="1132" w:type="dxa"/>
            <w:noWrap/>
            <w:vAlign w:val="center"/>
          </w:tcPr>
          <w:p w14:paraId="53F8C801">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w:t>
            </w:r>
          </w:p>
        </w:tc>
        <w:tc>
          <w:tcPr>
            <w:tcW w:w="4761" w:type="dxa"/>
            <w:noWrap/>
            <w:vAlign w:val="center"/>
          </w:tcPr>
          <w:p w14:paraId="5EE2BA20">
            <w:pPr>
              <w:widowControl/>
              <w:spacing w:after="125" w:line="320" w:lineRule="exact"/>
              <w:jc w:val="both"/>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作业规范化建设年度工作计划、作业车辆更新改造计划、作业人员培训情况、车辆固定资产管理情况</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车辆修理维护记录、车容车况日常自查记录车辆清洗保洁日志、作业车辆运输作业路线计划与记录、单位内容作业质量考评记录、投诉处理备忘录</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pacing w:val="0"/>
                <w:kern w:val="0"/>
                <w:sz w:val="24"/>
                <w:szCs w:val="24"/>
                <w:highlight w:val="none"/>
                <w:lang w:val="en-US" w:eastAsia="zh-CN" w:bidi="ar"/>
              </w:rPr>
              <w:t>每发现一次不符合标准的行为</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spacing w:val="0"/>
                <w:kern w:val="0"/>
                <w:sz w:val="24"/>
                <w:szCs w:val="24"/>
                <w:highlight w:val="none"/>
                <w:lang w:val="en-US" w:eastAsia="zh-CN" w:bidi="ar"/>
              </w:rPr>
              <w:t>扣1分/次，扣完为止。</w:t>
            </w:r>
          </w:p>
        </w:tc>
        <w:tc>
          <w:tcPr>
            <w:tcW w:w="828" w:type="dxa"/>
            <w:noWrap/>
            <w:vAlign w:val="top"/>
          </w:tcPr>
          <w:p w14:paraId="50352FC5">
            <w:pPr>
              <w:widowControl/>
              <w:spacing w:after="125" w:line="400" w:lineRule="exact"/>
              <w:jc w:val="left"/>
              <w:rPr>
                <w:rFonts w:hint="eastAsia" w:ascii="宋体" w:hAnsi="宋体" w:eastAsia="宋体" w:cs="宋体"/>
                <w:color w:val="auto"/>
                <w:kern w:val="0"/>
                <w:sz w:val="24"/>
                <w:szCs w:val="24"/>
                <w:highlight w:val="none"/>
              </w:rPr>
            </w:pPr>
          </w:p>
        </w:tc>
      </w:tr>
      <w:tr w14:paraId="635CD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74" w:type="dxa"/>
            <w:noWrap/>
            <w:vAlign w:val="center"/>
          </w:tcPr>
          <w:p w14:paraId="20698B8E">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7</w:t>
            </w:r>
          </w:p>
        </w:tc>
        <w:tc>
          <w:tcPr>
            <w:tcW w:w="1592" w:type="dxa"/>
            <w:noWrap/>
            <w:vAlign w:val="center"/>
          </w:tcPr>
          <w:p w14:paraId="6E29321E">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培训制度</w:t>
            </w:r>
          </w:p>
        </w:tc>
        <w:tc>
          <w:tcPr>
            <w:tcW w:w="1132" w:type="dxa"/>
            <w:noWrap/>
            <w:vAlign w:val="center"/>
          </w:tcPr>
          <w:p w14:paraId="453650DD">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10</w:t>
            </w:r>
          </w:p>
        </w:tc>
        <w:tc>
          <w:tcPr>
            <w:tcW w:w="4761" w:type="dxa"/>
            <w:noWrap/>
            <w:vAlign w:val="top"/>
          </w:tcPr>
          <w:p w14:paraId="07D15E7A">
            <w:pPr>
              <w:widowControl/>
              <w:spacing w:after="125" w:line="320" w:lineRule="exact"/>
              <w:jc w:val="both"/>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公司</w:t>
            </w:r>
            <w:r>
              <w:rPr>
                <w:rFonts w:hint="eastAsia" w:ascii="宋体" w:hAnsi="宋体" w:eastAsia="宋体" w:cs="宋体"/>
                <w:color w:val="auto"/>
                <w:kern w:val="0"/>
                <w:sz w:val="24"/>
                <w:szCs w:val="24"/>
                <w:highlight w:val="none"/>
              </w:rPr>
              <w:t>有完整的内部</w:t>
            </w:r>
            <w:r>
              <w:rPr>
                <w:rFonts w:hint="eastAsia" w:ascii="宋体" w:hAnsi="宋体" w:eastAsia="宋体" w:cs="宋体"/>
                <w:color w:val="auto"/>
                <w:kern w:val="0"/>
                <w:sz w:val="24"/>
                <w:szCs w:val="24"/>
                <w:highlight w:val="none"/>
                <w:lang w:val="en-US" w:eastAsia="zh-CN"/>
              </w:rPr>
              <w:t>培训制度，作业人员严格遵守安全管理制度和操作规程。车辆行驶遵守交通法规，未发生超速超载、人员伤亡等交通事故</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pacing w:val="0"/>
                <w:kern w:val="0"/>
                <w:sz w:val="24"/>
                <w:szCs w:val="24"/>
                <w:highlight w:val="none"/>
                <w:lang w:val="en-US" w:eastAsia="zh-CN" w:bidi="ar"/>
              </w:rPr>
              <w:t>每发现一次不符合标准的行为</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spacing w:val="0"/>
                <w:kern w:val="0"/>
                <w:sz w:val="24"/>
                <w:szCs w:val="24"/>
                <w:highlight w:val="none"/>
                <w:lang w:val="en-US" w:eastAsia="zh-CN" w:bidi="ar"/>
              </w:rPr>
              <w:t>扣2分/次，扣完为止。</w:t>
            </w:r>
          </w:p>
        </w:tc>
        <w:tc>
          <w:tcPr>
            <w:tcW w:w="828" w:type="dxa"/>
            <w:noWrap/>
            <w:vAlign w:val="top"/>
          </w:tcPr>
          <w:p w14:paraId="5560D7DB">
            <w:pPr>
              <w:widowControl/>
              <w:spacing w:after="125" w:line="400" w:lineRule="exact"/>
              <w:jc w:val="left"/>
              <w:rPr>
                <w:rFonts w:hint="eastAsia" w:ascii="宋体" w:hAnsi="宋体" w:eastAsia="宋体" w:cs="宋体"/>
                <w:color w:val="auto"/>
                <w:kern w:val="0"/>
                <w:sz w:val="24"/>
                <w:szCs w:val="24"/>
                <w:highlight w:val="none"/>
              </w:rPr>
            </w:pPr>
          </w:p>
        </w:tc>
      </w:tr>
      <w:tr w14:paraId="5467E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774" w:type="dxa"/>
            <w:noWrap/>
            <w:vAlign w:val="center"/>
          </w:tcPr>
          <w:p w14:paraId="75CC7A17">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8</w:t>
            </w:r>
          </w:p>
        </w:tc>
        <w:tc>
          <w:tcPr>
            <w:tcW w:w="1592" w:type="dxa"/>
            <w:noWrap/>
            <w:vAlign w:val="center"/>
          </w:tcPr>
          <w:p w14:paraId="68509656">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公众监督</w:t>
            </w:r>
          </w:p>
        </w:tc>
        <w:tc>
          <w:tcPr>
            <w:tcW w:w="1132" w:type="dxa"/>
            <w:noWrap/>
            <w:vAlign w:val="center"/>
          </w:tcPr>
          <w:p w14:paraId="0DDB197A">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10</w:t>
            </w:r>
          </w:p>
        </w:tc>
        <w:tc>
          <w:tcPr>
            <w:tcW w:w="4761" w:type="dxa"/>
            <w:noWrap/>
            <w:vAlign w:val="top"/>
          </w:tcPr>
          <w:p w14:paraId="0E6C01E8">
            <w:pPr>
              <w:widowControl/>
              <w:spacing w:after="125" w:line="320" w:lineRule="exact"/>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受到</w:t>
            </w:r>
            <w:r>
              <w:rPr>
                <w:rFonts w:hint="eastAsia" w:ascii="宋体" w:hAnsi="宋体" w:eastAsia="宋体" w:cs="宋体"/>
                <w:color w:val="auto"/>
                <w:kern w:val="0"/>
                <w:sz w:val="24"/>
                <w:szCs w:val="24"/>
                <w:highlight w:val="none"/>
              </w:rPr>
              <w:t>媒体曝光</w:t>
            </w:r>
            <w:r>
              <w:rPr>
                <w:rFonts w:hint="eastAsia" w:ascii="宋体" w:hAnsi="宋体" w:eastAsia="宋体" w:cs="宋体"/>
                <w:color w:val="auto"/>
                <w:kern w:val="0"/>
                <w:sz w:val="24"/>
                <w:szCs w:val="24"/>
                <w:highlight w:val="none"/>
                <w:lang w:eastAsia="zh-CN"/>
              </w:rPr>
              <w:t>、市民投诉</w:t>
            </w:r>
            <w:r>
              <w:rPr>
                <w:rFonts w:hint="eastAsia" w:ascii="宋体" w:hAnsi="宋体" w:eastAsia="宋体" w:cs="宋体"/>
                <w:color w:val="auto"/>
                <w:kern w:val="0"/>
                <w:sz w:val="24"/>
                <w:szCs w:val="24"/>
                <w:highlight w:val="none"/>
                <w:lang w:val="en-US" w:eastAsia="zh-CN"/>
              </w:rPr>
              <w:t>等行为</w:t>
            </w:r>
            <w:r>
              <w:rPr>
                <w:rFonts w:hint="eastAsia" w:ascii="宋体" w:hAnsi="宋体" w:eastAsia="宋体" w:cs="宋体"/>
                <w:color w:val="auto"/>
                <w:kern w:val="0"/>
                <w:sz w:val="24"/>
                <w:szCs w:val="24"/>
                <w:highlight w:val="none"/>
                <w:lang w:eastAsia="zh-CN"/>
              </w:rPr>
              <w:t>，属负面报道、</w:t>
            </w:r>
            <w:r>
              <w:rPr>
                <w:rFonts w:hint="eastAsia" w:ascii="宋体" w:hAnsi="宋体" w:eastAsia="宋体" w:cs="宋体"/>
                <w:color w:val="auto"/>
                <w:kern w:val="0"/>
                <w:sz w:val="24"/>
                <w:szCs w:val="24"/>
                <w:highlight w:val="none"/>
                <w:lang w:val="en-US" w:eastAsia="zh-CN"/>
              </w:rPr>
              <w:t>负面投诉</w:t>
            </w:r>
            <w:r>
              <w:rPr>
                <w:rFonts w:hint="eastAsia" w:ascii="宋体" w:hAnsi="宋体" w:eastAsia="宋体" w:cs="宋体"/>
                <w:color w:val="auto"/>
                <w:kern w:val="0"/>
                <w:sz w:val="24"/>
                <w:szCs w:val="24"/>
                <w:highlight w:val="none"/>
                <w:lang w:eastAsia="zh-CN"/>
              </w:rPr>
              <w:t>且经查实属管理不力的，每次扣1分扣完为止。</w:t>
            </w:r>
          </w:p>
        </w:tc>
        <w:tc>
          <w:tcPr>
            <w:tcW w:w="828" w:type="dxa"/>
            <w:noWrap/>
            <w:vAlign w:val="top"/>
          </w:tcPr>
          <w:p w14:paraId="063A5A82">
            <w:pPr>
              <w:widowControl/>
              <w:spacing w:after="125" w:line="400" w:lineRule="exact"/>
              <w:jc w:val="left"/>
              <w:rPr>
                <w:rFonts w:hint="eastAsia" w:ascii="宋体" w:hAnsi="宋体" w:eastAsia="宋体" w:cs="宋体"/>
                <w:color w:val="auto"/>
                <w:kern w:val="0"/>
                <w:sz w:val="24"/>
                <w:szCs w:val="24"/>
                <w:highlight w:val="none"/>
              </w:rPr>
            </w:pPr>
          </w:p>
        </w:tc>
      </w:tr>
      <w:tr w14:paraId="125CF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jc w:val="center"/>
        </w:trPr>
        <w:tc>
          <w:tcPr>
            <w:tcW w:w="774" w:type="dxa"/>
            <w:noWrap/>
            <w:vAlign w:val="center"/>
          </w:tcPr>
          <w:p w14:paraId="0D087624">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9</w:t>
            </w:r>
          </w:p>
        </w:tc>
        <w:tc>
          <w:tcPr>
            <w:tcW w:w="1592" w:type="dxa"/>
            <w:noWrap/>
            <w:vAlign w:val="center"/>
          </w:tcPr>
          <w:p w14:paraId="35DA373A">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应急保障</w:t>
            </w:r>
          </w:p>
        </w:tc>
        <w:tc>
          <w:tcPr>
            <w:tcW w:w="1132" w:type="dxa"/>
            <w:noWrap/>
            <w:vAlign w:val="center"/>
          </w:tcPr>
          <w:p w14:paraId="2BC56196">
            <w:pPr>
              <w:widowControl/>
              <w:spacing w:before="100" w:beforeAutospacing="1" w:after="100" w:afterAutospacing="1"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w:t>
            </w:r>
          </w:p>
        </w:tc>
        <w:tc>
          <w:tcPr>
            <w:tcW w:w="4761" w:type="dxa"/>
            <w:noWrap/>
            <w:vAlign w:val="top"/>
          </w:tcPr>
          <w:p w14:paraId="7EE8533B">
            <w:pPr>
              <w:widowControl/>
              <w:spacing w:after="125" w:line="320" w:lineRule="exact"/>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应急作业响应及时，按照合同要求履行应急预案及应急保障服务</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应急保障不力的</w:t>
            </w:r>
            <w:r>
              <w:rPr>
                <w:rFonts w:hint="eastAsia" w:ascii="宋体" w:hAnsi="宋体" w:eastAsia="宋体" w:cs="宋体"/>
                <w:color w:val="auto"/>
                <w:kern w:val="0"/>
                <w:sz w:val="24"/>
                <w:szCs w:val="24"/>
                <w:highlight w:val="none"/>
                <w:lang w:eastAsia="zh-CN"/>
              </w:rPr>
              <w:t>，每次扣1分扣完为止。</w:t>
            </w:r>
          </w:p>
        </w:tc>
        <w:tc>
          <w:tcPr>
            <w:tcW w:w="828" w:type="dxa"/>
            <w:noWrap/>
            <w:vAlign w:val="top"/>
          </w:tcPr>
          <w:p w14:paraId="2163CFE8">
            <w:pPr>
              <w:widowControl/>
              <w:spacing w:after="125" w:line="400" w:lineRule="exact"/>
              <w:jc w:val="left"/>
              <w:rPr>
                <w:rFonts w:hint="eastAsia" w:ascii="宋体" w:hAnsi="宋体" w:eastAsia="宋体" w:cs="宋体"/>
                <w:color w:val="auto"/>
                <w:kern w:val="0"/>
                <w:sz w:val="24"/>
                <w:szCs w:val="24"/>
                <w:highlight w:val="none"/>
              </w:rPr>
            </w:pPr>
          </w:p>
        </w:tc>
      </w:tr>
      <w:tr w14:paraId="6CEA6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2366" w:type="dxa"/>
            <w:gridSpan w:val="2"/>
            <w:noWrap/>
            <w:vAlign w:val="center"/>
          </w:tcPr>
          <w:p w14:paraId="30E40DCE">
            <w:pPr>
              <w:widowControl/>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合计</w:t>
            </w:r>
          </w:p>
        </w:tc>
        <w:tc>
          <w:tcPr>
            <w:tcW w:w="1132" w:type="dxa"/>
            <w:noWrap/>
            <w:vAlign w:val="center"/>
          </w:tcPr>
          <w:p w14:paraId="3B55FF1E">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100</w:t>
            </w:r>
          </w:p>
        </w:tc>
        <w:tc>
          <w:tcPr>
            <w:tcW w:w="4761" w:type="dxa"/>
            <w:noWrap/>
            <w:vAlign w:val="center"/>
          </w:tcPr>
          <w:p w14:paraId="6BFBA01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828" w:type="dxa"/>
            <w:noWrap/>
            <w:vAlign w:val="center"/>
          </w:tcPr>
          <w:p w14:paraId="7952458D">
            <w:pPr>
              <w:widowControl/>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46D1A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jc w:val="center"/>
        </w:trPr>
        <w:tc>
          <w:tcPr>
            <w:tcW w:w="9087" w:type="dxa"/>
            <w:gridSpan w:val="5"/>
            <w:noWrap/>
            <w:vAlign w:val="center"/>
          </w:tcPr>
          <w:p w14:paraId="66AB2EF7">
            <w:pPr>
              <w:widowControl/>
              <w:spacing w:after="125" w:line="4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考核意见：</w:t>
            </w:r>
          </w:p>
          <w:p w14:paraId="130E6EEA">
            <w:pPr>
              <w:pStyle w:val="61"/>
              <w:ind w:left="0" w:leftChars="0" w:firstLine="0" w:firstLineChars="0"/>
              <w:jc w:val="left"/>
              <w:rPr>
                <w:rFonts w:hint="eastAsia" w:ascii="宋体" w:hAnsi="宋体" w:eastAsia="宋体" w:cs="宋体"/>
                <w:color w:val="auto"/>
                <w:kern w:val="0"/>
                <w:sz w:val="24"/>
                <w:szCs w:val="24"/>
                <w:highlight w:val="none"/>
                <w:lang w:val="en-US" w:eastAsia="zh-CN"/>
              </w:rPr>
            </w:pPr>
          </w:p>
          <w:p w14:paraId="331AF78C">
            <w:pPr>
              <w:pStyle w:val="61"/>
              <w:ind w:left="0" w:leftChars="0" w:firstLine="0" w:firstLineChars="0"/>
              <w:jc w:val="left"/>
              <w:rPr>
                <w:rFonts w:hint="eastAsia" w:ascii="宋体" w:hAnsi="宋体" w:eastAsia="宋体" w:cs="宋体"/>
                <w:color w:val="auto"/>
                <w:kern w:val="0"/>
                <w:sz w:val="24"/>
                <w:szCs w:val="24"/>
                <w:highlight w:val="none"/>
                <w:lang w:val="en-US" w:eastAsia="zh-CN"/>
              </w:rPr>
            </w:pPr>
          </w:p>
          <w:p w14:paraId="6FAD74B2">
            <w:pPr>
              <w:widowControl/>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考核小组：                                              日期：   年 月 日</w:t>
            </w:r>
          </w:p>
        </w:tc>
      </w:tr>
    </w:tbl>
    <w:p w14:paraId="544CABF8">
      <w:pPr>
        <w:widowControl/>
        <w:shd w:val="clear" w:color="auto" w:fill="FFFFFF"/>
        <w:spacing w:line="360" w:lineRule="auto"/>
        <w:ind w:firstLine="480" w:firstLineChars="200"/>
        <w:jc w:val="left"/>
        <w:rPr>
          <w:rFonts w:hint="default" w:ascii="宋体" w:hAnsi="宋体" w:cs="宋体"/>
          <w:b w:val="0"/>
          <w:bCs w:val="0"/>
          <w:snapToGrid/>
          <w:color w:val="auto"/>
          <w:sz w:val="24"/>
          <w:szCs w:val="24"/>
          <w:highlight w:val="none"/>
          <w:lang w:val="en-US" w:eastAsia="zh-CN"/>
        </w:rPr>
      </w:pPr>
      <w:r>
        <w:rPr>
          <w:rFonts w:hint="eastAsia" w:ascii="宋体" w:hAnsi="宋体" w:cs="宋体"/>
          <w:b w:val="0"/>
          <w:bCs w:val="0"/>
          <w:snapToGrid/>
          <w:color w:val="auto"/>
          <w:sz w:val="24"/>
          <w:szCs w:val="24"/>
          <w:highlight w:val="none"/>
          <w:lang w:val="en-US" w:eastAsia="zh-CN"/>
        </w:rPr>
        <w:t>注：考核得分与季度付款挂钩，具体实施方式如下：</w:t>
      </w:r>
    </w:p>
    <w:p w14:paraId="14A00858">
      <w:pPr>
        <w:widowControl/>
        <w:shd w:val="clear" w:color="auto" w:fill="FFFFFF"/>
        <w:spacing w:line="360" w:lineRule="auto"/>
        <w:ind w:firstLine="480" w:firstLineChars="200"/>
        <w:jc w:val="left"/>
        <w:rPr>
          <w:rFonts w:hint="eastAsia" w:ascii="宋体" w:hAnsi="宋体" w:cs="宋体"/>
          <w:b w:val="0"/>
          <w:bCs w:val="0"/>
          <w:snapToGrid/>
          <w:color w:val="auto"/>
          <w:sz w:val="24"/>
          <w:szCs w:val="24"/>
          <w:highlight w:val="none"/>
          <w:lang w:val="en-US" w:eastAsia="zh-CN"/>
        </w:rPr>
      </w:pPr>
      <w:r>
        <w:rPr>
          <w:rFonts w:hint="eastAsia" w:ascii="宋体" w:hAnsi="宋体" w:cs="宋体"/>
          <w:b w:val="0"/>
          <w:bCs w:val="0"/>
          <w:snapToGrid/>
          <w:color w:val="auto"/>
          <w:sz w:val="24"/>
          <w:szCs w:val="24"/>
          <w:highlight w:val="none"/>
          <w:lang w:val="en-US" w:eastAsia="zh-CN"/>
        </w:rPr>
        <w:t xml:space="preserve">1.如每季度考核平均得分≥90分，按季度服务费合同金额结算； </w:t>
      </w:r>
    </w:p>
    <w:p w14:paraId="2400953C">
      <w:pPr>
        <w:widowControl/>
        <w:shd w:val="clear" w:color="auto" w:fill="FFFFFF"/>
        <w:spacing w:line="360" w:lineRule="auto"/>
        <w:ind w:firstLine="480" w:firstLineChars="200"/>
        <w:jc w:val="left"/>
        <w:rPr>
          <w:rFonts w:hint="eastAsia" w:ascii="宋体" w:hAnsi="宋体" w:cs="宋体"/>
          <w:b w:val="0"/>
          <w:bCs w:val="0"/>
          <w:snapToGrid/>
          <w:color w:val="auto"/>
          <w:sz w:val="24"/>
          <w:szCs w:val="24"/>
          <w:highlight w:val="none"/>
          <w:lang w:val="en-US" w:eastAsia="zh-CN"/>
        </w:rPr>
      </w:pPr>
      <w:r>
        <w:rPr>
          <w:rFonts w:hint="eastAsia" w:ascii="宋体" w:hAnsi="宋体" w:cs="宋体"/>
          <w:b w:val="0"/>
          <w:bCs w:val="0"/>
          <w:snapToGrid/>
          <w:color w:val="auto"/>
          <w:sz w:val="24"/>
          <w:szCs w:val="24"/>
          <w:highlight w:val="none"/>
          <w:lang w:val="en-US" w:eastAsia="zh-CN"/>
        </w:rPr>
        <w:t>2.如每季度考核平均得分＜90分，其中：80（含）-90分（不含）部分每扣1分，扣除罚金5000元/分；70（含）-80分（不含）部分每扣1分，扣除罚金10000元/分；得分＜70分，甲乙双方有权直接解除合同，不给予任何补偿。</w:t>
      </w:r>
    </w:p>
    <w:p w14:paraId="4011E5E3">
      <w:pPr>
        <w:pStyle w:val="2"/>
        <w:rPr>
          <w:rFonts w:hint="eastAsia"/>
          <w:color w:val="auto"/>
          <w:highlight w:val="none"/>
          <w:lang w:val="en-US" w:eastAsia="zh-CN"/>
        </w:rPr>
      </w:pPr>
    </w:p>
    <w:p w14:paraId="1CAFEDA8">
      <w:pPr>
        <w:pStyle w:val="47"/>
        <w:spacing w:after="0" w:line="360" w:lineRule="auto"/>
        <w:ind w:left="0"/>
        <w:rPr>
          <w:rFonts w:hint="eastAsia" w:asciiTheme="minorEastAsia" w:hAnsiTheme="minorEastAsia" w:eastAsiaTheme="minorEastAsia"/>
          <w:color w:val="auto"/>
          <w:highlight w:val="none"/>
        </w:rPr>
      </w:pPr>
    </w:p>
    <w:p w14:paraId="206966DB">
      <w:pPr>
        <w:pStyle w:val="3"/>
        <w:numPr>
          <w:ilvl w:val="0"/>
          <w:numId w:val="0"/>
        </w:numPr>
        <w:spacing w:line="360" w:lineRule="auto"/>
        <w:rPr>
          <w:rFonts w:hint="eastAsia" w:asciiTheme="minorEastAsia" w:hAnsiTheme="minorEastAsia" w:eastAsiaTheme="minorEastAsia"/>
          <w:color w:val="auto"/>
          <w:highlight w:val="none"/>
        </w:rPr>
      </w:pPr>
      <w:bookmarkStart w:id="52" w:name="_Toc22737"/>
      <w:r>
        <w:rPr>
          <w:rFonts w:hint="eastAsia" w:asciiTheme="minorEastAsia" w:hAnsiTheme="minorEastAsia" w:eastAsiaTheme="minorEastAsia"/>
          <w:color w:val="auto"/>
          <w:highlight w:val="none"/>
        </w:rPr>
        <w:t>第六章 投标文件格式</w:t>
      </w:r>
      <w:bookmarkEnd w:id="48"/>
      <w:bookmarkEnd w:id="52"/>
    </w:p>
    <w:p w14:paraId="7C2381A1">
      <w:pPr>
        <w:widowControl/>
        <w:spacing w:line="360" w:lineRule="auto"/>
        <w:jc w:val="left"/>
        <w:rPr>
          <w:rFonts w:hint="eastAsia" w:asciiTheme="minorEastAsia" w:hAnsiTheme="minorEastAsia" w:eastAsiaTheme="minorEastAsia"/>
          <w:b/>
          <w:bCs/>
          <w:color w:val="auto"/>
          <w:szCs w:val="21"/>
          <w:highlight w:val="none"/>
        </w:rPr>
      </w:pPr>
    </w:p>
    <w:p w14:paraId="516D9B09">
      <w:pPr>
        <w:spacing w:line="360" w:lineRule="auto"/>
        <w:rPr>
          <w:rFonts w:hint="eastAsia" w:asciiTheme="minorEastAsia" w:hAnsiTheme="minorEastAsia" w:eastAsiaTheme="minorEastAsia"/>
          <w:color w:val="auto"/>
          <w:sz w:val="20"/>
          <w:szCs w:val="20"/>
          <w:highlight w:val="none"/>
        </w:rPr>
      </w:pPr>
    </w:p>
    <w:p w14:paraId="694B4E71">
      <w:pPr>
        <w:spacing w:line="360" w:lineRule="auto"/>
        <w:rPr>
          <w:rFonts w:hint="eastAsia" w:asciiTheme="minorEastAsia" w:hAnsiTheme="minorEastAsia" w:eastAsiaTheme="minorEastAsia"/>
          <w:color w:val="auto"/>
          <w:sz w:val="20"/>
          <w:szCs w:val="20"/>
          <w:highlight w:val="none"/>
        </w:rPr>
      </w:pPr>
    </w:p>
    <w:p w14:paraId="3C96BCE7">
      <w:pPr>
        <w:spacing w:line="360" w:lineRule="auto"/>
        <w:rPr>
          <w:rFonts w:hint="eastAsia" w:asciiTheme="minorEastAsia" w:hAnsiTheme="minorEastAsia" w:eastAsiaTheme="minorEastAsia"/>
          <w:color w:val="auto"/>
          <w:sz w:val="20"/>
          <w:szCs w:val="20"/>
          <w:highlight w:val="none"/>
        </w:rPr>
      </w:pPr>
    </w:p>
    <w:p w14:paraId="224B42C7">
      <w:pPr>
        <w:spacing w:line="360" w:lineRule="auto"/>
        <w:rPr>
          <w:rFonts w:hint="eastAsia" w:asciiTheme="minorEastAsia" w:hAnsiTheme="minorEastAsia" w:eastAsiaTheme="minorEastAsia"/>
          <w:color w:val="auto"/>
          <w:sz w:val="32"/>
          <w:szCs w:val="32"/>
          <w:highlight w:val="none"/>
        </w:rPr>
      </w:pPr>
    </w:p>
    <w:p w14:paraId="6BBF94DA">
      <w:pPr>
        <w:spacing w:line="360" w:lineRule="auto"/>
        <w:jc w:val="center"/>
        <w:rPr>
          <w:rFonts w:hint="eastAsia" w:asciiTheme="minorEastAsia" w:hAnsiTheme="minorEastAsia" w:eastAsiaTheme="minorEastAsia"/>
          <w:color w:val="auto"/>
          <w:sz w:val="32"/>
          <w:szCs w:val="32"/>
          <w:highlight w:val="none"/>
        </w:rPr>
      </w:pPr>
    </w:p>
    <w:p w14:paraId="4990007B">
      <w:pPr>
        <w:spacing w:line="360" w:lineRule="auto"/>
        <w:rPr>
          <w:rFonts w:hint="eastAsia" w:asciiTheme="minorEastAsia" w:hAnsiTheme="minorEastAsia" w:eastAsiaTheme="minorEastAsia"/>
          <w:color w:val="auto"/>
          <w:sz w:val="32"/>
          <w:szCs w:val="32"/>
          <w:highlight w:val="none"/>
        </w:rPr>
      </w:pPr>
    </w:p>
    <w:p w14:paraId="595DD193">
      <w:pPr>
        <w:spacing w:line="360" w:lineRule="auto"/>
        <w:jc w:val="center"/>
        <w:rPr>
          <w:rFonts w:hint="eastAsia" w:asciiTheme="minorEastAsia" w:hAnsiTheme="minorEastAsia" w:eastAsiaTheme="minorEastAsia"/>
          <w:color w:val="auto"/>
          <w:sz w:val="52"/>
          <w:szCs w:val="52"/>
          <w:highlight w:val="none"/>
        </w:rPr>
      </w:pPr>
      <w:r>
        <w:rPr>
          <w:rFonts w:hint="eastAsia" w:asciiTheme="minorEastAsia" w:hAnsiTheme="minorEastAsia" w:eastAsiaTheme="minorEastAsia"/>
          <w:color w:val="auto"/>
          <w:sz w:val="52"/>
          <w:szCs w:val="52"/>
          <w:highlight w:val="none"/>
        </w:rPr>
        <w:t>投标文件</w:t>
      </w:r>
    </w:p>
    <w:p w14:paraId="2162465F">
      <w:pPr>
        <w:spacing w:line="360" w:lineRule="auto"/>
        <w:rPr>
          <w:rFonts w:hint="eastAsia" w:asciiTheme="minorEastAsia" w:hAnsiTheme="minorEastAsia" w:eastAsiaTheme="minorEastAsia"/>
          <w:color w:val="auto"/>
          <w:sz w:val="32"/>
          <w:szCs w:val="32"/>
          <w:highlight w:val="none"/>
        </w:rPr>
      </w:pPr>
    </w:p>
    <w:p w14:paraId="17DC043C">
      <w:pPr>
        <w:spacing w:line="360" w:lineRule="auto"/>
        <w:rPr>
          <w:rFonts w:hint="eastAsia" w:asciiTheme="minorEastAsia" w:hAnsiTheme="minorEastAsia" w:eastAsiaTheme="minorEastAsia"/>
          <w:color w:val="auto"/>
          <w:sz w:val="32"/>
          <w:szCs w:val="32"/>
          <w:highlight w:val="none"/>
        </w:rPr>
      </w:pPr>
    </w:p>
    <w:p w14:paraId="119B6F84">
      <w:pPr>
        <w:spacing w:line="360" w:lineRule="auto"/>
        <w:rPr>
          <w:rFonts w:hint="eastAsia" w:asciiTheme="minorEastAsia" w:hAnsiTheme="minorEastAsia" w:eastAsiaTheme="minorEastAsia"/>
          <w:color w:val="auto"/>
          <w:sz w:val="32"/>
          <w:szCs w:val="32"/>
          <w:highlight w:val="none"/>
        </w:rPr>
      </w:pPr>
    </w:p>
    <w:p w14:paraId="3D369488">
      <w:pPr>
        <w:spacing w:line="360" w:lineRule="auto"/>
        <w:rPr>
          <w:rFonts w:hint="eastAsia" w:asciiTheme="minorEastAsia" w:hAnsiTheme="minorEastAsia" w:eastAsiaTheme="minorEastAsia"/>
          <w:color w:val="auto"/>
          <w:sz w:val="32"/>
          <w:szCs w:val="32"/>
          <w:highlight w:val="none"/>
        </w:rPr>
      </w:pPr>
    </w:p>
    <w:p w14:paraId="0FEF44F9">
      <w:pPr>
        <w:spacing w:line="360" w:lineRule="auto"/>
        <w:rPr>
          <w:rFonts w:hint="eastAsia" w:asciiTheme="minorEastAsia" w:hAnsiTheme="minorEastAsia" w:eastAsiaTheme="minorEastAsia"/>
          <w:color w:val="auto"/>
          <w:sz w:val="32"/>
          <w:szCs w:val="32"/>
          <w:highlight w:val="none"/>
        </w:rPr>
      </w:pPr>
    </w:p>
    <w:p w14:paraId="303AB3BF">
      <w:pPr>
        <w:spacing w:line="360" w:lineRule="auto"/>
        <w:ind w:firstLine="1084"/>
        <w:rPr>
          <w:rFonts w:hint="eastAsia" w:asciiTheme="minorEastAsia" w:hAnsiTheme="minorEastAsia" w:eastAsiaTheme="minorEastAsia"/>
          <w:b/>
          <w:color w:val="auto"/>
          <w:sz w:val="36"/>
          <w:szCs w:val="21"/>
          <w:highlight w:val="none"/>
        </w:rPr>
      </w:pPr>
      <w:r>
        <w:rPr>
          <w:rFonts w:hint="eastAsia" w:asciiTheme="minorEastAsia" w:hAnsiTheme="minorEastAsia" w:eastAsiaTheme="minorEastAsia"/>
          <w:b/>
          <w:color w:val="auto"/>
          <w:sz w:val="36"/>
          <w:szCs w:val="21"/>
          <w:highlight w:val="none"/>
        </w:rPr>
        <w:t>项目名称：</w:t>
      </w:r>
    </w:p>
    <w:p w14:paraId="24A89D27">
      <w:pPr>
        <w:spacing w:line="360" w:lineRule="auto"/>
        <w:ind w:firstLine="1084"/>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项目编号：</w:t>
      </w:r>
    </w:p>
    <w:p w14:paraId="1B5B45A2">
      <w:pPr>
        <w:spacing w:line="360" w:lineRule="auto"/>
        <w:ind w:firstLine="1084"/>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投标人名称：</w:t>
      </w:r>
      <w:r>
        <w:rPr>
          <w:rFonts w:hint="eastAsia" w:asciiTheme="minorEastAsia" w:hAnsiTheme="minorEastAsia" w:eastAsiaTheme="minorEastAsia"/>
          <w:b/>
          <w:color w:val="auto"/>
          <w:sz w:val="36"/>
          <w:szCs w:val="21"/>
          <w:highlight w:val="none"/>
          <w:u w:val="single"/>
        </w:rPr>
        <w:t>（加盖电子公章）</w:t>
      </w:r>
    </w:p>
    <w:p w14:paraId="5D768163">
      <w:pPr>
        <w:spacing w:line="360" w:lineRule="auto"/>
        <w:ind w:firstLine="1084"/>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日期：</w:t>
      </w:r>
    </w:p>
    <w:p w14:paraId="476CC669">
      <w:pPr>
        <w:spacing w:line="360" w:lineRule="auto"/>
        <w:jc w:val="center"/>
        <w:rPr>
          <w:rFonts w:hint="eastAsia"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br w:type="textWrapping"/>
      </w:r>
    </w:p>
    <w:p w14:paraId="6E828969">
      <w:pPr>
        <w:spacing w:line="360" w:lineRule="auto"/>
        <w:jc w:val="center"/>
        <w:rPr>
          <w:rFonts w:hint="eastAsia" w:asciiTheme="minorEastAsia" w:hAnsiTheme="minorEastAsia" w:eastAsiaTheme="minorEastAsia"/>
          <w:b/>
          <w:bCs/>
          <w:color w:val="auto"/>
          <w:sz w:val="32"/>
          <w:szCs w:val="32"/>
          <w:highlight w:val="none"/>
        </w:rPr>
      </w:pPr>
    </w:p>
    <w:p w14:paraId="28269E05">
      <w:pPr>
        <w:spacing w:line="360" w:lineRule="auto"/>
        <w:rPr>
          <w:rFonts w:hint="eastAsia" w:asciiTheme="minorEastAsia" w:hAnsiTheme="minorEastAsia" w:eastAsiaTheme="minorEastAsia"/>
          <w:color w:val="auto"/>
          <w:highlight w:val="none"/>
        </w:rPr>
      </w:pPr>
      <w:r>
        <w:rPr>
          <w:color w:val="auto"/>
          <w:highlight w:val="none"/>
        </w:rPr>
        <w:br w:type="page" w:clear="all"/>
      </w:r>
    </w:p>
    <w:p w14:paraId="6BB58910">
      <w:pPr>
        <w:pStyle w:val="4"/>
        <w:numPr>
          <w:ilvl w:val="1"/>
          <w:numId w:val="0"/>
        </w:numPr>
        <w:spacing w:line="360" w:lineRule="auto"/>
        <w:rPr>
          <w:rFonts w:hint="eastAsia" w:asciiTheme="minorEastAsia" w:hAnsiTheme="minorEastAsia" w:eastAsiaTheme="minorEastAsia"/>
          <w:color w:val="auto"/>
          <w:highlight w:val="none"/>
        </w:rPr>
      </w:pPr>
      <w:bookmarkStart w:id="53" w:name="_Toc66375424"/>
      <w:bookmarkStart w:id="54" w:name="_Toc43917771"/>
      <w:r>
        <w:rPr>
          <w:rFonts w:hint="eastAsia" w:asciiTheme="minorEastAsia" w:hAnsiTheme="minorEastAsia" w:eastAsiaTheme="minorEastAsia"/>
          <w:color w:val="auto"/>
          <w:highlight w:val="none"/>
        </w:rPr>
        <w:t>附件一、投标函</w:t>
      </w:r>
      <w:bookmarkEnd w:id="53"/>
      <w:bookmarkEnd w:id="54"/>
    </w:p>
    <w:p w14:paraId="50D3C385">
      <w:pPr>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投标函</w:t>
      </w:r>
    </w:p>
    <w:p w14:paraId="3EE13F93">
      <w:pPr>
        <w:widowControl/>
        <w:shd w:val="clear" w:color="auto" w:fill="FFFFFF"/>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致：</w:t>
      </w:r>
      <w:r>
        <w:rPr>
          <w:rFonts w:hint="eastAsia" w:asciiTheme="minorEastAsia" w:hAnsiTheme="minorEastAsia" w:eastAsiaTheme="minorEastAsia"/>
          <w:color w:val="auto"/>
          <w:sz w:val="24"/>
          <w:szCs w:val="24"/>
          <w:highlight w:val="none"/>
          <w:lang w:eastAsia="zh-CN"/>
        </w:rPr>
        <w:t>南京浦口经济开发区管理委员会</w:t>
      </w:r>
    </w:p>
    <w:p w14:paraId="2263CD11">
      <w:pPr>
        <w:widowControl/>
        <w:shd w:val="clear" w:color="auto" w:fill="FFFFFF"/>
        <w:spacing w:line="360" w:lineRule="auto"/>
        <w:ind w:firstLine="420"/>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江苏全过程项目管理有限公司</w:t>
      </w:r>
    </w:p>
    <w:p w14:paraId="35464605">
      <w:pPr>
        <w:widowControl/>
        <w:shd w:val="clear" w:color="auto" w:fill="FFFFFF"/>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根据贵方</w:t>
      </w:r>
      <w:r>
        <w:rPr>
          <w:rFonts w:hint="eastAsia" w:asciiTheme="minorEastAsia" w:hAnsiTheme="minorEastAsia" w:eastAsiaTheme="minorEastAsia"/>
          <w:color w:val="auto"/>
          <w:sz w:val="24"/>
          <w:szCs w:val="24"/>
          <w:highlight w:val="none"/>
          <w:u w:val="single"/>
        </w:rPr>
        <w:t>      </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u w:val="single"/>
        </w:rPr>
        <w:t>     </w:t>
      </w:r>
      <w:r>
        <w:rPr>
          <w:rFonts w:hint="eastAsia" w:asciiTheme="minorEastAsia" w:hAnsiTheme="minorEastAsia" w:eastAsiaTheme="minorEastAsia"/>
          <w:bCs/>
          <w:color w:val="auto"/>
          <w:sz w:val="24"/>
          <w:szCs w:val="24"/>
          <w:highlight w:val="none"/>
          <w:u w:val="none"/>
        </w:rPr>
        <w:t>（</w:t>
      </w:r>
      <w:r>
        <w:rPr>
          <w:rFonts w:hint="eastAsia" w:asciiTheme="minorEastAsia" w:hAnsiTheme="minorEastAsia" w:eastAsiaTheme="minorEastAsia"/>
          <w:color w:val="auto"/>
          <w:sz w:val="24"/>
          <w:szCs w:val="24"/>
          <w:highlight w:val="none"/>
        </w:rPr>
        <w:t>项目名称）</w:t>
      </w:r>
      <w:r>
        <w:rPr>
          <w:rFonts w:hint="eastAsia" w:asciiTheme="minorEastAsia" w:hAnsiTheme="minorEastAsia" w:eastAsiaTheme="minorEastAsia"/>
          <w:color w:val="auto"/>
          <w:sz w:val="24"/>
          <w:szCs w:val="24"/>
          <w:highlight w:val="none"/>
          <w:u w:val="single"/>
        </w:rPr>
        <w:t>   </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u w:val="single"/>
        </w:rPr>
        <w:t>    </w:t>
      </w:r>
      <w:r>
        <w:rPr>
          <w:rFonts w:hint="eastAsia" w:asciiTheme="minorEastAsia" w:hAnsiTheme="minorEastAsia" w:eastAsiaTheme="minorEastAsia"/>
          <w:color w:val="auto"/>
          <w:sz w:val="24"/>
          <w:szCs w:val="24"/>
          <w:highlight w:val="none"/>
        </w:rPr>
        <w:t>（项目编号）</w:t>
      </w:r>
      <w:r>
        <w:rPr>
          <w:rFonts w:hint="eastAsia" w:ascii="宋体" w:hAnsi="宋体"/>
          <w:color w:val="auto"/>
          <w:sz w:val="28"/>
          <w:szCs w:val="24"/>
          <w:highlight w:val="none"/>
          <w:u w:val="single"/>
          <w:lang w:val="zh-CN"/>
        </w:rPr>
        <w:t xml:space="preserve">     </w:t>
      </w:r>
      <w:r>
        <w:rPr>
          <w:rFonts w:hint="eastAsia" w:ascii="宋体" w:hAnsi="宋体"/>
          <w:color w:val="auto"/>
          <w:sz w:val="28"/>
          <w:szCs w:val="24"/>
          <w:highlight w:val="none"/>
          <w:u w:val="single"/>
          <w:lang w:val="en-US" w:eastAsia="zh-CN"/>
        </w:rPr>
        <w:t xml:space="preserve">      </w:t>
      </w:r>
      <w:r>
        <w:rPr>
          <w:rFonts w:hint="eastAsia" w:ascii="宋体" w:hAnsi="宋体"/>
          <w:color w:val="auto"/>
          <w:sz w:val="28"/>
          <w:szCs w:val="24"/>
          <w:highlight w:val="none"/>
          <w:u w:val="single"/>
          <w:lang w:val="zh-CN"/>
        </w:rPr>
        <w:t xml:space="preserve"> </w:t>
      </w:r>
      <w:r>
        <w:rPr>
          <w:rFonts w:hint="eastAsia" w:ascii="宋体" w:hAnsi="宋体"/>
          <w:color w:val="auto"/>
          <w:sz w:val="24"/>
          <w:szCs w:val="24"/>
          <w:highlight w:val="none"/>
          <w:lang w:val="zh-CN"/>
        </w:rPr>
        <w:t>（分包号）</w:t>
      </w:r>
      <w:r>
        <w:rPr>
          <w:rFonts w:hint="eastAsia" w:asciiTheme="minorEastAsia" w:hAnsiTheme="minorEastAsia" w:eastAsiaTheme="minorEastAsia"/>
          <w:color w:val="auto"/>
          <w:sz w:val="24"/>
          <w:szCs w:val="24"/>
          <w:highlight w:val="none"/>
        </w:rPr>
        <w:t>投标邀请，正式授权</w:t>
      </w:r>
      <w:r>
        <w:rPr>
          <w:rFonts w:hint="eastAsia" w:asciiTheme="minorEastAsia" w:hAnsiTheme="minorEastAsia" w:eastAsiaTheme="minorEastAsia"/>
          <w:color w:val="auto"/>
          <w:sz w:val="24"/>
          <w:szCs w:val="24"/>
          <w:highlight w:val="none"/>
          <w:u w:val="single"/>
        </w:rPr>
        <w:t>       </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姓名和职务</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代表投标人</w:t>
      </w:r>
      <w:r>
        <w:rPr>
          <w:rFonts w:hint="eastAsia" w:asciiTheme="minorEastAsia" w:hAnsiTheme="minorEastAsia" w:eastAsiaTheme="minorEastAsia"/>
          <w:color w:val="auto"/>
          <w:sz w:val="24"/>
          <w:szCs w:val="24"/>
          <w:highlight w:val="none"/>
          <w:u w:val="single"/>
        </w:rPr>
        <w:t>     </w:t>
      </w:r>
      <w:r>
        <w:rPr>
          <w:rFonts w:hint="eastAsia" w:asciiTheme="minorEastAsia" w:hAnsiTheme="minorEastAsia" w:eastAsiaTheme="minorEastAsia"/>
          <w:color w:val="auto"/>
          <w:sz w:val="24"/>
          <w:szCs w:val="24"/>
          <w:highlight w:val="none"/>
        </w:rPr>
        <w:t>（投标人名称），提交投标文件。</w:t>
      </w:r>
    </w:p>
    <w:p w14:paraId="62AB8F33">
      <w:pPr>
        <w:widowControl/>
        <w:shd w:val="clear" w:color="auto" w:fill="FFFFFF"/>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据此函，我公司兹宣布声明和承诺如下：</w:t>
      </w:r>
    </w:p>
    <w:p w14:paraId="37FCD38B">
      <w:pPr>
        <w:widowControl/>
        <w:shd w:val="clear" w:color="auto" w:fill="FFFFFF"/>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1.我们的资格条件完全符合政府采购法和本次采购要求，我们同意并向贵方提供了与投标有关的所有证据和资料。</w:t>
      </w:r>
    </w:p>
    <w:p w14:paraId="673ABF8C">
      <w:pPr>
        <w:widowControl/>
        <w:shd w:val="clear" w:color="auto" w:fill="FFFFFF"/>
        <w:spacing w:line="360" w:lineRule="auto"/>
        <w:ind w:firstLine="420"/>
        <w:rPr>
          <w:rFonts w:hint="eastAsia" w:asciiTheme="minorEastAsia" w:hAnsiTheme="minorEastAsia" w:eastAsiaTheme="minorEastAsia"/>
          <w:color w:val="auto"/>
          <w:sz w:val="24"/>
          <w:szCs w:val="24"/>
          <w:highlight w:val="none"/>
        </w:rPr>
      </w:pPr>
      <w:bookmarkStart w:id="55" w:name="_Hlk44577678"/>
      <w:r>
        <w:rPr>
          <w:rFonts w:hint="eastAsia" w:asciiTheme="minorEastAsia" w:hAnsiTheme="minorEastAsia" w:eastAsiaTheme="minorEastAsia"/>
          <w:color w:val="auto"/>
          <w:sz w:val="24"/>
          <w:szCs w:val="24"/>
          <w:highlight w:val="none"/>
        </w:rPr>
        <w:t>2.本项目交付时间为：</w:t>
      </w:r>
      <w:r>
        <w:rPr>
          <w:rFonts w:hint="eastAsia" w:asciiTheme="minorEastAsia" w:hAnsiTheme="minorEastAsia" w:eastAsiaTheme="minorEastAsia"/>
          <w:color w:val="auto"/>
          <w:sz w:val="24"/>
          <w:szCs w:val="24"/>
          <w:highlight w:val="none"/>
          <w:u w:val="single"/>
        </w:rPr>
        <w:t>满足采购文件要求</w:t>
      </w:r>
      <w:r>
        <w:rPr>
          <w:rFonts w:hint="eastAsia" w:asciiTheme="minorEastAsia" w:hAnsiTheme="minorEastAsia" w:eastAsiaTheme="minorEastAsia"/>
          <w:color w:val="auto"/>
          <w:sz w:val="24"/>
          <w:szCs w:val="24"/>
          <w:highlight w:val="none"/>
        </w:rPr>
        <w:t>。</w:t>
      </w:r>
      <w:bookmarkEnd w:id="55"/>
    </w:p>
    <w:p w14:paraId="38A4BC21">
      <w:pPr>
        <w:widowControl/>
        <w:shd w:val="clear" w:color="auto" w:fill="FFFFFF"/>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3.我们已详细阅读全部采购文件及其有效补充文件，我们放弃对采购文件任何误解的权利，提交投标文件后，不对采购文件本身提出质疑。</w:t>
      </w:r>
    </w:p>
    <w:p w14:paraId="27F87C7F">
      <w:pPr>
        <w:widowControl/>
        <w:shd w:val="clear" w:color="auto" w:fill="FFFFFF"/>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4.我们同意从规定的开标日期起遵循本投标文件，并在规定的投标有效期期满之前均具有约束力。</w:t>
      </w:r>
    </w:p>
    <w:p w14:paraId="4DD46B88">
      <w:pPr>
        <w:widowControl/>
        <w:shd w:val="clear" w:color="auto" w:fill="FFFFFF"/>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5.一旦我方中标，我方将根据采购文件的规定严格履行合同，并保证于承诺的时间完成相关服务，交付采购人验收、使用。</w:t>
      </w:r>
    </w:p>
    <w:p w14:paraId="04133717">
      <w:pPr>
        <w:widowControl/>
        <w:shd w:val="clear" w:color="auto" w:fill="FFFFFF"/>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7A7FBFF">
      <w:pPr>
        <w:widowControl/>
        <w:shd w:val="clear" w:color="auto" w:fill="FFFFFF"/>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7.与本投标有关的正式联系方式为：</w:t>
      </w:r>
    </w:p>
    <w:p w14:paraId="312874FC">
      <w:pPr>
        <w:widowControl/>
        <w:shd w:val="clear" w:color="auto" w:fill="FFFFFF"/>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地   址：</w:t>
      </w:r>
      <w:r>
        <w:rPr>
          <w:rFonts w:hint="eastAsia" w:asciiTheme="minorEastAsia" w:hAnsiTheme="minorEastAsia" w:eastAsiaTheme="minorEastAsia"/>
          <w:color w:val="auto"/>
          <w:sz w:val="24"/>
          <w:szCs w:val="24"/>
          <w:highlight w:val="none"/>
          <w:u w:val="single"/>
        </w:rPr>
        <w:t>            </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u w:val="single"/>
        </w:rPr>
        <w:t>     </w:t>
      </w:r>
    </w:p>
    <w:p w14:paraId="2846B36D">
      <w:pPr>
        <w:widowControl/>
        <w:shd w:val="clear" w:color="auto" w:fill="FFFFFF"/>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电   话：</w:t>
      </w:r>
      <w:r>
        <w:rPr>
          <w:rFonts w:hint="eastAsia" w:asciiTheme="minorEastAsia" w:hAnsiTheme="minorEastAsia" w:eastAsiaTheme="minorEastAsia"/>
          <w:color w:val="auto"/>
          <w:sz w:val="24"/>
          <w:szCs w:val="24"/>
          <w:highlight w:val="none"/>
          <w:u w:val="single"/>
        </w:rPr>
        <w:t>                  </w:t>
      </w:r>
    </w:p>
    <w:p w14:paraId="70BA3337">
      <w:pPr>
        <w:widowControl/>
        <w:shd w:val="clear" w:color="auto" w:fill="FFFFFF"/>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传   真：</w:t>
      </w:r>
      <w:r>
        <w:rPr>
          <w:rFonts w:hint="eastAsia" w:asciiTheme="minorEastAsia" w:hAnsiTheme="minorEastAsia" w:eastAsiaTheme="minorEastAsia"/>
          <w:color w:val="auto"/>
          <w:sz w:val="24"/>
          <w:szCs w:val="24"/>
          <w:highlight w:val="none"/>
          <w:u w:val="single"/>
        </w:rPr>
        <w:t>                  </w:t>
      </w:r>
    </w:p>
    <w:p w14:paraId="547E13BC">
      <w:pPr>
        <w:widowControl/>
        <w:shd w:val="clear" w:color="auto" w:fill="FFFFFF"/>
        <w:spacing w:line="360" w:lineRule="auto"/>
        <w:ind w:firstLine="420"/>
        <w:rPr>
          <w:rFonts w:hint="eastAsia"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开</w:t>
      </w:r>
      <w:r>
        <w:rPr>
          <w:rFonts w:hint="eastAsia" w:asciiTheme="minorEastAsia" w:hAnsiTheme="minorEastAsia" w:eastAsia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rPr>
        <w:t>户</w:t>
      </w:r>
      <w:r>
        <w:rPr>
          <w:rFonts w:hint="eastAsia" w:asciiTheme="minorEastAsia" w:hAnsiTheme="minorEastAsia" w:eastAsia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rPr>
        <w:t>银行：</w:t>
      </w:r>
      <w:r>
        <w:rPr>
          <w:rFonts w:hint="eastAsia" w:asciiTheme="minorEastAsia" w:hAnsiTheme="minorEastAsia" w:eastAsiaTheme="minorEastAsia"/>
          <w:color w:val="auto"/>
          <w:sz w:val="24"/>
          <w:szCs w:val="24"/>
          <w:highlight w:val="none"/>
          <w:u w:val="single"/>
        </w:rPr>
        <w:t>                  </w:t>
      </w:r>
    </w:p>
    <w:p w14:paraId="667917EE">
      <w:pPr>
        <w:widowControl/>
        <w:shd w:val="clear" w:color="auto" w:fill="FFFFFF"/>
        <w:spacing w:line="360" w:lineRule="auto"/>
        <w:ind w:firstLine="420"/>
        <w:rPr>
          <w:rFonts w:hint="eastAsia"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银</w:t>
      </w:r>
      <w:r>
        <w:rPr>
          <w:rFonts w:hint="eastAsia" w:asciiTheme="minorEastAsia" w:hAnsiTheme="minorEastAsia" w:eastAsia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rPr>
        <w:t>行</w:t>
      </w:r>
      <w:r>
        <w:rPr>
          <w:rFonts w:hint="eastAsia" w:asciiTheme="minorEastAsia" w:hAnsiTheme="minorEastAsia" w:eastAsia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rPr>
        <w:t>账号：</w:t>
      </w:r>
      <w:r>
        <w:rPr>
          <w:rFonts w:hint="eastAsia" w:asciiTheme="minorEastAsia" w:hAnsiTheme="minorEastAsia" w:eastAsiaTheme="minorEastAsia"/>
          <w:color w:val="auto"/>
          <w:sz w:val="24"/>
          <w:szCs w:val="24"/>
          <w:highlight w:val="none"/>
          <w:u w:val="single"/>
        </w:rPr>
        <w:t>                  </w:t>
      </w:r>
    </w:p>
    <w:p w14:paraId="6AA48369">
      <w:pPr>
        <w:spacing w:line="360" w:lineRule="auto"/>
        <w:ind w:firstLine="420"/>
        <w:jc w:val="left"/>
        <w:rPr>
          <w:rFonts w:hint="eastAsia" w:asciiTheme="minorEastAsia" w:hAnsiTheme="minorEastAsia" w:eastAsiaTheme="minorEastAsia"/>
          <w:color w:val="auto"/>
          <w:sz w:val="24"/>
          <w:szCs w:val="24"/>
          <w:highlight w:val="none"/>
        </w:rPr>
      </w:pPr>
    </w:p>
    <w:p w14:paraId="23549BD3">
      <w:pPr>
        <w:spacing w:line="360" w:lineRule="auto"/>
        <w:ind w:firstLine="420"/>
        <w:jc w:val="left"/>
        <w:rPr>
          <w:rFonts w:hint="eastAsia" w:asciiTheme="minorEastAsia" w:hAnsiTheme="minorEastAsia" w:eastAsiaTheme="minorEastAsia"/>
          <w:color w:val="auto"/>
          <w:sz w:val="24"/>
          <w:szCs w:val="24"/>
          <w:highlight w:val="none"/>
        </w:rPr>
      </w:pPr>
    </w:p>
    <w:p w14:paraId="3615A38F">
      <w:pPr>
        <w:spacing w:line="360" w:lineRule="auto"/>
        <w:ind w:firstLine="420"/>
        <w:jc w:val="left"/>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color w:val="auto"/>
          <w:sz w:val="24"/>
          <w:szCs w:val="24"/>
          <w:highlight w:val="none"/>
        </w:rPr>
        <w:t>8.</w:t>
      </w:r>
      <w:r>
        <w:rPr>
          <w:rFonts w:hint="eastAsia" w:asciiTheme="minorEastAsia" w:hAnsiTheme="minorEastAsia" w:eastAsiaTheme="minorEastAsia"/>
          <w:bCs/>
          <w:color w:val="auto"/>
          <w:sz w:val="24"/>
          <w:szCs w:val="24"/>
          <w:highlight w:val="none"/>
        </w:rPr>
        <w:t>我方具有独立承担民事责任的能力（法人或其他组织提供营业执照，自然人提供身份证明）。</w:t>
      </w:r>
    </w:p>
    <w:p w14:paraId="4D4AAED9">
      <w:pPr>
        <w:spacing w:line="360" w:lineRule="auto"/>
        <w:ind w:firstLine="422"/>
        <w:jc w:val="center"/>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营业执照扫描件：</w:t>
      </w:r>
    </w:p>
    <w:p w14:paraId="64758551">
      <w:pPr>
        <w:spacing w:line="360" w:lineRule="auto"/>
        <w:ind w:firstLine="420"/>
        <w:jc w:val="center"/>
        <w:rPr>
          <w:rFonts w:hint="eastAsia" w:asciiTheme="minorEastAsia" w:hAnsiTheme="minorEastAsia" w:eastAsiaTheme="minorEastAsia"/>
          <w:color w:val="auto"/>
          <w:szCs w:val="21"/>
          <w:highlight w:val="none"/>
        </w:rPr>
      </w:pPr>
    </w:p>
    <w:p w14:paraId="69F1D7EC">
      <w:pPr>
        <w:spacing w:line="360" w:lineRule="auto"/>
        <w:ind w:firstLine="420"/>
        <w:jc w:val="center"/>
        <w:rPr>
          <w:rFonts w:hint="eastAsia" w:asciiTheme="minorEastAsia" w:hAnsiTheme="minorEastAsia" w:eastAsiaTheme="minorEastAsia"/>
          <w:color w:val="auto"/>
          <w:szCs w:val="21"/>
          <w:highlight w:val="none"/>
        </w:rPr>
      </w:pPr>
    </w:p>
    <w:p w14:paraId="5A424D31">
      <w:pPr>
        <w:spacing w:line="360" w:lineRule="auto"/>
        <w:ind w:firstLine="420"/>
        <w:jc w:val="center"/>
        <w:rPr>
          <w:rFonts w:hint="eastAsia" w:asciiTheme="minorEastAsia" w:hAnsiTheme="minorEastAsia" w:eastAsiaTheme="minorEastAsia"/>
          <w:color w:val="auto"/>
          <w:szCs w:val="21"/>
          <w:highlight w:val="none"/>
        </w:rPr>
      </w:pPr>
    </w:p>
    <w:p w14:paraId="408CE470">
      <w:pPr>
        <w:spacing w:line="360" w:lineRule="auto"/>
        <w:ind w:firstLine="420"/>
        <w:jc w:val="center"/>
        <w:rPr>
          <w:rFonts w:hint="eastAsia" w:asciiTheme="minorEastAsia" w:hAnsiTheme="minorEastAsia" w:eastAsiaTheme="minorEastAsia"/>
          <w:color w:val="auto"/>
          <w:szCs w:val="21"/>
          <w:highlight w:val="none"/>
        </w:rPr>
      </w:pPr>
    </w:p>
    <w:p w14:paraId="41DA8E21">
      <w:pPr>
        <w:spacing w:line="360" w:lineRule="auto"/>
        <w:ind w:firstLine="420"/>
        <w:jc w:val="center"/>
        <w:rPr>
          <w:rFonts w:hint="eastAsia" w:asciiTheme="minorEastAsia" w:hAnsiTheme="minorEastAsia" w:eastAsiaTheme="minorEastAsia"/>
          <w:color w:val="auto"/>
          <w:szCs w:val="21"/>
          <w:highlight w:val="none"/>
        </w:rPr>
      </w:pPr>
    </w:p>
    <w:p w14:paraId="4676F584">
      <w:pPr>
        <w:spacing w:line="360" w:lineRule="auto"/>
        <w:ind w:firstLine="420"/>
        <w:jc w:val="center"/>
        <w:rPr>
          <w:rFonts w:hint="eastAsia" w:asciiTheme="minorEastAsia" w:hAnsiTheme="minorEastAsia" w:eastAsiaTheme="minorEastAsia"/>
          <w:color w:val="auto"/>
          <w:szCs w:val="21"/>
          <w:highlight w:val="none"/>
        </w:rPr>
      </w:pPr>
    </w:p>
    <w:p w14:paraId="715DCAE9">
      <w:pPr>
        <w:spacing w:line="360" w:lineRule="auto"/>
        <w:ind w:firstLine="420"/>
        <w:jc w:val="center"/>
        <w:rPr>
          <w:rFonts w:hint="eastAsia" w:asciiTheme="minorEastAsia" w:hAnsiTheme="minorEastAsia" w:eastAsiaTheme="minorEastAsia"/>
          <w:color w:val="auto"/>
          <w:szCs w:val="21"/>
          <w:highlight w:val="none"/>
        </w:rPr>
      </w:pPr>
    </w:p>
    <w:p w14:paraId="1DC8A96A">
      <w:pPr>
        <w:spacing w:line="360" w:lineRule="auto"/>
        <w:ind w:firstLine="420"/>
        <w:jc w:val="center"/>
        <w:rPr>
          <w:rFonts w:hint="eastAsia" w:asciiTheme="minorEastAsia" w:hAnsiTheme="minorEastAsia" w:eastAsiaTheme="minorEastAsia"/>
          <w:color w:val="auto"/>
          <w:szCs w:val="21"/>
          <w:highlight w:val="none"/>
        </w:rPr>
      </w:pPr>
    </w:p>
    <w:p w14:paraId="4BCF22C2">
      <w:pPr>
        <w:widowControl/>
        <w:shd w:val="clear" w:color="auto" w:fill="FFFFFF"/>
        <w:spacing w:line="360" w:lineRule="auto"/>
        <w:ind w:firstLine="420"/>
        <w:rPr>
          <w:rFonts w:hint="eastAsia" w:asciiTheme="minorEastAsia" w:hAnsiTheme="minorEastAsia" w:eastAsiaTheme="minorEastAsia"/>
          <w:color w:val="auto"/>
          <w:szCs w:val="21"/>
          <w:highlight w:val="none"/>
          <w:u w:val="single"/>
        </w:rPr>
      </w:pPr>
    </w:p>
    <w:p w14:paraId="397F97F1">
      <w:pPr>
        <w:widowControl/>
        <w:shd w:val="clear" w:color="auto" w:fill="FFFFFF"/>
        <w:spacing w:line="360" w:lineRule="auto"/>
        <w:ind w:firstLine="420"/>
        <w:rPr>
          <w:rFonts w:hint="eastAsia" w:asciiTheme="minorEastAsia" w:hAnsiTheme="minorEastAsia" w:eastAsiaTheme="minorEastAsia"/>
          <w:color w:val="auto"/>
          <w:szCs w:val="21"/>
          <w:highlight w:val="none"/>
        </w:rPr>
      </w:pPr>
    </w:p>
    <w:p w14:paraId="7C75DDD5">
      <w:pPr>
        <w:widowControl/>
        <w:shd w:val="clear" w:color="auto" w:fill="FFFFFF"/>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p>
    <w:p w14:paraId="29E5E752">
      <w:pPr>
        <w:pStyle w:val="4"/>
        <w:spacing w:line="360" w:lineRule="auto"/>
        <w:rPr>
          <w:rFonts w:hint="eastAsia" w:asciiTheme="minorEastAsia" w:hAnsiTheme="minorEastAsia" w:eastAsiaTheme="minorEastAsia"/>
          <w:color w:val="auto"/>
          <w:highlight w:val="none"/>
        </w:rPr>
      </w:pPr>
      <w:bookmarkStart w:id="56" w:name="_Toc66375425"/>
      <w:bookmarkStart w:id="57" w:name="_Toc43917772"/>
      <w:r>
        <w:rPr>
          <w:rFonts w:hint="eastAsia" w:asciiTheme="minorEastAsia" w:hAnsiTheme="minorEastAsia" w:eastAsiaTheme="minorEastAsia"/>
          <w:color w:val="auto"/>
          <w:highlight w:val="none"/>
        </w:rPr>
        <w:t>附件二、法定代表人授权委托书</w:t>
      </w:r>
      <w:bookmarkEnd w:id="56"/>
      <w:bookmarkEnd w:id="57"/>
    </w:p>
    <w:p w14:paraId="246E6747">
      <w:pPr>
        <w:widowControl/>
        <w:shd w:val="clear" w:color="auto" w:fill="FFFFFF"/>
        <w:spacing w:line="360" w:lineRule="auto"/>
        <w:ind w:firstLine="720"/>
        <w:jc w:val="center"/>
        <w:rPr>
          <w:rFonts w:hint="eastAsia" w:asciiTheme="minorEastAsia" w:hAnsiTheme="minorEastAsia" w:eastAsiaTheme="minorEastAsia"/>
          <w:color w:val="auto"/>
          <w:sz w:val="36"/>
          <w:szCs w:val="36"/>
          <w:highlight w:val="none"/>
        </w:rPr>
      </w:pPr>
    </w:p>
    <w:p w14:paraId="168BEE46">
      <w:pPr>
        <w:widowControl/>
        <w:shd w:val="clear" w:color="auto" w:fill="FFFFFF"/>
        <w:spacing w:line="360" w:lineRule="auto"/>
        <w:ind w:firstLine="720"/>
        <w:jc w:val="center"/>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法定代表人授权委托书</w:t>
      </w:r>
    </w:p>
    <w:p w14:paraId="3D7539E3">
      <w:pPr>
        <w:widowControl/>
        <w:shd w:val="clear" w:color="auto" w:fill="FFFFFF"/>
        <w:spacing w:line="360" w:lineRule="auto"/>
        <w:jc w:val="left"/>
        <w:rPr>
          <w:rFonts w:hint="eastAsia" w:asciiTheme="minorEastAsia" w:hAnsiTheme="minorEastAsia" w:eastAsiaTheme="minorEastAsia"/>
          <w:color w:val="auto"/>
          <w:szCs w:val="21"/>
          <w:highlight w:val="none"/>
        </w:rPr>
      </w:pPr>
    </w:p>
    <w:p w14:paraId="44157EA2">
      <w:pPr>
        <w:widowControl/>
        <w:shd w:val="clear" w:color="auto" w:fill="FFFFFF"/>
        <w:spacing w:line="360" w:lineRule="auto"/>
        <w:jc w:val="lef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致：</w:t>
      </w:r>
      <w:r>
        <w:rPr>
          <w:rFonts w:hint="eastAsia" w:asciiTheme="minorEastAsia" w:hAnsiTheme="minorEastAsia" w:eastAsiaTheme="minorEastAsia"/>
          <w:color w:val="auto"/>
          <w:sz w:val="24"/>
          <w:szCs w:val="24"/>
          <w:highlight w:val="none"/>
          <w:lang w:eastAsia="zh-CN"/>
        </w:rPr>
        <w:t>南京浦口经济开发区管理委员会</w:t>
      </w:r>
    </w:p>
    <w:p w14:paraId="57412359">
      <w:pPr>
        <w:widowControl/>
        <w:shd w:val="clear" w:color="auto" w:fill="FFFFFF"/>
        <w:spacing w:line="360" w:lineRule="auto"/>
        <w:ind w:firstLine="420"/>
        <w:jc w:val="lef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江苏全过程项目管理有限公司</w:t>
      </w:r>
    </w:p>
    <w:p w14:paraId="6979B2AB">
      <w:pPr>
        <w:widowControl/>
        <w:shd w:val="clear" w:color="auto" w:fill="FFFFFF"/>
        <w:spacing w:line="360" w:lineRule="auto"/>
        <w:ind w:firstLine="420"/>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本授权书声明：注册于</w:t>
      </w:r>
      <w:r>
        <w:rPr>
          <w:rFonts w:hint="eastAsia" w:asciiTheme="minorEastAsia" w:hAnsiTheme="minorEastAsia" w:eastAsiaTheme="minorEastAsia"/>
          <w:color w:val="auto"/>
          <w:sz w:val="24"/>
          <w:szCs w:val="24"/>
          <w:highlight w:val="none"/>
          <w:u w:val="single"/>
        </w:rPr>
        <w:t>       </w:t>
      </w:r>
      <w:r>
        <w:rPr>
          <w:rFonts w:hint="eastAsia" w:asciiTheme="minorEastAsia" w:hAnsiTheme="minorEastAsia" w:eastAsiaTheme="minorEastAsia"/>
          <w:color w:val="auto"/>
          <w:sz w:val="24"/>
          <w:szCs w:val="24"/>
          <w:highlight w:val="none"/>
        </w:rPr>
        <w:t>（投标人住址）的</w:t>
      </w:r>
      <w:r>
        <w:rPr>
          <w:rFonts w:hint="eastAsia" w:asciiTheme="minorEastAsia" w:hAnsiTheme="minorEastAsia" w:eastAsiaTheme="minorEastAsia"/>
          <w:color w:val="auto"/>
          <w:sz w:val="24"/>
          <w:szCs w:val="24"/>
          <w:highlight w:val="none"/>
          <w:u w:val="single"/>
        </w:rPr>
        <w:t>      </w:t>
      </w:r>
      <w:r>
        <w:rPr>
          <w:rFonts w:hint="eastAsia" w:asciiTheme="minorEastAsia" w:hAnsiTheme="minorEastAsia" w:eastAsiaTheme="minorEastAsia"/>
          <w:color w:val="auto"/>
          <w:sz w:val="24"/>
          <w:szCs w:val="24"/>
          <w:highlight w:val="none"/>
        </w:rPr>
        <w:t>（投标人名称）法定代表人</w:t>
      </w:r>
      <w:r>
        <w:rPr>
          <w:rFonts w:hint="eastAsia" w:asciiTheme="minorEastAsia" w:hAnsiTheme="minorEastAsia" w:eastAsiaTheme="minorEastAsia"/>
          <w:color w:val="auto"/>
          <w:sz w:val="24"/>
          <w:szCs w:val="24"/>
          <w:highlight w:val="none"/>
          <w:u w:val="single"/>
        </w:rPr>
        <w:t>      </w:t>
      </w:r>
      <w:r>
        <w:rPr>
          <w:rFonts w:hint="eastAsia" w:asciiTheme="minorEastAsia" w:hAnsiTheme="minorEastAsia" w:eastAsiaTheme="minorEastAsia"/>
          <w:color w:val="auto"/>
          <w:sz w:val="24"/>
          <w:szCs w:val="24"/>
          <w:highlight w:val="none"/>
        </w:rPr>
        <w:t>（法定代表人姓名、职务）代表本公司授权</w:t>
      </w:r>
      <w:r>
        <w:rPr>
          <w:rFonts w:hint="eastAsia" w:asciiTheme="minorEastAsia" w:hAnsiTheme="minorEastAsia" w:eastAsiaTheme="minorEastAsia"/>
          <w:color w:val="auto"/>
          <w:sz w:val="24"/>
          <w:szCs w:val="24"/>
          <w:highlight w:val="none"/>
          <w:u w:val="single"/>
        </w:rPr>
        <w:t>       </w:t>
      </w:r>
      <w:r>
        <w:rPr>
          <w:rFonts w:hint="eastAsia" w:asciiTheme="minorEastAsia" w:hAnsiTheme="minorEastAsia" w:eastAsiaTheme="minorEastAsia"/>
          <w:color w:val="auto"/>
          <w:sz w:val="24"/>
          <w:szCs w:val="24"/>
          <w:highlight w:val="none"/>
        </w:rPr>
        <w:t>（投标人代表姓名、职务）为本公司的合法代理人，就贵方组织的</w:t>
      </w:r>
      <w:r>
        <w:rPr>
          <w:rFonts w:hint="eastAsia" w:asciiTheme="minorEastAsia" w:hAnsiTheme="minorEastAsia" w:eastAsiaTheme="minorEastAsia"/>
          <w:b/>
          <w:bCs/>
          <w:color w:val="auto"/>
          <w:sz w:val="24"/>
          <w:szCs w:val="24"/>
          <w:highlight w:val="none"/>
          <w:u w:val="single"/>
        </w:rPr>
        <w:t>          </w:t>
      </w:r>
      <w:r>
        <w:rPr>
          <w:rFonts w:hint="eastAsia" w:asciiTheme="minorEastAsia" w:hAnsiTheme="minorEastAsia" w:eastAsiaTheme="minorEastAsia"/>
          <w:color w:val="auto"/>
          <w:sz w:val="24"/>
          <w:szCs w:val="24"/>
          <w:highlight w:val="none"/>
        </w:rPr>
        <w:t>（项目名称），</w:t>
      </w:r>
      <w:r>
        <w:rPr>
          <w:rFonts w:hint="eastAsia" w:asciiTheme="minorEastAsia" w:hAnsiTheme="minorEastAsia" w:eastAsiaTheme="minorEastAsia"/>
          <w:color w:val="auto"/>
          <w:sz w:val="24"/>
          <w:szCs w:val="24"/>
          <w:highlight w:val="none"/>
          <w:u w:val="single"/>
        </w:rPr>
        <w:t>        </w:t>
      </w:r>
      <w:r>
        <w:rPr>
          <w:rFonts w:hint="eastAsia" w:asciiTheme="minorEastAsia" w:hAnsiTheme="minorEastAsia" w:eastAsiaTheme="minorEastAsia"/>
          <w:color w:val="auto"/>
          <w:sz w:val="24"/>
          <w:szCs w:val="24"/>
          <w:highlight w:val="none"/>
        </w:rPr>
        <w:t>（项目编号）</w:t>
      </w:r>
      <w:r>
        <w:rPr>
          <w:rFonts w:hint="eastAsia" w:ascii="宋体" w:hAnsi="宋体"/>
          <w:b/>
          <w:color w:val="auto"/>
          <w:sz w:val="28"/>
          <w:szCs w:val="24"/>
          <w:highlight w:val="none"/>
          <w:u w:val="single"/>
          <w:lang w:val="zh-CN"/>
        </w:rPr>
        <w:t xml:space="preserve">           </w:t>
      </w:r>
      <w:r>
        <w:rPr>
          <w:rFonts w:hint="eastAsia" w:ascii="宋体" w:hAnsi="宋体"/>
          <w:color w:val="auto"/>
          <w:sz w:val="24"/>
          <w:szCs w:val="22"/>
          <w:highlight w:val="none"/>
          <w:lang w:val="zh-CN"/>
        </w:rPr>
        <w:t>（分包号）</w:t>
      </w:r>
      <w:r>
        <w:rPr>
          <w:rFonts w:hint="eastAsia" w:asciiTheme="minorEastAsia" w:hAnsiTheme="minorEastAsia" w:eastAsiaTheme="minorEastAsia"/>
          <w:color w:val="auto"/>
          <w:sz w:val="24"/>
          <w:szCs w:val="24"/>
          <w:highlight w:val="none"/>
        </w:rPr>
        <w:t>投标，以本公司名义处理一切与之有关的事务。</w:t>
      </w:r>
    </w:p>
    <w:p w14:paraId="08A169F8">
      <w:pPr>
        <w:widowControl/>
        <w:shd w:val="clear" w:color="auto" w:fill="FFFFFF"/>
        <w:spacing w:line="360" w:lineRule="auto"/>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本授权书于    年  月  </w:t>
      </w:r>
      <w:bookmarkStart w:id="58" w:name="_Hlk176528397"/>
      <w:r>
        <w:rPr>
          <w:rFonts w:hint="eastAsia" w:asciiTheme="minorEastAsia" w:hAnsiTheme="minorEastAsia" w:eastAsiaTheme="minorEastAsia"/>
          <w:color w:val="auto"/>
          <w:sz w:val="24"/>
          <w:szCs w:val="24"/>
          <w:highlight w:val="none"/>
        </w:rPr>
        <w:t>日加盖电子公章</w:t>
      </w:r>
      <w:bookmarkEnd w:id="58"/>
      <w:r>
        <w:rPr>
          <w:rFonts w:hint="eastAsia" w:asciiTheme="minorEastAsia" w:hAnsiTheme="minorEastAsia" w:eastAsiaTheme="minorEastAsia"/>
          <w:color w:val="auto"/>
          <w:sz w:val="24"/>
          <w:szCs w:val="24"/>
          <w:highlight w:val="none"/>
        </w:rPr>
        <w:t>生效，特此声明。</w:t>
      </w:r>
    </w:p>
    <w:p w14:paraId="05F27085">
      <w:pPr>
        <w:keepNext w:val="0"/>
        <w:keepLines w:val="0"/>
        <w:pageBreakBefore w:val="0"/>
        <w:widowControl w:val="0"/>
        <w:tabs>
          <w:tab w:val="left" w:pos="360"/>
        </w:tabs>
        <w:spacing w:line="360" w:lineRule="auto"/>
        <w:rPr>
          <w:rFonts w:hint="eastAsia" w:asciiTheme="minorEastAsia" w:hAnsiTheme="minorEastAsia" w:eastAsiaTheme="minorEastAsia"/>
          <w:color w:val="auto"/>
          <w:sz w:val="24"/>
          <w:szCs w:val="24"/>
          <w:highlight w:val="none"/>
        </w:rPr>
      </w:pPr>
      <w:r>
        <w:rPr>
          <w:rFonts w:hint="eastAsia" w:ascii="宋体" w:hAnsi="宋体" w:eastAsia="宋体" w:cs="宋体"/>
          <w:i w:val="0"/>
          <w:iCs/>
          <w:color w:val="auto"/>
          <w:sz w:val="24"/>
          <w:szCs w:val="24"/>
          <w:highlight w:val="none"/>
        </w:rPr>
        <w:t xml:space="preserve">    被授权人联系电话：（手机）</w:t>
      </w:r>
    </w:p>
    <w:p w14:paraId="3A52E1FA">
      <w:pPr>
        <w:widowControl/>
        <w:shd w:val="clear" w:color="auto" w:fill="FFFFFF"/>
        <w:spacing w:line="360" w:lineRule="auto"/>
        <w:jc w:val="left"/>
        <w:rPr>
          <w:rFonts w:hint="eastAsia" w:asciiTheme="minorEastAsia" w:hAnsiTheme="minorEastAsia" w:eastAsiaTheme="minorEastAsia"/>
          <w:color w:val="auto"/>
          <w:sz w:val="24"/>
          <w:szCs w:val="24"/>
          <w:highlight w:val="none"/>
        </w:rPr>
      </w:pPr>
    </w:p>
    <w:p w14:paraId="223B8DC2">
      <w:pPr>
        <w:widowControl/>
        <w:shd w:val="clear" w:color="auto" w:fill="FFFFFF"/>
        <w:spacing w:line="360" w:lineRule="auto"/>
        <w:jc w:val="left"/>
        <w:rPr>
          <w:rFonts w:hint="eastAsia" w:asciiTheme="minorEastAsia" w:hAnsiTheme="minorEastAsia" w:eastAsiaTheme="minorEastAsia"/>
          <w:color w:val="auto"/>
          <w:sz w:val="24"/>
          <w:szCs w:val="24"/>
          <w:highlight w:val="none"/>
        </w:rPr>
      </w:pPr>
    </w:p>
    <w:p w14:paraId="3EE118C1">
      <w:pPr>
        <w:widowControl/>
        <w:shd w:val="clear" w:color="auto" w:fill="FFFFFF"/>
        <w:spacing w:line="360" w:lineRule="auto"/>
        <w:ind w:firstLine="825"/>
        <w:jc w:val="left"/>
        <w:rPr>
          <w:rFonts w:hint="eastAsia" w:asciiTheme="minorEastAsia" w:hAnsiTheme="minorEastAsia" w:eastAsiaTheme="minorEastAsia"/>
          <w:color w:val="auto"/>
          <w:sz w:val="24"/>
          <w:szCs w:val="24"/>
          <w:highlight w:val="none"/>
        </w:rPr>
      </w:pPr>
      <w:bookmarkStart w:id="59" w:name="_Hlk176254280"/>
      <w:r>
        <w:rPr>
          <w:rFonts w:hint="eastAsia" w:asciiTheme="minorEastAsia" w:hAnsiTheme="minorEastAsia" w:eastAsiaTheme="minorEastAsia"/>
          <w:color w:val="auto"/>
          <w:sz w:val="24"/>
          <w:szCs w:val="24"/>
          <w:highlight w:val="none"/>
        </w:rPr>
        <w:t>投标人（</w:t>
      </w:r>
      <w:bookmarkStart w:id="60" w:name="OLE_LINK3"/>
      <w:r>
        <w:rPr>
          <w:rFonts w:hint="eastAsia" w:asciiTheme="minorEastAsia" w:hAnsiTheme="minorEastAsia" w:eastAsiaTheme="minorEastAsia"/>
          <w:color w:val="auto"/>
          <w:sz w:val="24"/>
          <w:szCs w:val="24"/>
          <w:highlight w:val="none"/>
        </w:rPr>
        <w:t>加盖电子公章</w:t>
      </w:r>
      <w:bookmarkEnd w:id="60"/>
      <w:r>
        <w:rPr>
          <w:rFonts w:hint="eastAsia" w:asciiTheme="minorEastAsia" w:hAnsiTheme="minorEastAsia" w:eastAsiaTheme="minorEastAsia"/>
          <w:color w:val="auto"/>
          <w:sz w:val="24"/>
          <w:szCs w:val="24"/>
          <w:highlight w:val="none"/>
        </w:rPr>
        <w:t>）： </w:t>
      </w:r>
      <w:bookmarkEnd w:id="59"/>
      <w:r>
        <w:rPr>
          <w:rFonts w:hint="eastAsia" w:asciiTheme="minorEastAsia" w:hAnsiTheme="minorEastAsia" w:eastAsiaTheme="minorEastAsia"/>
          <w:color w:val="auto"/>
          <w:sz w:val="24"/>
          <w:szCs w:val="24"/>
          <w:highlight w:val="none"/>
        </w:rPr>
        <w:t>                 </w:t>
      </w:r>
    </w:p>
    <w:p w14:paraId="7282A1DF">
      <w:pPr>
        <w:widowControl/>
        <w:shd w:val="clear" w:color="auto" w:fill="FFFFFF"/>
        <w:spacing w:line="360" w:lineRule="auto"/>
        <w:ind w:firstLine="840"/>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日     期：        年    月    日</w:t>
      </w:r>
    </w:p>
    <w:p w14:paraId="620B4E60">
      <w:pPr>
        <w:widowControl/>
        <w:shd w:val="clear" w:color="auto" w:fill="FFFFFF"/>
        <w:spacing w:line="360" w:lineRule="auto"/>
        <w:ind w:firstLine="840"/>
        <w:jc w:val="left"/>
        <w:rPr>
          <w:rFonts w:hint="eastAsia" w:asciiTheme="minorEastAsia" w:hAnsiTheme="minorEastAsia" w:eastAsiaTheme="minorEastAsia"/>
          <w:color w:val="auto"/>
          <w:sz w:val="24"/>
          <w:szCs w:val="24"/>
          <w:highlight w:val="none"/>
        </w:rPr>
      </w:pPr>
    </w:p>
    <w:p w14:paraId="7ECFA97F">
      <w:pPr>
        <w:widowControl/>
        <w:shd w:val="clear" w:color="auto" w:fill="FFFFFF"/>
        <w:spacing w:line="360" w:lineRule="auto"/>
        <w:ind w:firstLine="840"/>
        <w:jc w:val="left"/>
        <w:rPr>
          <w:rFonts w:hint="eastAsia" w:asciiTheme="minorEastAsia" w:hAnsiTheme="minorEastAsia" w:eastAsiaTheme="minorEastAsia"/>
          <w:color w:val="auto"/>
          <w:sz w:val="24"/>
          <w:szCs w:val="24"/>
          <w:highlight w:val="none"/>
          <w:lang w:eastAsia="zh-CN"/>
        </w:rPr>
      </w:pPr>
      <w:bookmarkStart w:id="61" w:name="_Hlk45291991"/>
      <w:r>
        <w:rPr>
          <w:rFonts w:hint="eastAsia" w:asciiTheme="minorEastAsia" w:hAnsiTheme="minorEastAsia" w:eastAsiaTheme="minorEastAsia"/>
          <w:color w:val="auto"/>
          <w:sz w:val="24"/>
          <w:szCs w:val="24"/>
          <w:highlight w:val="none"/>
        </w:rPr>
        <w:t>法定代表人身份证的复印件</w:t>
      </w:r>
      <w:bookmarkEnd w:id="61"/>
      <w:r>
        <w:rPr>
          <w:rFonts w:hint="eastAsia" w:asciiTheme="minorEastAsia" w:hAnsiTheme="minorEastAsia" w:eastAsiaTheme="minorEastAsia"/>
          <w:color w:val="auto"/>
          <w:sz w:val="24"/>
          <w:szCs w:val="24"/>
          <w:highlight w:val="none"/>
          <w:lang w:eastAsia="zh-CN"/>
        </w:rPr>
        <w:t>：</w:t>
      </w:r>
    </w:p>
    <w:p w14:paraId="3233062C">
      <w:pPr>
        <w:widowControl/>
        <w:shd w:val="clear" w:color="auto" w:fill="FFFFFF"/>
        <w:spacing w:line="360" w:lineRule="auto"/>
        <w:ind w:firstLine="840"/>
        <w:jc w:val="left"/>
        <w:rPr>
          <w:rFonts w:hint="eastAsia" w:asciiTheme="minorEastAsia" w:hAnsiTheme="minorEastAsia" w:eastAsiaTheme="minorEastAsia"/>
          <w:color w:val="auto"/>
          <w:sz w:val="24"/>
          <w:szCs w:val="24"/>
          <w:highlight w:val="none"/>
        </w:rPr>
      </w:pPr>
    </w:p>
    <w:p w14:paraId="1C12F816">
      <w:pPr>
        <w:widowControl/>
        <w:shd w:val="clear" w:color="auto" w:fill="FFFFFF"/>
        <w:spacing w:line="360" w:lineRule="auto"/>
        <w:ind w:firstLine="840"/>
        <w:jc w:val="left"/>
        <w:rPr>
          <w:rFonts w:hint="eastAsia" w:asciiTheme="minorEastAsia" w:hAnsiTheme="minorEastAsia" w:eastAsiaTheme="minorEastAsia"/>
          <w:color w:val="auto"/>
          <w:sz w:val="24"/>
          <w:szCs w:val="24"/>
          <w:highlight w:val="none"/>
        </w:rPr>
      </w:pPr>
    </w:p>
    <w:p w14:paraId="2B69C2D1">
      <w:pPr>
        <w:widowControl/>
        <w:shd w:val="clear" w:color="auto" w:fill="FFFFFF"/>
        <w:spacing w:line="360" w:lineRule="auto"/>
        <w:ind w:firstLine="840"/>
        <w:jc w:val="left"/>
        <w:rPr>
          <w:rFonts w:hint="eastAsia" w:asciiTheme="minorEastAsia" w:hAnsiTheme="minorEastAsia" w:eastAsiaTheme="minorEastAsia"/>
          <w:color w:val="auto"/>
          <w:sz w:val="24"/>
          <w:szCs w:val="24"/>
          <w:highlight w:val="none"/>
        </w:rPr>
      </w:pPr>
    </w:p>
    <w:p w14:paraId="7A0CAD88">
      <w:pPr>
        <w:widowControl/>
        <w:shd w:val="clear" w:color="auto" w:fill="FFFFFF"/>
        <w:spacing w:line="360" w:lineRule="auto"/>
        <w:ind w:firstLine="840"/>
        <w:jc w:val="left"/>
        <w:rPr>
          <w:rFonts w:hint="eastAsia" w:asciiTheme="minorEastAsia" w:hAnsiTheme="minorEastAsia" w:eastAsiaTheme="minorEastAsia"/>
          <w:color w:val="auto"/>
          <w:sz w:val="24"/>
          <w:szCs w:val="24"/>
          <w:highlight w:val="none"/>
        </w:rPr>
      </w:pPr>
    </w:p>
    <w:p w14:paraId="1661E183">
      <w:pPr>
        <w:widowControl/>
        <w:shd w:val="clear" w:color="auto" w:fill="FFFFFF"/>
        <w:spacing w:line="360" w:lineRule="auto"/>
        <w:ind w:firstLine="840"/>
        <w:jc w:val="left"/>
        <w:rPr>
          <w:rFonts w:hint="eastAsia" w:asciiTheme="minorEastAsia" w:hAnsiTheme="minorEastAsia" w:eastAsiaTheme="minorEastAsia"/>
          <w:color w:val="auto"/>
          <w:sz w:val="24"/>
          <w:szCs w:val="24"/>
          <w:highlight w:val="none"/>
        </w:rPr>
      </w:pPr>
    </w:p>
    <w:p w14:paraId="59B1BD1F">
      <w:pPr>
        <w:widowControl/>
        <w:shd w:val="clear" w:color="auto" w:fill="FFFFFF"/>
        <w:spacing w:line="360" w:lineRule="auto"/>
        <w:ind w:firstLine="840"/>
        <w:jc w:val="lef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委托代理人身份证的复印件</w:t>
      </w:r>
      <w:r>
        <w:rPr>
          <w:rFonts w:hint="eastAsia" w:asciiTheme="minorEastAsia" w:hAnsiTheme="minorEastAsia" w:eastAsiaTheme="minorEastAsia"/>
          <w:color w:val="auto"/>
          <w:sz w:val="24"/>
          <w:szCs w:val="24"/>
          <w:highlight w:val="none"/>
          <w:lang w:eastAsia="zh-CN"/>
        </w:rPr>
        <w:t>：</w:t>
      </w:r>
    </w:p>
    <w:p w14:paraId="6FCB49D5">
      <w:pPr>
        <w:widowControl/>
        <w:shd w:val="clear" w:color="auto" w:fill="FFFFFF"/>
        <w:spacing w:line="360" w:lineRule="auto"/>
        <w:ind w:firstLine="840"/>
        <w:jc w:val="left"/>
        <w:rPr>
          <w:rFonts w:hint="eastAsia" w:asciiTheme="minorEastAsia" w:hAnsiTheme="minorEastAsia" w:eastAsiaTheme="minorEastAsia"/>
          <w:color w:val="auto"/>
          <w:szCs w:val="21"/>
          <w:highlight w:val="none"/>
        </w:rPr>
      </w:pPr>
    </w:p>
    <w:p w14:paraId="7B5B44C7">
      <w:pPr>
        <w:widowControl/>
        <w:shd w:val="clear" w:color="auto" w:fill="FFFFFF"/>
        <w:spacing w:line="360" w:lineRule="auto"/>
        <w:ind w:firstLine="840"/>
        <w:jc w:val="left"/>
        <w:rPr>
          <w:rFonts w:hint="eastAsia" w:asciiTheme="minorEastAsia" w:hAnsiTheme="minorEastAsia" w:eastAsiaTheme="minorEastAsia"/>
          <w:color w:val="auto"/>
          <w:szCs w:val="21"/>
          <w:highlight w:val="none"/>
        </w:rPr>
      </w:pPr>
    </w:p>
    <w:p w14:paraId="5A801027">
      <w:pPr>
        <w:widowControl/>
        <w:shd w:val="clear" w:color="auto" w:fill="FFFFFF"/>
        <w:spacing w:line="360" w:lineRule="auto"/>
        <w:ind w:firstLine="840"/>
        <w:jc w:val="left"/>
        <w:rPr>
          <w:rFonts w:hint="eastAsia" w:asciiTheme="minorEastAsia" w:hAnsiTheme="minorEastAsia" w:eastAsiaTheme="minorEastAsia"/>
          <w:color w:val="auto"/>
          <w:szCs w:val="21"/>
          <w:highlight w:val="none"/>
        </w:rPr>
      </w:pPr>
    </w:p>
    <w:p w14:paraId="22ED4AC0">
      <w:pPr>
        <w:widowControl/>
        <w:shd w:val="clear" w:color="auto" w:fill="FFFFFF"/>
        <w:spacing w:line="360" w:lineRule="auto"/>
        <w:ind w:firstLine="840"/>
        <w:jc w:val="left"/>
        <w:rPr>
          <w:rFonts w:hint="eastAsia" w:asciiTheme="minorEastAsia" w:hAnsiTheme="minorEastAsia" w:eastAsiaTheme="minorEastAsia"/>
          <w:color w:val="auto"/>
          <w:szCs w:val="21"/>
          <w:highlight w:val="none"/>
        </w:rPr>
      </w:pPr>
    </w:p>
    <w:p w14:paraId="7973AF41">
      <w:pPr>
        <w:pStyle w:val="4"/>
        <w:spacing w:line="360" w:lineRule="auto"/>
        <w:rPr>
          <w:rFonts w:hint="eastAsia" w:asciiTheme="minorEastAsia" w:hAnsiTheme="minorEastAsia" w:eastAsiaTheme="minorEastAsia"/>
          <w:color w:val="auto"/>
          <w:highlight w:val="none"/>
        </w:rPr>
      </w:pPr>
      <w:bookmarkStart w:id="62" w:name="_Toc43917782"/>
      <w:bookmarkStart w:id="63" w:name="_Toc66375435"/>
      <w:r>
        <w:rPr>
          <w:rFonts w:hint="eastAsia" w:asciiTheme="minorEastAsia" w:hAnsiTheme="minorEastAsia" w:eastAsiaTheme="minorEastAsia"/>
          <w:color w:val="auto"/>
          <w:highlight w:val="none"/>
        </w:rPr>
        <w:t>附件三、资格证明文件</w:t>
      </w:r>
      <w:bookmarkEnd w:id="62"/>
      <w:bookmarkEnd w:id="63"/>
    </w:p>
    <w:p w14:paraId="1501F27A">
      <w:pPr>
        <w:spacing w:line="360" w:lineRule="auto"/>
        <w:ind w:firstLine="420"/>
        <w:rPr>
          <w:rFonts w:hint="eastAsia" w:asciiTheme="minorEastAsia" w:hAnsiTheme="minorEastAsia" w:eastAsiaTheme="minorEastAsia"/>
          <w:bCs/>
          <w:color w:val="auto"/>
          <w:sz w:val="24"/>
          <w:szCs w:val="24"/>
          <w:highlight w:val="none"/>
        </w:rPr>
      </w:pPr>
      <w:bookmarkStart w:id="64" w:name="_Hlk168584506"/>
      <w:r>
        <w:rPr>
          <w:rFonts w:hint="eastAsia" w:asciiTheme="minorEastAsia" w:hAnsiTheme="minorEastAsia" w:eastAsiaTheme="minorEastAsia"/>
          <w:bCs/>
          <w:color w:val="auto"/>
          <w:sz w:val="24"/>
          <w:szCs w:val="24"/>
          <w:highlight w:val="none"/>
        </w:rPr>
        <w:t>1.第一章采购公告中二、申请人的资格要求（三）本项目特定资格要求证明文件；</w:t>
      </w:r>
    </w:p>
    <w:p w14:paraId="55A70964">
      <w:pPr>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bCs/>
          <w:color w:val="auto"/>
          <w:sz w:val="24"/>
          <w:szCs w:val="24"/>
          <w:highlight w:val="none"/>
          <w:lang w:val="en-US" w:eastAsia="zh-CN"/>
        </w:rPr>
        <w:t>2</w:t>
      </w:r>
      <w:r>
        <w:rPr>
          <w:rFonts w:hint="eastAsia" w:asciiTheme="minorEastAsia" w:hAnsiTheme="minorEastAsia" w:eastAsiaTheme="minorEastAsia"/>
          <w:bCs/>
          <w:color w:val="auto"/>
          <w:sz w:val="24"/>
          <w:szCs w:val="24"/>
          <w:highlight w:val="none"/>
        </w:rPr>
        <w:t>.《</w:t>
      </w:r>
      <w:r>
        <w:rPr>
          <w:rFonts w:hint="eastAsia" w:cs="宋体" w:asciiTheme="minorEastAsia" w:hAnsiTheme="minorEastAsia" w:eastAsiaTheme="minorEastAsia"/>
          <w:color w:val="auto"/>
          <w:sz w:val="24"/>
          <w:szCs w:val="24"/>
          <w:highlight w:val="none"/>
        </w:rPr>
        <w:t>南京市政府采购供应商信用记录表暨信用承诺书</w:t>
      </w:r>
      <w:r>
        <w:rPr>
          <w:rFonts w:hint="eastAsia" w:asciiTheme="minorEastAsia" w:hAnsiTheme="minorEastAsia" w:eastAsiaTheme="minorEastAsia"/>
          <w:bCs/>
          <w:color w:val="auto"/>
          <w:sz w:val="24"/>
          <w:szCs w:val="24"/>
          <w:highlight w:val="none"/>
        </w:rPr>
        <w:t>》，需</w:t>
      </w:r>
      <w:r>
        <w:rPr>
          <w:rFonts w:asciiTheme="minorEastAsia" w:hAnsiTheme="minorEastAsia" w:eastAsiaTheme="minorEastAsia"/>
          <w:color w:val="auto"/>
          <w:sz w:val="24"/>
          <w:szCs w:val="24"/>
          <w:highlight w:val="none"/>
        </w:rPr>
        <w:t>由法人签字并盖单位公章</w:t>
      </w:r>
      <w:r>
        <w:rPr>
          <w:rFonts w:hint="eastAsia" w:asciiTheme="minorEastAsia" w:hAnsiTheme="minorEastAsia" w:eastAsiaTheme="minorEastAsia"/>
          <w:color w:val="auto"/>
          <w:sz w:val="24"/>
          <w:szCs w:val="24"/>
          <w:highlight w:val="none"/>
        </w:rPr>
        <w:t>；</w:t>
      </w:r>
    </w:p>
    <w:p w14:paraId="3DA12AD5">
      <w:pPr>
        <w:spacing w:line="360" w:lineRule="auto"/>
        <w:ind w:firstLine="420"/>
        <w:rPr>
          <w:rFonts w:hint="eastAsia" w:asciiTheme="minorEastAsia" w:hAnsiTheme="minorEastAsia" w:eastAsiaTheme="minorEastAsia"/>
          <w:bCs/>
          <w:color w:val="auto"/>
          <w:sz w:val="24"/>
          <w:szCs w:val="24"/>
          <w:highlight w:val="none"/>
        </w:rPr>
      </w:pPr>
      <w:bookmarkStart w:id="65" w:name="_Hlk81574079"/>
      <w:r>
        <w:rPr>
          <w:rFonts w:hint="eastAsia" w:asciiTheme="minorEastAsia" w:hAnsiTheme="minorEastAsia" w:eastAsiaTheme="minorEastAsia"/>
          <w:bCs/>
          <w:color w:val="auto"/>
          <w:sz w:val="24"/>
          <w:szCs w:val="24"/>
          <w:highlight w:val="none"/>
          <w:lang w:val="en-US" w:eastAsia="zh-CN"/>
        </w:rPr>
        <w:t>3</w:t>
      </w:r>
      <w:r>
        <w:rPr>
          <w:rFonts w:hint="eastAsia" w:asciiTheme="minorEastAsia" w:hAnsiTheme="minorEastAsia" w:eastAsiaTheme="minorEastAsia"/>
          <w:bCs/>
          <w:color w:val="auto"/>
          <w:sz w:val="24"/>
          <w:szCs w:val="24"/>
          <w:highlight w:val="none"/>
        </w:rPr>
        <w:t>.第一章采购公告中二、申请人的资格要求（一）《中华人民共和国政府采购法》2--5条规定的资格证明文件；</w:t>
      </w:r>
    </w:p>
    <w:p w14:paraId="3ACF7368">
      <w:pPr>
        <w:spacing w:line="360" w:lineRule="auto"/>
        <w:ind w:firstLine="420"/>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lang w:val="en-US" w:eastAsia="zh-CN"/>
        </w:rPr>
        <w:t>4</w:t>
      </w:r>
      <w:r>
        <w:rPr>
          <w:rFonts w:hint="eastAsia" w:asciiTheme="minorEastAsia" w:hAnsiTheme="minorEastAsia" w:eastAsiaTheme="minorEastAsia"/>
          <w:bCs/>
          <w:color w:val="auto"/>
          <w:sz w:val="24"/>
          <w:szCs w:val="24"/>
          <w:highlight w:val="none"/>
        </w:rPr>
        <w:t>.</w:t>
      </w:r>
      <w:r>
        <w:rPr>
          <w:rFonts w:hint="eastAsia" w:cs="Arial" w:asciiTheme="minorEastAsia" w:hAnsiTheme="minorEastAsia" w:eastAsiaTheme="minorEastAsia"/>
          <w:bCs/>
          <w:color w:val="auto"/>
          <w:sz w:val="24"/>
          <w:szCs w:val="24"/>
          <w:highlight w:val="none"/>
        </w:rPr>
        <w:t>投标人未被“信用中国”网站（www.creditchina.gov.cn）、“中国政府采购网”</w:t>
      </w:r>
      <w:r>
        <w:rPr>
          <w:rFonts w:hint="eastAsia" w:cs="Arial" w:asciiTheme="minorEastAsia" w:hAnsiTheme="minorEastAsia" w:eastAsiaTheme="minorEastAsia"/>
          <w:bCs/>
          <w:color w:val="auto"/>
          <w:sz w:val="24"/>
          <w:szCs w:val="24"/>
          <w:highlight w:val="none"/>
          <w:lang w:eastAsia="zh-CN"/>
        </w:rPr>
        <w:t>（</w:t>
      </w:r>
      <w:r>
        <w:rPr>
          <w:rFonts w:hint="eastAsia" w:cs="Arial" w:asciiTheme="minorEastAsia" w:hAnsiTheme="minorEastAsia" w:eastAsiaTheme="minorEastAsia"/>
          <w:bCs/>
          <w:color w:val="auto"/>
          <w:sz w:val="24"/>
          <w:szCs w:val="24"/>
          <w:highlight w:val="none"/>
        </w:rPr>
        <w:t>www.ccgp.gov.cn</w:t>
      </w:r>
      <w:r>
        <w:rPr>
          <w:rFonts w:hint="eastAsia" w:cs="Arial" w:asciiTheme="minorEastAsia" w:hAnsiTheme="minorEastAsia" w:eastAsiaTheme="minorEastAsia"/>
          <w:bCs/>
          <w:color w:val="auto"/>
          <w:sz w:val="24"/>
          <w:szCs w:val="24"/>
          <w:highlight w:val="none"/>
          <w:lang w:eastAsia="zh-CN"/>
        </w:rPr>
        <w:t>）</w:t>
      </w:r>
      <w:r>
        <w:rPr>
          <w:rFonts w:hint="eastAsia" w:cs="Arial" w:asciiTheme="minorEastAsia" w:hAnsiTheme="minorEastAsia" w:eastAsiaTheme="minorEastAsia"/>
          <w:bCs/>
          <w:color w:val="auto"/>
          <w:sz w:val="24"/>
          <w:szCs w:val="24"/>
          <w:highlight w:val="none"/>
        </w:rPr>
        <w:t>列入失信被执行人、重大税收违法案件当事人名单、政府采购严重违法失信行为记录名单</w:t>
      </w:r>
      <w:r>
        <w:rPr>
          <w:rFonts w:hint="eastAsia" w:asciiTheme="minorEastAsia" w:hAnsiTheme="minorEastAsia" w:eastAsiaTheme="minorEastAsia"/>
          <w:bCs/>
          <w:color w:val="auto"/>
          <w:sz w:val="24"/>
          <w:szCs w:val="24"/>
          <w:highlight w:val="none"/>
        </w:rPr>
        <w:t>证明文件。</w:t>
      </w:r>
    </w:p>
    <w:p w14:paraId="16EB8B0C">
      <w:pPr>
        <w:spacing w:line="360" w:lineRule="auto"/>
        <w:ind w:firstLine="422"/>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注：上述</w:t>
      </w:r>
      <w:r>
        <w:rPr>
          <w:rFonts w:hint="eastAsia" w:asciiTheme="minorEastAsia" w:hAnsiTheme="minorEastAsia" w:eastAsiaTheme="minorEastAsia"/>
          <w:b/>
          <w:color w:val="auto"/>
          <w:sz w:val="24"/>
          <w:szCs w:val="24"/>
          <w:highlight w:val="none"/>
          <w:lang w:val="en-US" w:eastAsia="zh-CN"/>
        </w:rPr>
        <w:t>第3</w:t>
      </w:r>
      <w:r>
        <w:rPr>
          <w:rFonts w:hint="eastAsia" w:asciiTheme="minorEastAsia" w:hAnsiTheme="minorEastAsia" w:eastAsiaTheme="minorEastAsia"/>
          <w:b/>
          <w:color w:val="auto"/>
          <w:sz w:val="24"/>
          <w:szCs w:val="24"/>
          <w:highlight w:val="none"/>
        </w:rPr>
        <w:t>项，投标人可以在投标文件中一次性提交资格证明材料，也可以在投标文件中提供《南京市政府采购供应商信用记录表暨信用承诺书》。</w:t>
      </w:r>
    </w:p>
    <w:p w14:paraId="4D25BE69">
      <w:pPr>
        <w:spacing w:line="360" w:lineRule="auto"/>
        <w:ind w:firstLine="422"/>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投标人仅提供信用承诺书而未提供证明材料的，须在中标后另行提供上述由信用承诺书替代的证明材料（一式两份）</w:t>
      </w:r>
      <w:r>
        <w:rPr>
          <w:rFonts w:hint="eastAsia" w:asciiTheme="minorEastAsia" w:hAnsiTheme="minorEastAsia" w:eastAsiaTheme="minorEastAsia"/>
          <w:b/>
          <w:bCs/>
          <w:color w:val="auto"/>
          <w:sz w:val="24"/>
          <w:szCs w:val="24"/>
          <w:highlight w:val="none"/>
        </w:rPr>
        <w:t>加盖公章</w:t>
      </w:r>
      <w:r>
        <w:rPr>
          <w:rFonts w:hint="eastAsia" w:asciiTheme="minorEastAsia" w:hAnsiTheme="minorEastAsia" w:eastAsiaTheme="minorEastAsia"/>
          <w:b/>
          <w:color w:val="auto"/>
          <w:sz w:val="24"/>
          <w:szCs w:val="24"/>
          <w:highlight w:val="none"/>
        </w:rPr>
        <w:t>，提交采购人或采购代理机构核验。经核验无误后，由采购人或采购代理机构发出中标通知书。</w:t>
      </w:r>
    </w:p>
    <w:p w14:paraId="0F1E15BD">
      <w:pPr>
        <w:spacing w:line="360" w:lineRule="auto"/>
        <w:ind w:firstLine="422"/>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投标人涉及以下情形的，不适用信用承诺，仍须提供上述证明材料：</w:t>
      </w:r>
    </w:p>
    <w:p w14:paraId="69D621E2">
      <w:pPr>
        <w:spacing w:line="360" w:lineRule="auto"/>
        <w:ind w:firstLine="211"/>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w:t>
      </w:r>
      <w:r>
        <w:rPr>
          <w:rFonts w:asciiTheme="minorEastAsia" w:hAnsiTheme="minorEastAsia" w:eastAsiaTheme="minorEastAsia"/>
          <w:b/>
          <w:color w:val="auto"/>
          <w:sz w:val="24"/>
          <w:szCs w:val="24"/>
          <w:highlight w:val="none"/>
        </w:rPr>
        <w:t>1</w:t>
      </w:r>
      <w:r>
        <w:rPr>
          <w:rFonts w:hint="eastAsia" w:asciiTheme="minorEastAsia" w:hAnsiTheme="minorEastAsia" w:eastAsiaTheme="minorEastAsia"/>
          <w:b/>
          <w:color w:val="auto"/>
          <w:sz w:val="24"/>
          <w:szCs w:val="24"/>
          <w:highlight w:val="none"/>
        </w:rPr>
        <w:t>）供应商被列入严重失信主体名单；</w:t>
      </w:r>
    </w:p>
    <w:p w14:paraId="72AC7030">
      <w:pPr>
        <w:spacing w:line="360" w:lineRule="auto"/>
        <w:ind w:firstLine="211"/>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w:t>
      </w:r>
      <w:r>
        <w:rPr>
          <w:rFonts w:asciiTheme="minorEastAsia" w:hAnsiTheme="minorEastAsia" w:eastAsiaTheme="minorEastAsia"/>
          <w:b/>
          <w:color w:val="auto"/>
          <w:sz w:val="24"/>
          <w:szCs w:val="24"/>
          <w:highlight w:val="none"/>
        </w:rPr>
        <w:t>2</w:t>
      </w:r>
      <w:r>
        <w:rPr>
          <w:rFonts w:hint="eastAsia" w:asciiTheme="minorEastAsia" w:hAnsiTheme="minorEastAsia" w:eastAsiaTheme="minorEastAsia"/>
          <w:b/>
          <w:color w:val="auto"/>
          <w:sz w:val="24"/>
          <w:szCs w:val="24"/>
          <w:highlight w:val="none"/>
        </w:rPr>
        <w:t>）被相关监管部门作出行政处罚且尚在处罚有效期内；</w:t>
      </w:r>
    </w:p>
    <w:p w14:paraId="4A852093">
      <w:pPr>
        <w:spacing w:line="360" w:lineRule="auto"/>
        <w:ind w:firstLine="211"/>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w:t>
      </w:r>
      <w:r>
        <w:rPr>
          <w:rFonts w:asciiTheme="minorEastAsia" w:hAnsiTheme="minorEastAsia" w:eastAsiaTheme="minorEastAsia"/>
          <w:b/>
          <w:color w:val="auto"/>
          <w:sz w:val="24"/>
          <w:szCs w:val="24"/>
          <w:highlight w:val="none"/>
        </w:rPr>
        <w:t>3</w:t>
      </w:r>
      <w:r>
        <w:rPr>
          <w:rFonts w:hint="eastAsia" w:asciiTheme="minorEastAsia" w:hAnsiTheme="minorEastAsia" w:eastAsiaTheme="minorEastAsia"/>
          <w:b/>
          <w:color w:val="auto"/>
          <w:sz w:val="24"/>
          <w:szCs w:val="24"/>
          <w:highlight w:val="none"/>
        </w:rPr>
        <w:t>）其他法律、行政法规规定的不适用信用承诺的情形。</w:t>
      </w:r>
    </w:p>
    <w:p w14:paraId="483E61CA">
      <w:pPr>
        <w:spacing w:line="360" w:lineRule="auto"/>
        <w:ind w:firstLine="422"/>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投标人对信用承诺内容的真实性、合法性、有效性负责。如作出虚假信用承诺，视同为“提供虚假材料谋取中标”的违法行为。</w:t>
      </w:r>
      <w:bookmarkEnd w:id="65"/>
    </w:p>
    <w:p w14:paraId="608F38DC">
      <w:pPr>
        <w:widowControl/>
        <w:shd w:val="clear" w:color="auto" w:fill="FFFFFF"/>
        <w:spacing w:line="360" w:lineRule="auto"/>
        <w:ind w:firstLine="42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bookmarkEnd w:id="64"/>
    </w:p>
    <w:p w14:paraId="40928B64">
      <w:pPr>
        <w:widowControl/>
        <w:shd w:val="clear" w:color="auto" w:fill="FFFFFF"/>
        <w:spacing w:line="360" w:lineRule="auto"/>
        <w:ind w:firstLine="42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p w14:paraId="240C98DC">
      <w:pPr>
        <w:widowControl/>
        <w:shd w:val="clear" w:color="auto" w:fill="FFFFFF"/>
        <w:spacing w:line="360" w:lineRule="auto"/>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p>
    <w:p w14:paraId="12328342">
      <w:pPr>
        <w:pStyle w:val="4"/>
        <w:spacing w:line="360" w:lineRule="auto"/>
        <w:rPr>
          <w:rFonts w:hint="eastAsia" w:asciiTheme="minorEastAsia" w:hAnsiTheme="minorEastAsia" w:eastAsiaTheme="minorEastAsia"/>
          <w:color w:val="auto"/>
          <w:highlight w:val="none"/>
          <w:lang w:val="zh-CN"/>
        </w:rPr>
      </w:pPr>
      <w:bookmarkStart w:id="66" w:name="_Toc66375426"/>
      <w:bookmarkStart w:id="67" w:name="_Toc26810"/>
      <w:bookmarkStart w:id="68" w:name="_Toc43917773"/>
      <w:bookmarkStart w:id="69" w:name="OLE_LINK38"/>
      <w:r>
        <w:rPr>
          <w:rFonts w:hint="eastAsia" w:asciiTheme="minorEastAsia" w:hAnsiTheme="minorEastAsia" w:eastAsiaTheme="minorEastAsia"/>
          <w:color w:val="auto"/>
          <w:highlight w:val="none"/>
          <w:lang w:val="zh-CN"/>
        </w:rPr>
        <w:t>附件四、</w:t>
      </w:r>
      <w:bookmarkEnd w:id="66"/>
      <w:bookmarkEnd w:id="67"/>
      <w:bookmarkEnd w:id="68"/>
      <w:r>
        <w:rPr>
          <w:rFonts w:hint="eastAsia" w:asciiTheme="minorEastAsia" w:hAnsiTheme="minorEastAsia" w:eastAsiaTheme="minorEastAsia"/>
          <w:color w:val="auto"/>
          <w:highlight w:val="none"/>
          <w:lang w:val="zh-CN"/>
        </w:rPr>
        <w:t>开标一览表</w:t>
      </w:r>
      <w:bookmarkEnd w:id="69"/>
    </w:p>
    <w:p w14:paraId="255BA2F3">
      <w:pPr>
        <w:spacing w:line="360" w:lineRule="auto"/>
        <w:jc w:val="center"/>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开标一览表</w:t>
      </w:r>
    </w:p>
    <w:p w14:paraId="71DB99F9">
      <w:pPr>
        <w:pStyle w:val="13"/>
        <w:spacing w:line="360" w:lineRule="auto"/>
        <w:ind w:firstLine="210"/>
        <w:rPr>
          <w:rFonts w:hint="eastAsia" w:cs="宋体" w:asciiTheme="minorEastAsia" w:hAnsiTheme="minorEastAsia" w:eastAsiaTheme="minorEastAsia"/>
          <w:b w:val="0"/>
          <w:bCs/>
          <w:color w:val="auto"/>
          <w:sz w:val="24"/>
          <w:szCs w:val="24"/>
          <w:highlight w:val="none"/>
        </w:rPr>
      </w:pPr>
      <w:r>
        <w:rPr>
          <w:rFonts w:hint="eastAsia" w:cs="宋体" w:asciiTheme="minorEastAsia" w:hAnsiTheme="minorEastAsia" w:eastAsiaTheme="minorEastAsia"/>
          <w:b w:val="0"/>
          <w:bCs/>
          <w:color w:val="auto"/>
          <w:sz w:val="24"/>
          <w:szCs w:val="24"/>
          <w:highlight w:val="none"/>
        </w:rPr>
        <w:t>项目编号：                                                  分包号：</w:t>
      </w:r>
    </w:p>
    <w:tbl>
      <w:tblPr>
        <w:tblStyle w:val="48"/>
        <w:tblW w:w="49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72"/>
        <w:gridCol w:w="2399"/>
        <w:gridCol w:w="2722"/>
        <w:gridCol w:w="2051"/>
      </w:tblGrid>
      <w:tr w14:paraId="4D038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8" w:hRule="atLeast"/>
          <w:jc w:val="center"/>
        </w:trPr>
        <w:tc>
          <w:tcPr>
            <w:tcW w:w="1393" w:type="pct"/>
            <w:noWrap w:val="0"/>
            <w:vAlign w:val="center"/>
          </w:tcPr>
          <w:p w14:paraId="3BE4C538">
            <w:pPr>
              <w:pStyle w:val="386"/>
              <w:spacing w:before="64"/>
              <w:ind w:left="95"/>
              <w:jc w:val="center"/>
              <w:rPr>
                <w:rFonts w:hint="eastAsia" w:ascii="宋体" w:hAnsi="宋体" w:eastAsia="宋体" w:cs="仿宋"/>
                <w:color w:val="auto"/>
                <w:spacing w:val="-3"/>
                <w:sz w:val="24"/>
                <w:highlight w:val="none"/>
                <w:lang w:val="en-US" w:eastAsia="zh-CN" w:bidi="ar-SA"/>
              </w:rPr>
            </w:pPr>
            <w:r>
              <w:rPr>
                <w:rFonts w:hint="eastAsia" w:ascii="宋体" w:hAnsi="宋体" w:eastAsia="宋体" w:cs="仿宋"/>
                <w:color w:val="auto"/>
                <w:spacing w:val="-3"/>
                <w:sz w:val="24"/>
                <w:highlight w:val="none"/>
                <w:lang w:val="en-US" w:eastAsia="zh-CN" w:bidi="ar-SA"/>
              </w:rPr>
              <w:t>项目名称</w:t>
            </w:r>
          </w:p>
        </w:tc>
        <w:tc>
          <w:tcPr>
            <w:tcW w:w="1206" w:type="pct"/>
            <w:noWrap w:val="0"/>
            <w:vAlign w:val="center"/>
          </w:tcPr>
          <w:p w14:paraId="65EBB758">
            <w:pPr>
              <w:pStyle w:val="386"/>
              <w:spacing w:before="64"/>
              <w:ind w:left="95"/>
              <w:jc w:val="center"/>
              <w:rPr>
                <w:rFonts w:hint="eastAsia" w:ascii="宋体" w:hAnsi="宋体" w:eastAsia="宋体" w:cs="仿宋"/>
                <w:color w:val="auto"/>
                <w:spacing w:val="-3"/>
                <w:sz w:val="24"/>
                <w:highlight w:val="none"/>
                <w:lang w:val="en-US" w:eastAsia="zh-CN" w:bidi="ar-SA"/>
              </w:rPr>
            </w:pPr>
            <w:r>
              <w:rPr>
                <w:rFonts w:hint="eastAsia" w:ascii="宋体" w:hAnsi="宋体" w:eastAsia="宋体" w:cs="仿宋"/>
                <w:color w:val="auto"/>
                <w:spacing w:val="-3"/>
                <w:sz w:val="24"/>
                <w:highlight w:val="none"/>
                <w:lang w:val="en-US" w:eastAsia="zh-CN" w:bidi="ar-SA"/>
              </w:rPr>
              <w:t>项目内容</w:t>
            </w:r>
          </w:p>
        </w:tc>
        <w:tc>
          <w:tcPr>
            <w:tcW w:w="1368" w:type="pct"/>
            <w:noWrap w:val="0"/>
            <w:vAlign w:val="center"/>
          </w:tcPr>
          <w:p w14:paraId="5AA8C8F9">
            <w:pPr>
              <w:pStyle w:val="386"/>
              <w:spacing w:before="64"/>
              <w:ind w:left="95"/>
              <w:jc w:val="center"/>
              <w:rPr>
                <w:rFonts w:hint="eastAsia" w:ascii="宋体" w:hAnsi="宋体" w:eastAsia="宋体" w:cs="仿宋"/>
                <w:color w:val="auto"/>
                <w:spacing w:val="-3"/>
                <w:sz w:val="24"/>
                <w:highlight w:val="none"/>
                <w:lang w:val="en-US" w:eastAsia="zh-CN" w:bidi="ar-SA"/>
              </w:rPr>
            </w:pPr>
            <w:r>
              <w:rPr>
                <w:rFonts w:hint="eastAsia" w:ascii="宋体" w:hAnsi="宋体" w:eastAsia="宋体" w:cs="仿宋"/>
                <w:color w:val="auto"/>
                <w:spacing w:val="-3"/>
                <w:sz w:val="24"/>
                <w:highlight w:val="none"/>
                <w:lang w:val="en-US" w:eastAsia="zh-CN" w:bidi="ar-SA"/>
              </w:rPr>
              <w:t>投标报价（万元）</w:t>
            </w:r>
          </w:p>
        </w:tc>
        <w:tc>
          <w:tcPr>
            <w:tcW w:w="1031" w:type="pct"/>
            <w:noWrap w:val="0"/>
            <w:vAlign w:val="center"/>
          </w:tcPr>
          <w:p w14:paraId="2D2AB093">
            <w:pPr>
              <w:pStyle w:val="386"/>
              <w:spacing w:before="64"/>
              <w:ind w:left="95"/>
              <w:jc w:val="center"/>
              <w:rPr>
                <w:rFonts w:hint="eastAsia" w:ascii="宋体" w:hAnsi="宋体" w:eastAsia="宋体" w:cs="仿宋"/>
                <w:color w:val="auto"/>
                <w:spacing w:val="-3"/>
                <w:sz w:val="24"/>
                <w:highlight w:val="none"/>
                <w:lang w:val="en-US" w:eastAsia="zh-CN" w:bidi="ar-SA"/>
              </w:rPr>
            </w:pPr>
            <w:r>
              <w:rPr>
                <w:rFonts w:hint="eastAsia" w:ascii="宋体" w:hAnsi="宋体" w:eastAsia="宋体" w:cs="仿宋"/>
                <w:color w:val="auto"/>
                <w:spacing w:val="-3"/>
                <w:sz w:val="24"/>
                <w:highlight w:val="none"/>
                <w:lang w:val="en-US" w:eastAsia="zh-CN" w:bidi="ar-SA"/>
              </w:rPr>
              <w:t>备注</w:t>
            </w:r>
          </w:p>
        </w:tc>
      </w:tr>
      <w:tr w14:paraId="2CD4C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1393" w:type="pct"/>
            <w:noWrap w:val="0"/>
            <w:vAlign w:val="center"/>
          </w:tcPr>
          <w:p w14:paraId="3E8515B2">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1206" w:type="pct"/>
            <w:noWrap w:val="0"/>
            <w:vAlign w:val="center"/>
          </w:tcPr>
          <w:p w14:paraId="20C56CA4">
            <w:pPr>
              <w:pStyle w:val="386"/>
              <w:spacing w:before="64"/>
              <w:ind w:left="95"/>
              <w:jc w:val="center"/>
              <w:rPr>
                <w:rFonts w:hint="eastAsia" w:ascii="宋体" w:hAnsi="宋体" w:eastAsia="宋体" w:cs="仿宋"/>
                <w:color w:val="auto"/>
                <w:spacing w:val="-3"/>
                <w:sz w:val="24"/>
                <w:highlight w:val="none"/>
                <w:lang w:val="en-US" w:eastAsia="zh-CN" w:bidi="ar-SA"/>
              </w:rPr>
            </w:pPr>
            <w:r>
              <w:rPr>
                <w:rFonts w:hint="eastAsia" w:ascii="宋体" w:hAnsi="宋体" w:eastAsia="宋体" w:cs="仿宋"/>
                <w:color w:val="auto"/>
                <w:spacing w:val="-3"/>
                <w:sz w:val="24"/>
                <w:highlight w:val="none"/>
                <w:lang w:val="en-US" w:eastAsia="zh-CN" w:bidi="ar-SA"/>
              </w:rPr>
              <w:t>详见投标文件</w:t>
            </w:r>
          </w:p>
        </w:tc>
        <w:tc>
          <w:tcPr>
            <w:tcW w:w="1368" w:type="pct"/>
            <w:noWrap w:val="0"/>
            <w:vAlign w:val="center"/>
          </w:tcPr>
          <w:p w14:paraId="5044275D">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1031" w:type="pct"/>
            <w:noWrap w:val="0"/>
            <w:vAlign w:val="center"/>
          </w:tcPr>
          <w:p w14:paraId="58AD4D39">
            <w:pPr>
              <w:pStyle w:val="386"/>
              <w:spacing w:before="64"/>
              <w:ind w:left="95"/>
              <w:jc w:val="center"/>
              <w:rPr>
                <w:rFonts w:hint="eastAsia" w:ascii="宋体" w:hAnsi="宋体" w:eastAsia="宋体" w:cs="仿宋"/>
                <w:color w:val="auto"/>
                <w:spacing w:val="-3"/>
                <w:sz w:val="24"/>
                <w:highlight w:val="none"/>
                <w:lang w:val="en-US" w:eastAsia="zh-CN" w:bidi="ar-SA"/>
              </w:rPr>
            </w:pPr>
          </w:p>
        </w:tc>
      </w:tr>
      <w:tr w14:paraId="40D43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1393" w:type="pct"/>
            <w:noWrap w:val="0"/>
            <w:vAlign w:val="center"/>
          </w:tcPr>
          <w:p w14:paraId="366099FF">
            <w:pPr>
              <w:pStyle w:val="386"/>
              <w:spacing w:before="64"/>
              <w:ind w:left="95"/>
              <w:jc w:val="center"/>
              <w:rPr>
                <w:rFonts w:hint="eastAsia" w:ascii="宋体" w:hAnsi="宋体" w:eastAsia="宋体" w:cs="仿宋"/>
                <w:color w:val="auto"/>
                <w:spacing w:val="-3"/>
                <w:sz w:val="24"/>
                <w:highlight w:val="none"/>
                <w:lang w:val="en-US" w:eastAsia="zh-CN" w:bidi="ar-SA"/>
              </w:rPr>
            </w:pPr>
            <w:r>
              <w:rPr>
                <w:rFonts w:hint="eastAsia" w:ascii="宋体" w:hAnsi="宋体" w:eastAsia="宋体" w:cs="仿宋"/>
                <w:color w:val="auto"/>
                <w:spacing w:val="-3"/>
                <w:sz w:val="24"/>
                <w:highlight w:val="none"/>
                <w:lang w:val="en-US" w:eastAsia="zh-CN" w:bidi="ar-SA"/>
              </w:rPr>
              <w:t>投标报价（大写）：</w:t>
            </w:r>
          </w:p>
        </w:tc>
        <w:tc>
          <w:tcPr>
            <w:tcW w:w="2574" w:type="pct"/>
            <w:gridSpan w:val="2"/>
            <w:noWrap w:val="0"/>
            <w:vAlign w:val="center"/>
          </w:tcPr>
          <w:p w14:paraId="5E234C57">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1031" w:type="pct"/>
            <w:noWrap w:val="0"/>
            <w:vAlign w:val="center"/>
          </w:tcPr>
          <w:p w14:paraId="31686488">
            <w:pPr>
              <w:pStyle w:val="386"/>
              <w:spacing w:before="64"/>
              <w:ind w:left="95"/>
              <w:jc w:val="center"/>
              <w:rPr>
                <w:rFonts w:hint="eastAsia" w:ascii="宋体" w:hAnsi="宋体" w:eastAsia="宋体" w:cs="仿宋"/>
                <w:color w:val="auto"/>
                <w:spacing w:val="-3"/>
                <w:sz w:val="24"/>
                <w:highlight w:val="none"/>
                <w:lang w:val="en-US" w:eastAsia="zh-CN" w:bidi="ar-SA"/>
              </w:rPr>
            </w:pPr>
          </w:p>
        </w:tc>
      </w:tr>
    </w:tbl>
    <w:p w14:paraId="3EF36BEA">
      <w:pPr>
        <w:spacing w:line="360" w:lineRule="auto"/>
        <w:jc w:val="center"/>
        <w:rPr>
          <w:rFonts w:hint="eastAsia" w:cs="宋体" w:asciiTheme="minorEastAsia" w:hAnsiTheme="minorEastAsia" w:eastAsiaTheme="minorEastAsia"/>
          <w:b/>
          <w:color w:val="auto"/>
          <w:sz w:val="32"/>
          <w:szCs w:val="32"/>
          <w:highlight w:val="none"/>
        </w:rPr>
      </w:pPr>
    </w:p>
    <w:p w14:paraId="6A8D7155">
      <w:pPr>
        <w:spacing w:line="360" w:lineRule="auto"/>
        <w:jc w:val="center"/>
        <w:rPr>
          <w:rFonts w:hint="eastAsia" w:asciiTheme="minorEastAsia" w:hAnsiTheme="minorEastAsia" w:eastAsiaTheme="minorEastAsia"/>
          <w:b/>
          <w:color w:val="auto"/>
          <w:sz w:val="24"/>
          <w:szCs w:val="24"/>
          <w:highlight w:val="none"/>
        </w:rPr>
      </w:pPr>
    </w:p>
    <w:p w14:paraId="4E6ED4B0">
      <w:pPr>
        <w:widowControl/>
        <w:shd w:val="clear" w:color="auto" w:fill="FFFFFF"/>
        <w:spacing w:line="360" w:lineRule="auto"/>
        <w:jc w:val="left"/>
        <w:rPr>
          <w:rFonts w:hint="eastAsia" w:asciiTheme="minorEastAsia" w:hAnsiTheme="minorEastAsia" w:eastAsiaTheme="minorEastAsia"/>
          <w:color w:val="auto"/>
          <w:sz w:val="24"/>
          <w:szCs w:val="24"/>
          <w:highlight w:val="none"/>
          <w:lang w:eastAsia="zh-CN"/>
        </w:rPr>
      </w:pPr>
      <w:bookmarkStart w:id="70" w:name="_Hlk44577819"/>
      <w:r>
        <w:rPr>
          <w:rFonts w:hint="eastAsia" w:asciiTheme="minorEastAsia" w:hAnsiTheme="minorEastAsia" w:eastAsiaTheme="minorEastAsia"/>
          <w:color w:val="auto"/>
          <w:sz w:val="24"/>
          <w:szCs w:val="24"/>
          <w:highlight w:val="none"/>
        </w:rPr>
        <w:t>说明</w:t>
      </w:r>
      <w:r>
        <w:rPr>
          <w:rFonts w:hint="eastAsia" w:asciiTheme="minorEastAsia" w:hAnsiTheme="minorEastAsia" w:eastAsiaTheme="minorEastAsia"/>
          <w:color w:val="auto"/>
          <w:sz w:val="24"/>
          <w:szCs w:val="24"/>
          <w:highlight w:val="none"/>
          <w:lang w:eastAsia="zh-CN"/>
        </w:rPr>
        <w:t>：</w:t>
      </w:r>
    </w:p>
    <w:p w14:paraId="6A3C78A6">
      <w:pPr>
        <w:widowControl/>
        <w:shd w:val="clear" w:color="auto" w:fill="FFFFFF"/>
        <w:spacing w:line="360" w:lineRule="auto"/>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1、报价包括完成项目的所有费用，采购人不再支付报价以外的任何费用。</w:t>
      </w:r>
    </w:p>
    <w:p w14:paraId="7E4515A8">
      <w:pPr>
        <w:widowControl/>
        <w:shd w:val="clear" w:color="auto" w:fill="FFFFFF"/>
        <w:spacing w:line="360" w:lineRule="auto"/>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2、报价以总价为准，大小写不一致以大写为准。</w:t>
      </w:r>
      <w:bookmarkEnd w:id="70"/>
    </w:p>
    <w:p w14:paraId="4DFAA9BF">
      <w:pPr>
        <w:widowControl/>
        <w:shd w:val="clear" w:color="auto" w:fill="FFFFFF"/>
        <w:spacing w:line="360" w:lineRule="auto"/>
        <w:jc w:val="left"/>
        <w:rPr>
          <w:rFonts w:hint="eastAsia" w:asciiTheme="minorEastAsia" w:hAnsiTheme="minorEastAsia" w:eastAsiaTheme="minorEastAsia"/>
          <w:color w:val="auto"/>
          <w:sz w:val="24"/>
          <w:szCs w:val="24"/>
          <w:highlight w:val="none"/>
        </w:rPr>
      </w:pPr>
    </w:p>
    <w:p w14:paraId="7727D111">
      <w:pPr>
        <w:widowControl/>
        <w:shd w:val="clear" w:color="auto" w:fill="FFFFFF"/>
        <w:spacing w:line="360" w:lineRule="auto"/>
        <w:jc w:val="left"/>
        <w:rPr>
          <w:rFonts w:hint="eastAsia" w:asciiTheme="minorEastAsia" w:hAnsiTheme="minorEastAsia" w:eastAsiaTheme="minorEastAsia"/>
          <w:color w:val="auto"/>
          <w:sz w:val="24"/>
          <w:szCs w:val="24"/>
          <w:highlight w:val="none"/>
        </w:rPr>
      </w:pPr>
    </w:p>
    <w:p w14:paraId="621A183D">
      <w:pPr>
        <w:widowControl/>
        <w:shd w:val="clear" w:color="auto" w:fill="FFFFFF"/>
        <w:spacing w:line="360" w:lineRule="auto"/>
        <w:jc w:val="left"/>
        <w:rPr>
          <w:rFonts w:hint="eastAsia" w:cs="宋体" w:asciiTheme="minorEastAsia" w:hAnsiTheme="minorEastAsia" w:eastAsiaTheme="minorEastAsia"/>
          <w:color w:val="auto"/>
          <w:sz w:val="24"/>
          <w:szCs w:val="24"/>
          <w:highlight w:val="none"/>
          <w:u w:val="single"/>
        </w:rPr>
      </w:pPr>
      <w:bookmarkStart w:id="71" w:name="_Hlk175836563"/>
      <w:r>
        <w:rPr>
          <w:rFonts w:hint="eastAsia" w:cs="宋体" w:asciiTheme="minorEastAsia" w:hAnsiTheme="minorEastAsia" w:eastAsiaTheme="minorEastAsia"/>
          <w:color w:val="auto"/>
          <w:sz w:val="24"/>
          <w:szCs w:val="24"/>
          <w:highlight w:val="none"/>
        </w:rPr>
        <w:t>投标人（加盖电子公章）：</w:t>
      </w:r>
      <w:r>
        <w:rPr>
          <w:rFonts w:hint="eastAsia" w:cs="宋体" w:asciiTheme="minorEastAsia" w:hAnsiTheme="minorEastAsia" w:eastAsiaTheme="minorEastAsia"/>
          <w:color w:val="auto"/>
          <w:sz w:val="24"/>
          <w:szCs w:val="24"/>
          <w:highlight w:val="none"/>
          <w:u w:val="single"/>
        </w:rPr>
        <w:t>                      </w:t>
      </w:r>
    </w:p>
    <w:p w14:paraId="74F28EAE">
      <w:pPr>
        <w:widowControl/>
        <w:shd w:val="clear" w:color="auto" w:fill="FFFFFF"/>
        <w:spacing w:line="360" w:lineRule="auto"/>
        <w:jc w:val="lef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日期：年月日</w:t>
      </w:r>
    </w:p>
    <w:p w14:paraId="4529096A">
      <w:pPr>
        <w:widowControl/>
        <w:shd w:val="clear" w:color="auto" w:fill="FFFFFF"/>
        <w:spacing w:line="360" w:lineRule="auto"/>
        <w:jc w:val="left"/>
        <w:rPr>
          <w:rFonts w:hint="eastAsia" w:asciiTheme="minorEastAsia" w:hAnsiTheme="minorEastAsia" w:eastAsiaTheme="minorEastAsia"/>
          <w:color w:val="auto"/>
          <w:sz w:val="24"/>
          <w:szCs w:val="24"/>
          <w:highlight w:val="none"/>
          <w:u w:val="single"/>
        </w:rPr>
      </w:pPr>
    </w:p>
    <w:p w14:paraId="38749189">
      <w:pPr>
        <w:widowControl/>
        <w:shd w:val="clear" w:color="auto" w:fill="FFFFFF"/>
        <w:spacing w:line="360" w:lineRule="auto"/>
        <w:jc w:val="left"/>
        <w:rPr>
          <w:rFonts w:hint="eastAsia" w:asciiTheme="minorEastAsia" w:hAnsiTheme="minorEastAsia" w:eastAsiaTheme="minorEastAsia"/>
          <w:color w:val="auto"/>
          <w:szCs w:val="21"/>
          <w:highlight w:val="none"/>
          <w:u w:val="single"/>
        </w:rPr>
      </w:pPr>
    </w:p>
    <w:p w14:paraId="5076569D">
      <w:pPr>
        <w:widowControl/>
        <w:shd w:val="clear" w:color="auto" w:fill="FFFFFF"/>
        <w:spacing w:line="360" w:lineRule="auto"/>
        <w:jc w:val="left"/>
        <w:rPr>
          <w:rFonts w:hint="eastAsia" w:asciiTheme="minorEastAsia" w:hAnsiTheme="minorEastAsia" w:eastAsiaTheme="minorEastAsia"/>
          <w:color w:val="auto"/>
          <w:szCs w:val="21"/>
          <w:highlight w:val="none"/>
          <w:u w:val="single"/>
        </w:rPr>
      </w:pPr>
    </w:p>
    <w:p w14:paraId="38249F30">
      <w:pPr>
        <w:widowControl/>
        <w:shd w:val="clear" w:color="auto" w:fill="FFFFFF"/>
        <w:spacing w:line="360" w:lineRule="auto"/>
        <w:jc w:val="left"/>
        <w:rPr>
          <w:rFonts w:hint="eastAsia" w:asciiTheme="minorEastAsia" w:hAnsiTheme="minorEastAsia" w:eastAsiaTheme="minorEastAsia"/>
          <w:color w:val="auto"/>
          <w:szCs w:val="21"/>
          <w:highlight w:val="none"/>
          <w:u w:val="single"/>
        </w:rPr>
      </w:pPr>
    </w:p>
    <w:p w14:paraId="5A93EFB4">
      <w:pPr>
        <w:widowControl/>
        <w:shd w:val="clear" w:color="auto" w:fill="FFFFFF"/>
        <w:spacing w:line="360" w:lineRule="auto"/>
        <w:jc w:val="left"/>
        <w:rPr>
          <w:rFonts w:hint="eastAsia" w:asciiTheme="minorEastAsia" w:hAnsiTheme="minorEastAsia" w:eastAsiaTheme="minorEastAsia"/>
          <w:color w:val="auto"/>
          <w:szCs w:val="21"/>
          <w:highlight w:val="none"/>
          <w:u w:val="single"/>
        </w:rPr>
      </w:pPr>
    </w:p>
    <w:p w14:paraId="7477D783">
      <w:pPr>
        <w:widowControl/>
        <w:shd w:val="clear" w:color="auto" w:fill="FFFFFF"/>
        <w:spacing w:line="360" w:lineRule="auto"/>
        <w:jc w:val="left"/>
        <w:rPr>
          <w:rFonts w:hint="eastAsia" w:asciiTheme="minorEastAsia" w:hAnsiTheme="minorEastAsia" w:eastAsiaTheme="minorEastAsia"/>
          <w:color w:val="auto"/>
          <w:szCs w:val="21"/>
          <w:highlight w:val="none"/>
          <w:u w:val="single"/>
        </w:rPr>
      </w:pPr>
    </w:p>
    <w:p w14:paraId="1DB3E5DB">
      <w:pPr>
        <w:widowControl/>
        <w:shd w:val="clear" w:color="auto" w:fill="FFFFFF"/>
        <w:spacing w:line="360" w:lineRule="auto"/>
        <w:jc w:val="left"/>
        <w:rPr>
          <w:rFonts w:hint="eastAsia" w:asciiTheme="minorEastAsia" w:hAnsiTheme="minorEastAsia" w:eastAsiaTheme="minorEastAsia"/>
          <w:color w:val="auto"/>
          <w:szCs w:val="21"/>
          <w:highlight w:val="none"/>
          <w:u w:val="single"/>
        </w:rPr>
      </w:pPr>
    </w:p>
    <w:p w14:paraId="2F7EBFB1">
      <w:pPr>
        <w:widowControl/>
        <w:shd w:val="clear" w:color="auto" w:fill="FFFFFF"/>
        <w:spacing w:line="360" w:lineRule="auto"/>
        <w:jc w:val="left"/>
        <w:rPr>
          <w:rFonts w:hint="eastAsia" w:asciiTheme="minorEastAsia" w:hAnsiTheme="minorEastAsia" w:eastAsiaTheme="minorEastAsia"/>
          <w:color w:val="auto"/>
          <w:szCs w:val="21"/>
          <w:highlight w:val="none"/>
          <w:u w:val="single"/>
        </w:rPr>
      </w:pPr>
    </w:p>
    <w:bookmarkEnd w:id="71"/>
    <w:p w14:paraId="766E1606">
      <w:pPr>
        <w:widowControl/>
        <w:shd w:val="clear" w:color="auto" w:fill="FFFFFF"/>
        <w:spacing w:line="360" w:lineRule="auto"/>
        <w:jc w:val="left"/>
        <w:rPr>
          <w:rFonts w:hint="eastAsia" w:asciiTheme="minorEastAsia" w:hAnsiTheme="minorEastAsia" w:eastAsiaTheme="minorEastAsia"/>
          <w:color w:val="auto"/>
          <w:szCs w:val="21"/>
          <w:highlight w:val="none"/>
          <w:u w:val="single"/>
        </w:rPr>
      </w:pPr>
    </w:p>
    <w:p w14:paraId="53E01F3B">
      <w:pPr>
        <w:widowControl/>
        <w:shd w:val="clear" w:color="auto" w:fill="FFFFFF"/>
        <w:spacing w:line="360" w:lineRule="auto"/>
        <w:jc w:val="lef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w:t>
      </w:r>
    </w:p>
    <w:p w14:paraId="745CA93B">
      <w:pPr>
        <w:pStyle w:val="4"/>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Theme="minorEastAsia" w:hAnsiTheme="minorEastAsia" w:eastAsiaTheme="minorEastAsia"/>
          <w:color w:val="auto"/>
          <w:highlight w:val="none"/>
          <w:lang w:val="zh-CN"/>
        </w:rPr>
      </w:pPr>
      <w:r>
        <w:rPr>
          <w:rFonts w:asciiTheme="minorEastAsia" w:hAnsiTheme="minorEastAsia" w:eastAsiaTheme="minorEastAsia"/>
          <w:color w:val="auto"/>
          <w:szCs w:val="21"/>
          <w:highlight w:val="none"/>
        </w:rPr>
        <w:br w:type="page" w:clear="all"/>
      </w:r>
      <w:bookmarkStart w:id="72" w:name="_Toc66375428"/>
      <w:bookmarkStart w:id="73" w:name="_Toc43917775"/>
      <w:r>
        <w:rPr>
          <w:rFonts w:hint="eastAsia" w:asciiTheme="minorEastAsia" w:hAnsiTheme="minorEastAsia" w:eastAsiaTheme="minorEastAsia"/>
          <w:color w:val="auto"/>
          <w:highlight w:val="none"/>
          <w:lang w:val="zh-CN"/>
        </w:rPr>
        <w:t>附件</w:t>
      </w:r>
      <w:r>
        <w:rPr>
          <w:rFonts w:hint="eastAsia" w:asciiTheme="minorEastAsia" w:hAnsiTheme="minorEastAsia" w:eastAsiaTheme="minorEastAsia"/>
          <w:color w:val="auto"/>
          <w:highlight w:val="none"/>
        </w:rPr>
        <w:t>五</w:t>
      </w:r>
      <w:r>
        <w:rPr>
          <w:rFonts w:hint="eastAsia" w:asciiTheme="minorEastAsia" w:hAnsiTheme="minorEastAsia" w:eastAsiaTheme="minorEastAsia"/>
          <w:color w:val="auto"/>
          <w:highlight w:val="none"/>
          <w:lang w:val="zh-CN"/>
        </w:rPr>
        <w:t>、</w:t>
      </w:r>
      <w:bookmarkStart w:id="74" w:name="_Hlk176528721"/>
      <w:r>
        <w:rPr>
          <w:rFonts w:hint="eastAsia" w:asciiTheme="minorEastAsia" w:hAnsiTheme="minorEastAsia" w:eastAsiaTheme="minorEastAsia"/>
          <w:color w:val="auto"/>
          <w:highlight w:val="none"/>
          <w:lang w:val="zh-CN"/>
        </w:rPr>
        <w:t>技术要求响应及偏离表</w:t>
      </w:r>
      <w:bookmarkEnd w:id="72"/>
      <w:bookmarkEnd w:id="73"/>
      <w:bookmarkEnd w:id="74"/>
    </w:p>
    <w:p w14:paraId="4FE121E3">
      <w:pPr>
        <w:widowControl/>
        <w:shd w:val="clear" w:color="auto" w:fill="FFFFFF"/>
        <w:spacing w:line="360" w:lineRule="auto"/>
        <w:ind w:left="435"/>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 w:val="24"/>
          <w:highlight w:val="none"/>
        </w:rPr>
        <w:t> </w:t>
      </w:r>
    </w:p>
    <w:p w14:paraId="12A7479C">
      <w:pPr>
        <w:widowControl/>
        <w:shd w:val="clear" w:color="auto" w:fill="FFFFFF"/>
        <w:spacing w:line="360" w:lineRule="auto"/>
        <w:jc w:val="center"/>
        <w:rPr>
          <w:rFonts w:hint="eastAsia" w:asciiTheme="minorEastAsia" w:hAnsiTheme="minorEastAsia" w:eastAsiaTheme="minorEastAsia"/>
          <w:color w:val="auto"/>
          <w:szCs w:val="21"/>
          <w:highlight w:val="none"/>
        </w:rPr>
      </w:pPr>
      <w:bookmarkStart w:id="75" w:name="_Hlk176528733"/>
      <w:r>
        <w:rPr>
          <w:rFonts w:hint="eastAsia" w:asciiTheme="minorEastAsia" w:hAnsiTheme="minorEastAsia" w:eastAsiaTheme="minorEastAsia"/>
          <w:b/>
          <w:color w:val="auto"/>
          <w:sz w:val="32"/>
          <w:szCs w:val="32"/>
          <w:highlight w:val="none"/>
        </w:rPr>
        <w:t>技术要求响应及偏离表</w:t>
      </w:r>
    </w:p>
    <w:p w14:paraId="358DD348">
      <w:pPr>
        <w:widowControl/>
        <w:tabs>
          <w:tab w:val="left" w:pos="5397"/>
        </w:tabs>
        <w:spacing w:line="360" w:lineRule="auto"/>
        <w:ind w:firstLine="294"/>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项目名称：</w:t>
      </w:r>
      <w:r>
        <w:rPr>
          <w:rFonts w:asciiTheme="minorEastAsia" w:hAnsiTheme="minorEastAsia" w:eastAsiaTheme="minorEastAsia"/>
          <w:color w:val="auto"/>
          <w:sz w:val="24"/>
          <w:szCs w:val="24"/>
          <w:highlight w:val="none"/>
        </w:rPr>
        <w:tab/>
      </w:r>
      <w:r>
        <w:rPr>
          <w:rFonts w:hint="eastAsia" w:asciiTheme="minorEastAsia" w:hAnsiTheme="minorEastAsia" w:eastAsiaTheme="minorEastAsia"/>
          <w:color w:val="auto"/>
          <w:sz w:val="24"/>
          <w:szCs w:val="24"/>
          <w:highlight w:val="none"/>
        </w:rPr>
        <w:t>项目编号：</w:t>
      </w:r>
    </w:p>
    <w:tbl>
      <w:tblPr>
        <w:tblStyle w:val="48"/>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44"/>
        <w:gridCol w:w="4236"/>
        <w:gridCol w:w="2021"/>
        <w:gridCol w:w="1949"/>
      </w:tblGrid>
      <w:tr w14:paraId="108EE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44" w:type="dxa"/>
            <w:noWrap w:val="0"/>
            <w:tcMar>
              <w:top w:w="0" w:type="dxa"/>
              <w:left w:w="10" w:type="dxa"/>
              <w:bottom w:w="0" w:type="dxa"/>
              <w:right w:w="10" w:type="dxa"/>
            </w:tcMar>
            <w:vAlign w:val="center"/>
          </w:tcPr>
          <w:p w14:paraId="1E8A2EC2">
            <w:pPr>
              <w:pStyle w:val="386"/>
              <w:spacing w:before="64"/>
              <w:ind w:left="95"/>
              <w:jc w:val="center"/>
              <w:rPr>
                <w:rFonts w:hint="eastAsia" w:ascii="宋体" w:hAnsi="宋体" w:eastAsia="宋体" w:cs="仿宋"/>
                <w:b/>
                <w:bCs/>
                <w:color w:val="auto"/>
                <w:spacing w:val="-3"/>
                <w:sz w:val="24"/>
                <w:highlight w:val="none"/>
                <w:lang w:val="en-US" w:eastAsia="zh-CN" w:bidi="ar-SA"/>
              </w:rPr>
            </w:pPr>
            <w:bookmarkStart w:id="76" w:name="_Hlk66784099"/>
            <w:r>
              <w:rPr>
                <w:rFonts w:hint="eastAsia" w:ascii="宋体" w:hAnsi="宋体" w:eastAsia="宋体" w:cs="仿宋"/>
                <w:b/>
                <w:bCs/>
                <w:color w:val="auto"/>
                <w:spacing w:val="-3"/>
                <w:sz w:val="24"/>
                <w:highlight w:val="none"/>
                <w:lang w:val="en-US" w:eastAsia="zh-CN" w:bidi="ar-SA"/>
              </w:rPr>
              <w:t>序号</w:t>
            </w:r>
          </w:p>
        </w:tc>
        <w:tc>
          <w:tcPr>
            <w:tcW w:w="4236" w:type="dxa"/>
            <w:noWrap w:val="0"/>
            <w:tcMar>
              <w:top w:w="0" w:type="dxa"/>
              <w:left w:w="10" w:type="dxa"/>
              <w:bottom w:w="0" w:type="dxa"/>
              <w:right w:w="10" w:type="dxa"/>
            </w:tcMar>
            <w:vAlign w:val="center"/>
          </w:tcPr>
          <w:p w14:paraId="77CDF7CE">
            <w:pPr>
              <w:pStyle w:val="386"/>
              <w:spacing w:before="64"/>
              <w:ind w:left="95"/>
              <w:jc w:val="center"/>
              <w:rPr>
                <w:rFonts w:hint="eastAsia" w:ascii="宋体" w:hAnsi="宋体" w:eastAsia="宋体" w:cs="仿宋"/>
                <w:b/>
                <w:bCs/>
                <w:color w:val="auto"/>
                <w:spacing w:val="-3"/>
                <w:sz w:val="24"/>
                <w:highlight w:val="none"/>
                <w:lang w:val="en-US" w:eastAsia="zh-CN" w:bidi="ar-SA"/>
              </w:rPr>
            </w:pPr>
            <w:r>
              <w:rPr>
                <w:rFonts w:hint="eastAsia" w:ascii="宋体" w:hAnsi="宋体" w:eastAsia="宋体" w:cs="仿宋"/>
                <w:b/>
                <w:bCs/>
                <w:color w:val="auto"/>
                <w:spacing w:val="-3"/>
                <w:sz w:val="24"/>
                <w:highlight w:val="none"/>
                <w:lang w:val="en-US" w:eastAsia="zh-CN" w:bidi="ar-SA"/>
              </w:rPr>
              <w:t>采购文件的技术要求</w:t>
            </w:r>
          </w:p>
        </w:tc>
        <w:tc>
          <w:tcPr>
            <w:tcW w:w="2021" w:type="dxa"/>
            <w:noWrap w:val="0"/>
            <w:tcMar>
              <w:top w:w="0" w:type="dxa"/>
              <w:left w:w="10" w:type="dxa"/>
              <w:bottom w:w="0" w:type="dxa"/>
              <w:right w:w="10" w:type="dxa"/>
            </w:tcMar>
            <w:vAlign w:val="center"/>
          </w:tcPr>
          <w:p w14:paraId="5A103601">
            <w:pPr>
              <w:pStyle w:val="386"/>
              <w:spacing w:before="64"/>
              <w:ind w:left="95"/>
              <w:jc w:val="center"/>
              <w:rPr>
                <w:rFonts w:hint="eastAsia" w:ascii="宋体" w:hAnsi="宋体" w:eastAsia="宋体" w:cs="仿宋"/>
                <w:b/>
                <w:bCs/>
                <w:color w:val="auto"/>
                <w:spacing w:val="-3"/>
                <w:sz w:val="24"/>
                <w:highlight w:val="none"/>
                <w:lang w:val="en-US" w:eastAsia="zh-CN" w:bidi="ar-SA"/>
              </w:rPr>
            </w:pPr>
            <w:r>
              <w:rPr>
                <w:rFonts w:hint="eastAsia" w:ascii="宋体" w:hAnsi="宋体" w:eastAsia="宋体" w:cs="仿宋"/>
                <w:b/>
                <w:bCs/>
                <w:color w:val="auto"/>
                <w:spacing w:val="-3"/>
                <w:sz w:val="24"/>
                <w:highlight w:val="none"/>
                <w:lang w:val="en-US" w:eastAsia="zh-CN" w:bidi="ar-SA"/>
              </w:rPr>
              <w:t>投标响应</w:t>
            </w:r>
          </w:p>
        </w:tc>
        <w:tc>
          <w:tcPr>
            <w:tcW w:w="1949" w:type="dxa"/>
            <w:noWrap w:val="0"/>
            <w:tcMar>
              <w:top w:w="0" w:type="dxa"/>
              <w:left w:w="10" w:type="dxa"/>
              <w:bottom w:w="0" w:type="dxa"/>
              <w:right w:w="10" w:type="dxa"/>
            </w:tcMar>
            <w:vAlign w:val="center"/>
          </w:tcPr>
          <w:p w14:paraId="24CD3D95">
            <w:pPr>
              <w:pStyle w:val="386"/>
              <w:spacing w:before="64"/>
              <w:ind w:left="95"/>
              <w:jc w:val="center"/>
              <w:rPr>
                <w:rFonts w:hint="eastAsia" w:ascii="宋体" w:hAnsi="宋体" w:eastAsia="宋体" w:cs="仿宋"/>
                <w:b/>
                <w:bCs/>
                <w:color w:val="auto"/>
                <w:spacing w:val="-3"/>
                <w:sz w:val="24"/>
                <w:highlight w:val="none"/>
                <w:lang w:val="en-US" w:eastAsia="zh-CN" w:bidi="ar-SA"/>
              </w:rPr>
            </w:pPr>
            <w:r>
              <w:rPr>
                <w:rFonts w:hint="eastAsia" w:ascii="宋体" w:hAnsi="宋体" w:eastAsia="宋体" w:cs="仿宋"/>
                <w:b/>
                <w:bCs/>
                <w:color w:val="auto"/>
                <w:spacing w:val="-3"/>
                <w:sz w:val="24"/>
                <w:highlight w:val="none"/>
                <w:lang w:val="en-US" w:eastAsia="zh-CN" w:bidi="ar-SA"/>
              </w:rPr>
              <w:t>偏离</w:t>
            </w:r>
          </w:p>
        </w:tc>
      </w:tr>
      <w:tr w14:paraId="41A60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44" w:type="dxa"/>
            <w:noWrap w:val="0"/>
            <w:tcMar>
              <w:top w:w="0" w:type="dxa"/>
              <w:left w:w="10" w:type="dxa"/>
              <w:bottom w:w="0" w:type="dxa"/>
              <w:right w:w="10" w:type="dxa"/>
            </w:tcMar>
            <w:vAlign w:val="center"/>
          </w:tcPr>
          <w:p w14:paraId="582D2974">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4236" w:type="dxa"/>
            <w:noWrap w:val="0"/>
            <w:tcMar>
              <w:top w:w="0" w:type="dxa"/>
              <w:left w:w="10" w:type="dxa"/>
              <w:bottom w:w="0" w:type="dxa"/>
              <w:right w:w="10" w:type="dxa"/>
            </w:tcMar>
            <w:vAlign w:val="center"/>
          </w:tcPr>
          <w:p w14:paraId="338ADE94">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2021" w:type="dxa"/>
            <w:noWrap w:val="0"/>
            <w:tcMar>
              <w:top w:w="0" w:type="dxa"/>
              <w:left w:w="10" w:type="dxa"/>
              <w:bottom w:w="0" w:type="dxa"/>
              <w:right w:w="10" w:type="dxa"/>
            </w:tcMar>
            <w:vAlign w:val="center"/>
          </w:tcPr>
          <w:p w14:paraId="073C4027">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1949" w:type="dxa"/>
            <w:noWrap w:val="0"/>
            <w:tcMar>
              <w:top w:w="0" w:type="dxa"/>
              <w:left w:w="10" w:type="dxa"/>
              <w:bottom w:w="0" w:type="dxa"/>
              <w:right w:w="10" w:type="dxa"/>
            </w:tcMar>
            <w:vAlign w:val="center"/>
          </w:tcPr>
          <w:p w14:paraId="45AF13A6">
            <w:pPr>
              <w:pStyle w:val="386"/>
              <w:spacing w:before="64"/>
              <w:ind w:left="95"/>
              <w:jc w:val="center"/>
              <w:rPr>
                <w:rFonts w:hint="eastAsia" w:ascii="宋体" w:hAnsi="宋体" w:eastAsia="宋体" w:cs="仿宋"/>
                <w:color w:val="auto"/>
                <w:spacing w:val="-3"/>
                <w:sz w:val="24"/>
                <w:highlight w:val="none"/>
                <w:lang w:val="en-US" w:eastAsia="zh-CN" w:bidi="ar-SA"/>
              </w:rPr>
            </w:pPr>
          </w:p>
        </w:tc>
      </w:tr>
      <w:tr w14:paraId="20340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44" w:type="dxa"/>
            <w:noWrap w:val="0"/>
            <w:tcMar>
              <w:top w:w="0" w:type="dxa"/>
              <w:left w:w="10" w:type="dxa"/>
              <w:bottom w:w="0" w:type="dxa"/>
              <w:right w:w="10" w:type="dxa"/>
            </w:tcMar>
            <w:vAlign w:val="center"/>
          </w:tcPr>
          <w:p w14:paraId="0FC5A93E">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4236" w:type="dxa"/>
            <w:noWrap w:val="0"/>
            <w:tcMar>
              <w:top w:w="0" w:type="dxa"/>
              <w:left w:w="10" w:type="dxa"/>
              <w:bottom w:w="0" w:type="dxa"/>
              <w:right w:w="10" w:type="dxa"/>
            </w:tcMar>
            <w:vAlign w:val="center"/>
          </w:tcPr>
          <w:p w14:paraId="6646AEE4">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2021" w:type="dxa"/>
            <w:noWrap w:val="0"/>
            <w:tcMar>
              <w:top w:w="0" w:type="dxa"/>
              <w:left w:w="10" w:type="dxa"/>
              <w:bottom w:w="0" w:type="dxa"/>
              <w:right w:w="10" w:type="dxa"/>
            </w:tcMar>
            <w:vAlign w:val="center"/>
          </w:tcPr>
          <w:p w14:paraId="0C3DFA08">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1949" w:type="dxa"/>
            <w:noWrap w:val="0"/>
            <w:tcMar>
              <w:top w:w="0" w:type="dxa"/>
              <w:left w:w="10" w:type="dxa"/>
              <w:bottom w:w="0" w:type="dxa"/>
              <w:right w:w="10" w:type="dxa"/>
            </w:tcMar>
            <w:vAlign w:val="center"/>
          </w:tcPr>
          <w:p w14:paraId="2A34A532">
            <w:pPr>
              <w:pStyle w:val="386"/>
              <w:spacing w:before="64"/>
              <w:ind w:left="95"/>
              <w:jc w:val="center"/>
              <w:rPr>
                <w:rFonts w:hint="eastAsia" w:ascii="宋体" w:hAnsi="宋体" w:eastAsia="宋体" w:cs="仿宋"/>
                <w:color w:val="auto"/>
                <w:spacing w:val="-3"/>
                <w:sz w:val="24"/>
                <w:highlight w:val="none"/>
                <w:lang w:val="en-US" w:eastAsia="zh-CN" w:bidi="ar-SA"/>
              </w:rPr>
            </w:pPr>
          </w:p>
        </w:tc>
      </w:tr>
      <w:tr w14:paraId="08E9D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44" w:type="dxa"/>
            <w:noWrap w:val="0"/>
            <w:tcMar>
              <w:top w:w="0" w:type="dxa"/>
              <w:left w:w="10" w:type="dxa"/>
              <w:bottom w:w="0" w:type="dxa"/>
              <w:right w:w="10" w:type="dxa"/>
            </w:tcMar>
            <w:vAlign w:val="center"/>
          </w:tcPr>
          <w:p w14:paraId="086A7234">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4236" w:type="dxa"/>
            <w:noWrap w:val="0"/>
            <w:tcMar>
              <w:top w:w="0" w:type="dxa"/>
              <w:left w:w="10" w:type="dxa"/>
              <w:bottom w:w="0" w:type="dxa"/>
              <w:right w:w="10" w:type="dxa"/>
            </w:tcMar>
            <w:vAlign w:val="center"/>
          </w:tcPr>
          <w:p w14:paraId="24828868">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2021" w:type="dxa"/>
            <w:noWrap w:val="0"/>
            <w:tcMar>
              <w:top w:w="0" w:type="dxa"/>
              <w:left w:w="10" w:type="dxa"/>
              <w:bottom w:w="0" w:type="dxa"/>
              <w:right w:w="10" w:type="dxa"/>
            </w:tcMar>
            <w:vAlign w:val="center"/>
          </w:tcPr>
          <w:p w14:paraId="26C0FB6B">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1949" w:type="dxa"/>
            <w:noWrap w:val="0"/>
            <w:tcMar>
              <w:top w:w="0" w:type="dxa"/>
              <w:left w:w="10" w:type="dxa"/>
              <w:bottom w:w="0" w:type="dxa"/>
              <w:right w:w="10" w:type="dxa"/>
            </w:tcMar>
            <w:vAlign w:val="center"/>
          </w:tcPr>
          <w:p w14:paraId="4B7C4F48">
            <w:pPr>
              <w:pStyle w:val="386"/>
              <w:spacing w:before="64"/>
              <w:ind w:left="95"/>
              <w:jc w:val="center"/>
              <w:rPr>
                <w:rFonts w:hint="eastAsia" w:ascii="宋体" w:hAnsi="宋体" w:eastAsia="宋体" w:cs="仿宋"/>
                <w:color w:val="auto"/>
                <w:spacing w:val="-3"/>
                <w:sz w:val="24"/>
                <w:highlight w:val="none"/>
                <w:lang w:val="en-US" w:eastAsia="zh-CN" w:bidi="ar-SA"/>
              </w:rPr>
            </w:pPr>
          </w:p>
        </w:tc>
      </w:tr>
      <w:tr w14:paraId="64F44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44" w:type="dxa"/>
            <w:noWrap w:val="0"/>
            <w:tcMar>
              <w:top w:w="0" w:type="dxa"/>
              <w:left w:w="10" w:type="dxa"/>
              <w:bottom w:w="0" w:type="dxa"/>
              <w:right w:w="10" w:type="dxa"/>
            </w:tcMar>
            <w:vAlign w:val="center"/>
          </w:tcPr>
          <w:p w14:paraId="7D214CE0">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4236" w:type="dxa"/>
            <w:noWrap w:val="0"/>
            <w:tcMar>
              <w:top w:w="0" w:type="dxa"/>
              <w:left w:w="10" w:type="dxa"/>
              <w:bottom w:w="0" w:type="dxa"/>
              <w:right w:w="10" w:type="dxa"/>
            </w:tcMar>
            <w:vAlign w:val="center"/>
          </w:tcPr>
          <w:p w14:paraId="075ADACC">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2021" w:type="dxa"/>
            <w:noWrap w:val="0"/>
            <w:tcMar>
              <w:top w:w="0" w:type="dxa"/>
              <w:left w:w="10" w:type="dxa"/>
              <w:bottom w:w="0" w:type="dxa"/>
              <w:right w:w="10" w:type="dxa"/>
            </w:tcMar>
            <w:vAlign w:val="center"/>
          </w:tcPr>
          <w:p w14:paraId="38111D46">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1949" w:type="dxa"/>
            <w:noWrap w:val="0"/>
            <w:tcMar>
              <w:top w:w="0" w:type="dxa"/>
              <w:left w:w="10" w:type="dxa"/>
              <w:bottom w:w="0" w:type="dxa"/>
              <w:right w:w="10" w:type="dxa"/>
            </w:tcMar>
            <w:vAlign w:val="center"/>
          </w:tcPr>
          <w:p w14:paraId="660B5942">
            <w:pPr>
              <w:pStyle w:val="386"/>
              <w:spacing w:before="64"/>
              <w:ind w:left="95"/>
              <w:jc w:val="center"/>
              <w:rPr>
                <w:rFonts w:hint="eastAsia" w:ascii="宋体" w:hAnsi="宋体" w:eastAsia="宋体" w:cs="仿宋"/>
                <w:color w:val="auto"/>
                <w:spacing w:val="-3"/>
                <w:sz w:val="24"/>
                <w:highlight w:val="none"/>
                <w:lang w:val="en-US" w:eastAsia="zh-CN" w:bidi="ar-SA"/>
              </w:rPr>
            </w:pPr>
          </w:p>
        </w:tc>
      </w:tr>
      <w:tr w14:paraId="75F58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44" w:type="dxa"/>
            <w:noWrap w:val="0"/>
            <w:tcMar>
              <w:top w:w="0" w:type="dxa"/>
              <w:left w:w="10" w:type="dxa"/>
              <w:bottom w:w="0" w:type="dxa"/>
              <w:right w:w="10" w:type="dxa"/>
            </w:tcMar>
            <w:vAlign w:val="center"/>
          </w:tcPr>
          <w:p w14:paraId="2E61A825">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4236" w:type="dxa"/>
            <w:noWrap w:val="0"/>
            <w:tcMar>
              <w:top w:w="0" w:type="dxa"/>
              <w:left w:w="10" w:type="dxa"/>
              <w:bottom w:w="0" w:type="dxa"/>
              <w:right w:w="10" w:type="dxa"/>
            </w:tcMar>
            <w:vAlign w:val="center"/>
          </w:tcPr>
          <w:p w14:paraId="4DDB00D1">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2021" w:type="dxa"/>
            <w:noWrap w:val="0"/>
            <w:tcMar>
              <w:top w:w="0" w:type="dxa"/>
              <w:left w:w="10" w:type="dxa"/>
              <w:bottom w:w="0" w:type="dxa"/>
              <w:right w:w="10" w:type="dxa"/>
            </w:tcMar>
            <w:vAlign w:val="center"/>
          </w:tcPr>
          <w:p w14:paraId="7E2BF557">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1949" w:type="dxa"/>
            <w:noWrap w:val="0"/>
            <w:tcMar>
              <w:top w:w="0" w:type="dxa"/>
              <w:left w:w="10" w:type="dxa"/>
              <w:bottom w:w="0" w:type="dxa"/>
              <w:right w:w="10" w:type="dxa"/>
            </w:tcMar>
            <w:vAlign w:val="center"/>
          </w:tcPr>
          <w:p w14:paraId="6DFD9A3D">
            <w:pPr>
              <w:pStyle w:val="386"/>
              <w:spacing w:before="64"/>
              <w:ind w:left="95"/>
              <w:jc w:val="center"/>
              <w:rPr>
                <w:rFonts w:hint="eastAsia" w:ascii="宋体" w:hAnsi="宋体" w:eastAsia="宋体" w:cs="仿宋"/>
                <w:color w:val="auto"/>
                <w:spacing w:val="-3"/>
                <w:sz w:val="24"/>
                <w:highlight w:val="none"/>
                <w:lang w:val="en-US" w:eastAsia="zh-CN" w:bidi="ar-SA"/>
              </w:rPr>
            </w:pPr>
          </w:p>
        </w:tc>
      </w:tr>
      <w:tr w14:paraId="402C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44" w:type="dxa"/>
            <w:noWrap w:val="0"/>
            <w:tcMar>
              <w:top w:w="0" w:type="dxa"/>
              <w:left w:w="10" w:type="dxa"/>
              <w:bottom w:w="0" w:type="dxa"/>
              <w:right w:w="10" w:type="dxa"/>
            </w:tcMar>
            <w:vAlign w:val="center"/>
          </w:tcPr>
          <w:p w14:paraId="70D0AE7A">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4236" w:type="dxa"/>
            <w:noWrap w:val="0"/>
            <w:tcMar>
              <w:top w:w="0" w:type="dxa"/>
              <w:left w:w="10" w:type="dxa"/>
              <w:bottom w:w="0" w:type="dxa"/>
              <w:right w:w="10" w:type="dxa"/>
            </w:tcMar>
            <w:vAlign w:val="center"/>
          </w:tcPr>
          <w:p w14:paraId="5174E0CA">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2021" w:type="dxa"/>
            <w:noWrap w:val="0"/>
            <w:tcMar>
              <w:top w:w="0" w:type="dxa"/>
              <w:left w:w="10" w:type="dxa"/>
              <w:bottom w:w="0" w:type="dxa"/>
              <w:right w:w="10" w:type="dxa"/>
            </w:tcMar>
            <w:vAlign w:val="center"/>
          </w:tcPr>
          <w:p w14:paraId="3CEF4125">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1949" w:type="dxa"/>
            <w:noWrap w:val="0"/>
            <w:tcMar>
              <w:top w:w="0" w:type="dxa"/>
              <w:left w:w="10" w:type="dxa"/>
              <w:bottom w:w="0" w:type="dxa"/>
              <w:right w:w="10" w:type="dxa"/>
            </w:tcMar>
            <w:vAlign w:val="center"/>
          </w:tcPr>
          <w:p w14:paraId="6EA4624E">
            <w:pPr>
              <w:pStyle w:val="386"/>
              <w:spacing w:before="64"/>
              <w:ind w:left="95"/>
              <w:jc w:val="center"/>
              <w:rPr>
                <w:rFonts w:hint="eastAsia" w:ascii="宋体" w:hAnsi="宋体" w:eastAsia="宋体" w:cs="仿宋"/>
                <w:color w:val="auto"/>
                <w:spacing w:val="-3"/>
                <w:sz w:val="24"/>
                <w:highlight w:val="none"/>
                <w:lang w:val="en-US" w:eastAsia="zh-CN" w:bidi="ar-SA"/>
              </w:rPr>
            </w:pPr>
          </w:p>
        </w:tc>
      </w:tr>
      <w:tr w14:paraId="0C34A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44" w:type="dxa"/>
            <w:noWrap w:val="0"/>
            <w:tcMar>
              <w:top w:w="0" w:type="dxa"/>
              <w:left w:w="10" w:type="dxa"/>
              <w:bottom w:w="0" w:type="dxa"/>
              <w:right w:w="10" w:type="dxa"/>
            </w:tcMar>
            <w:vAlign w:val="center"/>
          </w:tcPr>
          <w:p w14:paraId="34D35A46">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4236" w:type="dxa"/>
            <w:noWrap w:val="0"/>
            <w:tcMar>
              <w:top w:w="0" w:type="dxa"/>
              <w:left w:w="10" w:type="dxa"/>
              <w:bottom w:w="0" w:type="dxa"/>
              <w:right w:w="10" w:type="dxa"/>
            </w:tcMar>
            <w:vAlign w:val="center"/>
          </w:tcPr>
          <w:p w14:paraId="73635B70">
            <w:pPr>
              <w:pStyle w:val="386"/>
              <w:spacing w:before="64"/>
              <w:ind w:left="95"/>
              <w:jc w:val="center"/>
              <w:rPr>
                <w:rFonts w:hint="eastAsia" w:ascii="宋体" w:hAnsi="宋体" w:eastAsia="宋体" w:cs="仿宋"/>
                <w:color w:val="auto"/>
                <w:spacing w:val="-3"/>
                <w:sz w:val="24"/>
                <w:highlight w:val="none"/>
                <w:lang w:val="en-US" w:eastAsia="zh-CN" w:bidi="ar-SA"/>
              </w:rPr>
            </w:pPr>
          </w:p>
        </w:tc>
        <w:tc>
          <w:tcPr>
            <w:tcW w:w="2021" w:type="dxa"/>
            <w:noWrap w:val="0"/>
            <w:tcMar>
              <w:top w:w="0" w:type="dxa"/>
              <w:left w:w="10" w:type="dxa"/>
              <w:bottom w:w="0" w:type="dxa"/>
              <w:right w:w="10" w:type="dxa"/>
            </w:tcMar>
            <w:vAlign w:val="center"/>
          </w:tcPr>
          <w:p w14:paraId="51B5FF4F">
            <w:pPr>
              <w:pStyle w:val="386"/>
              <w:spacing w:before="64"/>
              <w:ind w:left="95"/>
              <w:jc w:val="center"/>
              <w:rPr>
                <w:rFonts w:hint="eastAsia" w:ascii="宋体" w:hAnsi="宋体" w:eastAsia="宋体" w:cs="仿宋"/>
                <w:color w:val="auto"/>
                <w:spacing w:val="-3"/>
                <w:sz w:val="24"/>
                <w:highlight w:val="none"/>
                <w:lang w:val="en-US" w:eastAsia="zh-CN" w:bidi="ar-SA"/>
              </w:rPr>
            </w:pPr>
          </w:p>
          <w:bookmarkEnd w:id="76"/>
        </w:tc>
        <w:tc>
          <w:tcPr>
            <w:tcW w:w="1949" w:type="dxa"/>
            <w:noWrap w:val="0"/>
            <w:tcMar>
              <w:top w:w="0" w:type="dxa"/>
              <w:left w:w="10" w:type="dxa"/>
              <w:bottom w:w="0" w:type="dxa"/>
              <w:right w:w="10" w:type="dxa"/>
            </w:tcMar>
            <w:vAlign w:val="center"/>
          </w:tcPr>
          <w:p w14:paraId="6DE3153B">
            <w:pPr>
              <w:pStyle w:val="386"/>
              <w:spacing w:before="64"/>
              <w:ind w:left="95"/>
              <w:jc w:val="center"/>
              <w:rPr>
                <w:rFonts w:hint="eastAsia" w:ascii="宋体" w:hAnsi="宋体" w:eastAsia="宋体" w:cs="仿宋"/>
                <w:color w:val="auto"/>
                <w:spacing w:val="-3"/>
                <w:sz w:val="24"/>
                <w:highlight w:val="none"/>
                <w:lang w:val="en-US" w:eastAsia="zh-CN" w:bidi="ar-SA"/>
              </w:rPr>
            </w:pPr>
          </w:p>
        </w:tc>
      </w:tr>
    </w:tbl>
    <w:p w14:paraId="211A758A">
      <w:pPr>
        <w:widowControl/>
        <w:tabs>
          <w:tab w:val="left" w:pos="5397"/>
        </w:tabs>
        <w:spacing w:line="360" w:lineRule="auto"/>
        <w:jc w:val="left"/>
        <w:rPr>
          <w:rFonts w:hint="eastAsia" w:asciiTheme="minorEastAsia" w:hAnsiTheme="minorEastAsia" w:eastAsiaTheme="minorEastAsia"/>
          <w:color w:val="auto"/>
          <w:sz w:val="24"/>
          <w:szCs w:val="24"/>
          <w:highlight w:val="none"/>
        </w:rPr>
      </w:pPr>
    </w:p>
    <w:p w14:paraId="7BDC94EF">
      <w:pPr>
        <w:widowControl/>
        <w:shd w:val="clear" w:color="auto" w:fill="FFFFFF"/>
        <w:spacing w:line="360" w:lineRule="auto"/>
        <w:ind w:firstLine="210"/>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说明：</w:t>
      </w:r>
    </w:p>
    <w:p w14:paraId="4A947284">
      <w:pPr>
        <w:widowControl/>
        <w:shd w:val="clear" w:color="auto" w:fill="FFFFFF"/>
        <w:spacing w:line="360" w:lineRule="auto"/>
        <w:ind w:firstLine="211"/>
        <w:jc w:val="left"/>
        <w:rPr>
          <w:rFonts w:hint="eastAsia" w:asciiTheme="minorEastAsia" w:hAnsiTheme="minorEastAsia" w:eastAsiaTheme="minorEastAsia"/>
          <w:b/>
          <w:bCs/>
          <w:color w:val="auto"/>
          <w:sz w:val="24"/>
          <w:szCs w:val="24"/>
          <w:highlight w:val="none"/>
        </w:rPr>
      </w:pPr>
      <w:bookmarkStart w:id="77" w:name="OLE_LINK37"/>
      <w:r>
        <w:rPr>
          <w:rFonts w:hint="eastAsia" w:asciiTheme="minorEastAsia" w:hAnsiTheme="minorEastAsia" w:eastAsiaTheme="minorEastAsia"/>
          <w:b/>
          <w:bCs/>
          <w:color w:val="auto"/>
          <w:sz w:val="24"/>
          <w:szCs w:val="24"/>
          <w:highlight w:val="none"/>
        </w:rPr>
        <w:t>1.</w:t>
      </w:r>
      <w:bookmarkStart w:id="78" w:name="OLE_LINK41"/>
      <w:r>
        <w:rPr>
          <w:rFonts w:hint="eastAsia" w:asciiTheme="minorEastAsia" w:hAnsiTheme="minorEastAsia" w:eastAsiaTheme="minorEastAsia"/>
          <w:b/>
          <w:bCs/>
          <w:color w:val="auto"/>
          <w:sz w:val="24"/>
          <w:szCs w:val="24"/>
          <w:highlight w:val="none"/>
        </w:rPr>
        <w:t>投标人</w:t>
      </w:r>
      <w:bookmarkEnd w:id="78"/>
      <w:r>
        <w:rPr>
          <w:rFonts w:hint="eastAsia" w:asciiTheme="minorEastAsia" w:hAnsiTheme="minorEastAsia" w:eastAsiaTheme="minorEastAsia"/>
          <w:b/>
          <w:bCs/>
          <w:color w:val="auto"/>
          <w:sz w:val="24"/>
          <w:szCs w:val="24"/>
          <w:highlight w:val="none"/>
        </w:rPr>
        <w:t>须对采购文件技术要求中的实质性要求（斜体下划线内容或打“★”</w:t>
      </w:r>
      <w:r>
        <w:rPr>
          <w:rFonts w:hint="eastAsia" w:cs="宋体" w:asciiTheme="minorEastAsia" w:hAnsiTheme="minorEastAsia" w:eastAsiaTheme="minorEastAsia"/>
          <w:b/>
          <w:bCs/>
          <w:color w:val="auto"/>
          <w:sz w:val="24"/>
          <w:szCs w:val="24"/>
          <w:highlight w:val="none"/>
        </w:rPr>
        <w:t>“*”</w:t>
      </w:r>
      <w:r>
        <w:rPr>
          <w:rFonts w:hint="eastAsia" w:asciiTheme="minorEastAsia" w:hAnsiTheme="minorEastAsia" w:eastAsiaTheme="minorEastAsia"/>
          <w:b/>
          <w:bCs/>
          <w:color w:val="auto"/>
          <w:sz w:val="24"/>
          <w:szCs w:val="24"/>
          <w:highlight w:val="none"/>
        </w:rPr>
        <w:t>内容）做出明确响应，投标人未对实质性要求作出明确响应的，视为无效投标。</w:t>
      </w:r>
    </w:p>
    <w:p w14:paraId="285C3261">
      <w:pPr>
        <w:widowControl/>
        <w:shd w:val="clear" w:color="auto" w:fill="FFFFFF"/>
        <w:spacing w:line="360" w:lineRule="auto"/>
        <w:ind w:firstLine="210"/>
        <w:jc w:val="left"/>
        <w:rPr>
          <w:rFonts w:hint="eastAsia"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2.行数不够，可自行添加。</w:t>
      </w:r>
      <w:bookmarkEnd w:id="75"/>
      <w:bookmarkEnd w:id="77"/>
    </w:p>
    <w:p w14:paraId="626F812B">
      <w:pPr>
        <w:widowControl/>
        <w:shd w:val="clear" w:color="auto" w:fill="FFFFFF"/>
        <w:spacing w:line="360" w:lineRule="auto"/>
        <w:jc w:val="left"/>
        <w:rPr>
          <w:rFonts w:hint="eastAsia" w:cs="宋体" w:asciiTheme="minorEastAsia" w:hAnsiTheme="minorEastAsia" w:eastAsiaTheme="minorEastAsia"/>
          <w:color w:val="auto"/>
          <w:sz w:val="24"/>
          <w:szCs w:val="24"/>
          <w:highlight w:val="none"/>
        </w:rPr>
      </w:pPr>
    </w:p>
    <w:p w14:paraId="671549E8">
      <w:pPr>
        <w:widowControl/>
        <w:shd w:val="clear" w:color="auto" w:fill="FFFFFF"/>
        <w:spacing w:line="360" w:lineRule="auto"/>
        <w:jc w:val="left"/>
        <w:rPr>
          <w:rFonts w:hint="eastAsia" w:cs="宋体" w:asciiTheme="minorEastAsia" w:hAnsiTheme="minorEastAsia" w:eastAsiaTheme="minorEastAsia"/>
          <w:color w:val="auto"/>
          <w:sz w:val="24"/>
          <w:szCs w:val="24"/>
          <w:highlight w:val="none"/>
        </w:rPr>
      </w:pPr>
    </w:p>
    <w:p w14:paraId="25000087">
      <w:pPr>
        <w:widowControl/>
        <w:shd w:val="clear" w:color="auto" w:fill="FFFFFF"/>
        <w:spacing w:line="360" w:lineRule="auto"/>
        <w:ind w:firstLine="210"/>
        <w:jc w:val="lef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投标人（加盖电子公章）：</w:t>
      </w:r>
      <w:r>
        <w:rPr>
          <w:rFonts w:asciiTheme="minorEastAsia" w:hAnsiTheme="minorEastAsia" w:eastAsiaTheme="minorEastAsia"/>
          <w:color w:val="auto"/>
          <w:sz w:val="24"/>
          <w:szCs w:val="24"/>
          <w:highlight w:val="none"/>
          <w:u w:val="single"/>
        </w:rPr>
        <w:t>                      </w:t>
      </w:r>
    </w:p>
    <w:p w14:paraId="6B8ADFD3">
      <w:pPr>
        <w:widowControl/>
        <w:shd w:val="clear" w:color="auto" w:fill="FFFFFF"/>
        <w:spacing w:line="360" w:lineRule="auto"/>
        <w:jc w:val="left"/>
        <w:rPr>
          <w:rFonts w:hint="eastAsia" w:asciiTheme="minorEastAsia" w:hAnsiTheme="minorEastAsia" w:eastAsiaTheme="minorEastAsia"/>
          <w:color w:val="auto"/>
          <w:szCs w:val="21"/>
          <w:highlight w:val="none"/>
        </w:rPr>
      </w:pPr>
    </w:p>
    <w:p w14:paraId="33CAE8B9">
      <w:pPr>
        <w:widowControl/>
        <w:shd w:val="clear" w:color="auto" w:fill="FFFFFF"/>
        <w:spacing w:line="360" w:lineRule="auto"/>
        <w:jc w:val="left"/>
        <w:rPr>
          <w:rFonts w:hint="eastAsia" w:asciiTheme="minorEastAsia" w:hAnsiTheme="minorEastAsia" w:eastAsiaTheme="minorEastAsia"/>
          <w:color w:val="auto"/>
          <w:szCs w:val="21"/>
          <w:highlight w:val="none"/>
        </w:rPr>
      </w:pPr>
    </w:p>
    <w:p w14:paraId="5D10110C">
      <w:pPr>
        <w:spacing w:line="360" w:lineRule="auto"/>
        <w:rPr>
          <w:rFonts w:hint="eastAsia" w:asciiTheme="minorEastAsia" w:hAnsiTheme="minorEastAsia" w:eastAsiaTheme="minorEastAsia"/>
          <w:color w:val="auto"/>
          <w:highlight w:val="none"/>
        </w:rPr>
      </w:pPr>
      <w:r>
        <w:rPr>
          <w:color w:val="auto"/>
          <w:highlight w:val="none"/>
        </w:rPr>
        <w:br w:type="page" w:clear="all"/>
      </w:r>
    </w:p>
    <w:p w14:paraId="4C8153F2">
      <w:pPr>
        <w:pStyle w:val="4"/>
        <w:numPr>
          <w:ilvl w:val="1"/>
          <w:numId w:val="0"/>
        </w:numPr>
        <w:spacing w:line="360" w:lineRule="auto"/>
        <w:rPr>
          <w:rFonts w:hint="eastAsia" w:asciiTheme="minorEastAsia" w:hAnsiTheme="minorEastAsia" w:eastAsiaTheme="minorEastAsia"/>
          <w:color w:val="auto"/>
          <w:szCs w:val="21"/>
          <w:highlight w:val="none"/>
        </w:rPr>
      </w:pPr>
      <w:bookmarkStart w:id="79" w:name="_Toc43917776"/>
      <w:bookmarkStart w:id="80" w:name="_Toc66375429"/>
      <w:r>
        <w:rPr>
          <w:rFonts w:hint="eastAsia" w:asciiTheme="minorEastAsia" w:hAnsiTheme="minorEastAsia" w:eastAsiaTheme="minorEastAsia"/>
          <w:color w:val="auto"/>
          <w:highlight w:val="none"/>
        </w:rPr>
        <w:t>附件六、</w:t>
      </w:r>
      <w:bookmarkStart w:id="81" w:name="_Hlk176528748"/>
      <w:r>
        <w:rPr>
          <w:rFonts w:hint="eastAsia" w:asciiTheme="minorEastAsia" w:hAnsiTheme="minorEastAsia" w:eastAsiaTheme="minorEastAsia"/>
          <w:color w:val="auto"/>
          <w:highlight w:val="none"/>
        </w:rPr>
        <w:t>商务要求响应及偏离表</w:t>
      </w:r>
      <w:bookmarkEnd w:id="79"/>
      <w:bookmarkEnd w:id="80"/>
      <w:bookmarkEnd w:id="81"/>
      <w:bookmarkStart w:id="82" w:name="_Hlk176528759"/>
    </w:p>
    <w:p w14:paraId="5F8DFED4">
      <w:pPr>
        <w:widowControl/>
        <w:shd w:val="clear" w:color="auto" w:fill="FFFFFF"/>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商务要求响应及偏离表</w:t>
      </w:r>
    </w:p>
    <w:p w14:paraId="44074A43">
      <w:pPr>
        <w:widowControl/>
        <w:tabs>
          <w:tab w:val="left" w:pos="5366"/>
        </w:tabs>
        <w:spacing w:line="360" w:lineRule="auto"/>
        <w:ind w:firstLine="306"/>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 w:val="24"/>
          <w:szCs w:val="24"/>
          <w:highlight w:val="none"/>
        </w:rPr>
        <w:t>项目名称：</w:t>
      </w:r>
      <w:r>
        <w:rPr>
          <w:rFonts w:asciiTheme="minorEastAsia" w:hAnsiTheme="minorEastAsia" w:eastAsiaTheme="minorEastAsia"/>
          <w:color w:val="auto"/>
          <w:sz w:val="24"/>
          <w:szCs w:val="24"/>
          <w:highlight w:val="none"/>
        </w:rPr>
        <w:tab/>
      </w:r>
      <w:r>
        <w:rPr>
          <w:rFonts w:hint="eastAsia" w:asciiTheme="minorEastAsia" w:hAnsiTheme="minorEastAsia" w:eastAsiaTheme="minorEastAsia"/>
          <w:color w:val="auto"/>
          <w:sz w:val="24"/>
          <w:szCs w:val="24"/>
          <w:highlight w:val="none"/>
        </w:rPr>
        <w:t>项目编号：    </w:t>
      </w:r>
      <w:r>
        <w:rPr>
          <w:rFonts w:hint="eastAsia" w:asciiTheme="minorEastAsia" w:hAnsiTheme="minorEastAsia" w:eastAsiaTheme="minorEastAsia"/>
          <w:color w:val="auto"/>
          <w:szCs w:val="21"/>
          <w:highlight w:val="none"/>
        </w:rPr>
        <w:t>     </w:t>
      </w:r>
    </w:p>
    <w:tbl>
      <w:tblPr>
        <w:tblStyle w:val="48"/>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04"/>
        <w:gridCol w:w="3864"/>
        <w:gridCol w:w="2021"/>
        <w:gridCol w:w="1843"/>
      </w:tblGrid>
      <w:tr w14:paraId="76448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04" w:type="dxa"/>
            <w:noWrap w:val="0"/>
            <w:tcMar>
              <w:top w:w="0" w:type="dxa"/>
              <w:left w:w="10" w:type="dxa"/>
              <w:bottom w:w="0" w:type="dxa"/>
              <w:right w:w="10" w:type="dxa"/>
            </w:tcMar>
            <w:vAlign w:val="center"/>
          </w:tcPr>
          <w:p w14:paraId="76A989C8">
            <w:pPr>
              <w:pStyle w:val="386"/>
              <w:spacing w:before="64"/>
              <w:ind w:left="95"/>
              <w:jc w:val="center"/>
              <w:rPr>
                <w:rFonts w:hint="eastAsia" w:ascii="宋体" w:hAnsi="宋体" w:eastAsia="宋体" w:cs="仿宋"/>
                <w:b/>
                <w:bCs/>
                <w:color w:val="auto"/>
                <w:spacing w:val="-3"/>
                <w:sz w:val="24"/>
                <w:highlight w:val="none"/>
                <w:lang w:val="en-US" w:eastAsia="zh-CN" w:bidi="ar-SA"/>
              </w:rPr>
            </w:pPr>
            <w:bookmarkStart w:id="83" w:name="_Hlk66784541"/>
            <w:r>
              <w:rPr>
                <w:rFonts w:hint="eastAsia" w:ascii="宋体" w:hAnsi="宋体" w:eastAsia="宋体" w:cs="仿宋"/>
                <w:b/>
                <w:bCs/>
                <w:color w:val="auto"/>
                <w:spacing w:val="-3"/>
                <w:sz w:val="24"/>
                <w:highlight w:val="none"/>
                <w:lang w:val="en-US" w:eastAsia="zh-CN" w:bidi="ar-SA"/>
              </w:rPr>
              <w:t>序号</w:t>
            </w:r>
          </w:p>
        </w:tc>
        <w:tc>
          <w:tcPr>
            <w:tcW w:w="3864" w:type="dxa"/>
            <w:noWrap w:val="0"/>
            <w:tcMar>
              <w:top w:w="0" w:type="dxa"/>
              <w:left w:w="10" w:type="dxa"/>
              <w:bottom w:w="0" w:type="dxa"/>
              <w:right w:w="10" w:type="dxa"/>
            </w:tcMar>
            <w:vAlign w:val="center"/>
          </w:tcPr>
          <w:p w14:paraId="2A8FECD8">
            <w:pPr>
              <w:pStyle w:val="386"/>
              <w:spacing w:before="64"/>
              <w:ind w:left="95"/>
              <w:jc w:val="center"/>
              <w:rPr>
                <w:rFonts w:hint="eastAsia" w:ascii="宋体" w:hAnsi="宋体" w:eastAsia="宋体" w:cs="仿宋"/>
                <w:b/>
                <w:bCs/>
                <w:color w:val="auto"/>
                <w:spacing w:val="-3"/>
                <w:sz w:val="24"/>
                <w:highlight w:val="none"/>
                <w:lang w:val="en-US" w:eastAsia="zh-CN" w:bidi="ar-SA"/>
              </w:rPr>
            </w:pPr>
            <w:r>
              <w:rPr>
                <w:rFonts w:hint="eastAsia" w:ascii="宋体" w:hAnsi="宋体" w:eastAsia="宋体" w:cs="仿宋"/>
                <w:b/>
                <w:bCs/>
                <w:color w:val="auto"/>
                <w:spacing w:val="-3"/>
                <w:sz w:val="24"/>
                <w:highlight w:val="none"/>
                <w:lang w:val="en-US" w:eastAsia="zh-CN" w:bidi="ar-SA"/>
              </w:rPr>
              <w:t>采购文件的商务要求</w:t>
            </w:r>
          </w:p>
        </w:tc>
        <w:tc>
          <w:tcPr>
            <w:tcW w:w="2021" w:type="dxa"/>
            <w:noWrap w:val="0"/>
            <w:tcMar>
              <w:top w:w="0" w:type="dxa"/>
              <w:left w:w="10" w:type="dxa"/>
              <w:bottom w:w="0" w:type="dxa"/>
              <w:right w:w="10" w:type="dxa"/>
            </w:tcMar>
            <w:vAlign w:val="center"/>
          </w:tcPr>
          <w:p w14:paraId="6FDEDAE1">
            <w:pPr>
              <w:pStyle w:val="386"/>
              <w:spacing w:before="64"/>
              <w:ind w:left="95"/>
              <w:jc w:val="center"/>
              <w:rPr>
                <w:rFonts w:hint="eastAsia" w:ascii="宋体" w:hAnsi="宋体" w:eastAsia="宋体" w:cs="仿宋"/>
                <w:b/>
                <w:bCs/>
                <w:color w:val="auto"/>
                <w:spacing w:val="-3"/>
                <w:sz w:val="24"/>
                <w:highlight w:val="none"/>
                <w:lang w:val="en-US" w:eastAsia="zh-CN" w:bidi="ar-SA"/>
              </w:rPr>
            </w:pPr>
            <w:r>
              <w:rPr>
                <w:rFonts w:hint="eastAsia" w:ascii="宋体" w:hAnsi="宋体" w:eastAsia="宋体" w:cs="仿宋"/>
                <w:b/>
                <w:bCs/>
                <w:color w:val="auto"/>
                <w:spacing w:val="-3"/>
                <w:sz w:val="24"/>
                <w:highlight w:val="none"/>
                <w:lang w:val="en-US" w:eastAsia="zh-CN" w:bidi="ar-SA"/>
              </w:rPr>
              <w:t>投标响应</w:t>
            </w:r>
          </w:p>
        </w:tc>
        <w:tc>
          <w:tcPr>
            <w:tcW w:w="1843" w:type="dxa"/>
            <w:noWrap w:val="0"/>
            <w:tcMar>
              <w:top w:w="0" w:type="dxa"/>
              <w:left w:w="10" w:type="dxa"/>
              <w:bottom w:w="0" w:type="dxa"/>
              <w:right w:w="10" w:type="dxa"/>
            </w:tcMar>
            <w:vAlign w:val="center"/>
          </w:tcPr>
          <w:p w14:paraId="248B9135">
            <w:pPr>
              <w:pStyle w:val="386"/>
              <w:spacing w:before="64"/>
              <w:ind w:left="95"/>
              <w:jc w:val="center"/>
              <w:rPr>
                <w:rFonts w:hint="eastAsia" w:ascii="宋体" w:hAnsi="宋体" w:eastAsia="宋体" w:cs="仿宋"/>
                <w:b/>
                <w:bCs/>
                <w:color w:val="auto"/>
                <w:spacing w:val="-3"/>
                <w:sz w:val="24"/>
                <w:highlight w:val="none"/>
                <w:lang w:val="en-US" w:eastAsia="zh-CN" w:bidi="ar-SA"/>
              </w:rPr>
            </w:pPr>
            <w:r>
              <w:rPr>
                <w:rFonts w:hint="eastAsia" w:ascii="宋体" w:hAnsi="宋体" w:eastAsia="宋体" w:cs="仿宋"/>
                <w:b/>
                <w:bCs/>
                <w:color w:val="auto"/>
                <w:spacing w:val="-3"/>
                <w:sz w:val="24"/>
                <w:highlight w:val="none"/>
                <w:lang w:val="en-US" w:eastAsia="zh-CN" w:bidi="ar-SA"/>
              </w:rPr>
              <w:t>偏离</w:t>
            </w:r>
          </w:p>
        </w:tc>
      </w:tr>
      <w:tr w14:paraId="4C9E1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04" w:type="dxa"/>
            <w:noWrap w:val="0"/>
            <w:tcMar>
              <w:top w:w="0" w:type="dxa"/>
              <w:left w:w="10" w:type="dxa"/>
              <w:bottom w:w="0" w:type="dxa"/>
              <w:right w:w="10" w:type="dxa"/>
            </w:tcMar>
            <w:vAlign w:val="center"/>
          </w:tcPr>
          <w:p w14:paraId="066DB19E">
            <w:pPr>
              <w:widowControl/>
              <w:spacing w:line="360" w:lineRule="auto"/>
              <w:jc w:val="center"/>
              <w:rPr>
                <w:rFonts w:hint="eastAsia" w:asciiTheme="minorEastAsia" w:hAnsiTheme="minorEastAsia" w:eastAsiaTheme="minorEastAsia"/>
                <w:color w:val="auto"/>
                <w:szCs w:val="21"/>
                <w:highlight w:val="none"/>
              </w:rPr>
            </w:pPr>
          </w:p>
        </w:tc>
        <w:tc>
          <w:tcPr>
            <w:tcW w:w="3864" w:type="dxa"/>
            <w:noWrap w:val="0"/>
            <w:tcMar>
              <w:top w:w="0" w:type="dxa"/>
              <w:left w:w="10" w:type="dxa"/>
              <w:bottom w:w="0" w:type="dxa"/>
              <w:right w:w="10" w:type="dxa"/>
            </w:tcMar>
            <w:vAlign w:val="center"/>
          </w:tcPr>
          <w:p w14:paraId="67F19274">
            <w:pPr>
              <w:widowControl/>
              <w:spacing w:line="360" w:lineRule="auto"/>
              <w:rPr>
                <w:rFonts w:hint="eastAsia" w:asciiTheme="minorEastAsia" w:hAnsiTheme="minorEastAsia" w:eastAsiaTheme="minorEastAsia"/>
                <w:color w:val="auto"/>
                <w:szCs w:val="21"/>
                <w:highlight w:val="none"/>
              </w:rPr>
            </w:pPr>
          </w:p>
        </w:tc>
        <w:tc>
          <w:tcPr>
            <w:tcW w:w="2021" w:type="dxa"/>
            <w:noWrap w:val="0"/>
            <w:tcMar>
              <w:top w:w="0" w:type="dxa"/>
              <w:left w:w="10" w:type="dxa"/>
              <w:bottom w:w="0" w:type="dxa"/>
              <w:right w:w="10" w:type="dxa"/>
            </w:tcMar>
            <w:vAlign w:val="center"/>
          </w:tcPr>
          <w:p w14:paraId="48D32CDE">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c>
          <w:tcPr>
            <w:tcW w:w="1843" w:type="dxa"/>
            <w:noWrap w:val="0"/>
            <w:tcMar>
              <w:top w:w="0" w:type="dxa"/>
              <w:left w:w="10" w:type="dxa"/>
              <w:bottom w:w="0" w:type="dxa"/>
              <w:right w:w="10" w:type="dxa"/>
            </w:tcMar>
            <w:vAlign w:val="center"/>
          </w:tcPr>
          <w:p w14:paraId="14A94A14">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r>
      <w:tr w14:paraId="05687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04" w:type="dxa"/>
            <w:noWrap w:val="0"/>
            <w:tcMar>
              <w:top w:w="0" w:type="dxa"/>
              <w:left w:w="10" w:type="dxa"/>
              <w:bottom w:w="0" w:type="dxa"/>
              <w:right w:w="10" w:type="dxa"/>
            </w:tcMar>
            <w:vAlign w:val="center"/>
          </w:tcPr>
          <w:p w14:paraId="1FD65A2E">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c>
          <w:tcPr>
            <w:tcW w:w="3864" w:type="dxa"/>
            <w:noWrap w:val="0"/>
            <w:tcMar>
              <w:top w:w="0" w:type="dxa"/>
              <w:left w:w="10" w:type="dxa"/>
              <w:bottom w:w="0" w:type="dxa"/>
              <w:right w:w="10" w:type="dxa"/>
            </w:tcMar>
            <w:vAlign w:val="center"/>
          </w:tcPr>
          <w:p w14:paraId="3ADE763D">
            <w:pPr>
              <w:widowControl/>
              <w:spacing w:line="360" w:lineRule="auto"/>
              <w:jc w:val="center"/>
              <w:rPr>
                <w:rFonts w:hint="eastAsia" w:asciiTheme="minorEastAsia" w:hAnsiTheme="minorEastAsia" w:eastAsiaTheme="minorEastAsia"/>
                <w:color w:val="auto"/>
                <w:szCs w:val="21"/>
                <w:highlight w:val="none"/>
              </w:rPr>
            </w:pPr>
          </w:p>
        </w:tc>
        <w:tc>
          <w:tcPr>
            <w:tcW w:w="2021" w:type="dxa"/>
            <w:noWrap w:val="0"/>
            <w:tcMar>
              <w:top w:w="0" w:type="dxa"/>
              <w:left w:w="10" w:type="dxa"/>
              <w:bottom w:w="0" w:type="dxa"/>
              <w:right w:w="10" w:type="dxa"/>
            </w:tcMar>
            <w:vAlign w:val="center"/>
          </w:tcPr>
          <w:p w14:paraId="24198671">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c>
          <w:tcPr>
            <w:tcW w:w="1843" w:type="dxa"/>
            <w:noWrap w:val="0"/>
            <w:tcMar>
              <w:top w:w="0" w:type="dxa"/>
              <w:left w:w="10" w:type="dxa"/>
              <w:bottom w:w="0" w:type="dxa"/>
              <w:right w:w="10" w:type="dxa"/>
            </w:tcMar>
            <w:vAlign w:val="center"/>
          </w:tcPr>
          <w:p w14:paraId="39FB41F3">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r>
      <w:tr w14:paraId="72402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04" w:type="dxa"/>
            <w:noWrap w:val="0"/>
            <w:tcMar>
              <w:top w:w="0" w:type="dxa"/>
              <w:left w:w="10" w:type="dxa"/>
              <w:bottom w:w="0" w:type="dxa"/>
              <w:right w:w="10" w:type="dxa"/>
            </w:tcMar>
            <w:vAlign w:val="center"/>
          </w:tcPr>
          <w:p w14:paraId="04ABE224">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c>
          <w:tcPr>
            <w:tcW w:w="3864" w:type="dxa"/>
            <w:noWrap w:val="0"/>
            <w:tcMar>
              <w:top w:w="0" w:type="dxa"/>
              <w:left w:w="10" w:type="dxa"/>
              <w:bottom w:w="0" w:type="dxa"/>
              <w:right w:w="10" w:type="dxa"/>
            </w:tcMar>
            <w:vAlign w:val="center"/>
          </w:tcPr>
          <w:p w14:paraId="39942693">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c>
          <w:tcPr>
            <w:tcW w:w="2021" w:type="dxa"/>
            <w:noWrap w:val="0"/>
            <w:tcMar>
              <w:top w:w="0" w:type="dxa"/>
              <w:left w:w="10" w:type="dxa"/>
              <w:bottom w:w="0" w:type="dxa"/>
              <w:right w:w="10" w:type="dxa"/>
            </w:tcMar>
            <w:vAlign w:val="center"/>
          </w:tcPr>
          <w:p w14:paraId="45F8ED3C">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c>
          <w:tcPr>
            <w:tcW w:w="1843" w:type="dxa"/>
            <w:noWrap w:val="0"/>
            <w:tcMar>
              <w:top w:w="0" w:type="dxa"/>
              <w:left w:w="10" w:type="dxa"/>
              <w:bottom w:w="0" w:type="dxa"/>
              <w:right w:w="10" w:type="dxa"/>
            </w:tcMar>
            <w:vAlign w:val="center"/>
          </w:tcPr>
          <w:p w14:paraId="604EB621">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r>
      <w:tr w14:paraId="17A8D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04" w:type="dxa"/>
            <w:noWrap w:val="0"/>
            <w:tcMar>
              <w:top w:w="0" w:type="dxa"/>
              <w:left w:w="10" w:type="dxa"/>
              <w:bottom w:w="0" w:type="dxa"/>
              <w:right w:w="10" w:type="dxa"/>
            </w:tcMar>
            <w:vAlign w:val="center"/>
          </w:tcPr>
          <w:p w14:paraId="1A299208">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c>
          <w:tcPr>
            <w:tcW w:w="3864" w:type="dxa"/>
            <w:noWrap w:val="0"/>
            <w:tcMar>
              <w:top w:w="0" w:type="dxa"/>
              <w:left w:w="10" w:type="dxa"/>
              <w:bottom w:w="0" w:type="dxa"/>
              <w:right w:w="10" w:type="dxa"/>
            </w:tcMar>
            <w:vAlign w:val="center"/>
          </w:tcPr>
          <w:p w14:paraId="332CD299">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c>
          <w:tcPr>
            <w:tcW w:w="2021" w:type="dxa"/>
            <w:noWrap w:val="0"/>
            <w:tcMar>
              <w:top w:w="0" w:type="dxa"/>
              <w:left w:w="10" w:type="dxa"/>
              <w:bottom w:w="0" w:type="dxa"/>
              <w:right w:w="10" w:type="dxa"/>
            </w:tcMar>
            <w:vAlign w:val="center"/>
          </w:tcPr>
          <w:p w14:paraId="591DA90A">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c>
          <w:tcPr>
            <w:tcW w:w="1843" w:type="dxa"/>
            <w:noWrap w:val="0"/>
            <w:tcMar>
              <w:top w:w="0" w:type="dxa"/>
              <w:left w:w="10" w:type="dxa"/>
              <w:bottom w:w="0" w:type="dxa"/>
              <w:right w:w="10" w:type="dxa"/>
            </w:tcMar>
            <w:vAlign w:val="center"/>
          </w:tcPr>
          <w:p w14:paraId="35C1E160">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r>
      <w:tr w14:paraId="5F92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04" w:type="dxa"/>
            <w:noWrap w:val="0"/>
            <w:tcMar>
              <w:top w:w="0" w:type="dxa"/>
              <w:left w:w="10" w:type="dxa"/>
              <w:bottom w:w="0" w:type="dxa"/>
              <w:right w:w="10" w:type="dxa"/>
            </w:tcMar>
            <w:vAlign w:val="center"/>
          </w:tcPr>
          <w:p w14:paraId="07556FB9">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c>
          <w:tcPr>
            <w:tcW w:w="3864" w:type="dxa"/>
            <w:noWrap w:val="0"/>
            <w:tcMar>
              <w:top w:w="0" w:type="dxa"/>
              <w:left w:w="10" w:type="dxa"/>
              <w:bottom w:w="0" w:type="dxa"/>
              <w:right w:w="10" w:type="dxa"/>
            </w:tcMar>
            <w:vAlign w:val="center"/>
          </w:tcPr>
          <w:p w14:paraId="67541F90">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c>
          <w:tcPr>
            <w:tcW w:w="2021" w:type="dxa"/>
            <w:noWrap w:val="0"/>
            <w:tcMar>
              <w:top w:w="0" w:type="dxa"/>
              <w:left w:w="10" w:type="dxa"/>
              <w:bottom w:w="0" w:type="dxa"/>
              <w:right w:w="10" w:type="dxa"/>
            </w:tcMar>
            <w:vAlign w:val="center"/>
          </w:tcPr>
          <w:p w14:paraId="5AC0BCF1">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c>
          <w:tcPr>
            <w:tcW w:w="1843" w:type="dxa"/>
            <w:noWrap w:val="0"/>
            <w:tcMar>
              <w:top w:w="0" w:type="dxa"/>
              <w:left w:w="10" w:type="dxa"/>
              <w:bottom w:w="0" w:type="dxa"/>
              <w:right w:w="10" w:type="dxa"/>
            </w:tcMar>
            <w:vAlign w:val="center"/>
          </w:tcPr>
          <w:p w14:paraId="46B1FE22">
            <w:pPr>
              <w:widowControl/>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tc>
      </w:tr>
      <w:tr w14:paraId="54FE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04" w:type="dxa"/>
            <w:noWrap w:val="0"/>
            <w:tcMar>
              <w:top w:w="0" w:type="dxa"/>
              <w:left w:w="10" w:type="dxa"/>
              <w:bottom w:w="0" w:type="dxa"/>
              <w:right w:w="10" w:type="dxa"/>
            </w:tcMar>
            <w:vAlign w:val="center"/>
          </w:tcPr>
          <w:p w14:paraId="58330893">
            <w:pPr>
              <w:widowControl/>
              <w:spacing w:line="360" w:lineRule="auto"/>
              <w:jc w:val="center"/>
              <w:rPr>
                <w:rFonts w:hint="eastAsia" w:asciiTheme="minorEastAsia" w:hAnsiTheme="minorEastAsia" w:eastAsiaTheme="minorEastAsia"/>
                <w:color w:val="auto"/>
                <w:szCs w:val="21"/>
                <w:highlight w:val="none"/>
              </w:rPr>
            </w:pPr>
          </w:p>
        </w:tc>
        <w:tc>
          <w:tcPr>
            <w:tcW w:w="3864" w:type="dxa"/>
            <w:noWrap w:val="0"/>
            <w:tcMar>
              <w:top w:w="0" w:type="dxa"/>
              <w:left w:w="10" w:type="dxa"/>
              <w:bottom w:w="0" w:type="dxa"/>
              <w:right w:w="10" w:type="dxa"/>
            </w:tcMar>
            <w:vAlign w:val="center"/>
          </w:tcPr>
          <w:p w14:paraId="53CC77FB">
            <w:pPr>
              <w:widowControl/>
              <w:spacing w:line="360" w:lineRule="auto"/>
              <w:jc w:val="center"/>
              <w:rPr>
                <w:rFonts w:hint="eastAsia" w:asciiTheme="minorEastAsia" w:hAnsiTheme="minorEastAsia" w:eastAsiaTheme="minorEastAsia"/>
                <w:color w:val="auto"/>
                <w:szCs w:val="21"/>
                <w:highlight w:val="none"/>
              </w:rPr>
            </w:pPr>
          </w:p>
        </w:tc>
        <w:tc>
          <w:tcPr>
            <w:tcW w:w="2021" w:type="dxa"/>
            <w:noWrap w:val="0"/>
            <w:tcMar>
              <w:top w:w="0" w:type="dxa"/>
              <w:left w:w="10" w:type="dxa"/>
              <w:bottom w:w="0" w:type="dxa"/>
              <w:right w:w="10" w:type="dxa"/>
            </w:tcMar>
            <w:vAlign w:val="center"/>
          </w:tcPr>
          <w:p w14:paraId="376928E7">
            <w:pPr>
              <w:widowControl/>
              <w:spacing w:line="360" w:lineRule="auto"/>
              <w:jc w:val="center"/>
              <w:rPr>
                <w:rFonts w:hint="eastAsia" w:asciiTheme="minorEastAsia" w:hAnsiTheme="minorEastAsia" w:eastAsiaTheme="minorEastAsia"/>
                <w:color w:val="auto"/>
                <w:szCs w:val="21"/>
                <w:highlight w:val="none"/>
              </w:rPr>
            </w:pPr>
          </w:p>
        </w:tc>
        <w:tc>
          <w:tcPr>
            <w:tcW w:w="1843" w:type="dxa"/>
            <w:noWrap w:val="0"/>
            <w:tcMar>
              <w:top w:w="0" w:type="dxa"/>
              <w:left w:w="10" w:type="dxa"/>
              <w:bottom w:w="0" w:type="dxa"/>
              <w:right w:w="10" w:type="dxa"/>
            </w:tcMar>
            <w:vAlign w:val="center"/>
          </w:tcPr>
          <w:p w14:paraId="7BDFF4E2">
            <w:pPr>
              <w:widowControl/>
              <w:spacing w:line="360" w:lineRule="auto"/>
              <w:jc w:val="center"/>
              <w:rPr>
                <w:rFonts w:hint="eastAsia" w:asciiTheme="minorEastAsia" w:hAnsiTheme="minorEastAsia" w:eastAsiaTheme="minorEastAsia"/>
                <w:color w:val="auto"/>
                <w:szCs w:val="21"/>
                <w:highlight w:val="none"/>
              </w:rPr>
            </w:pPr>
          </w:p>
        </w:tc>
      </w:tr>
      <w:tr w14:paraId="6BBF0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04" w:type="dxa"/>
            <w:noWrap w:val="0"/>
            <w:tcMar>
              <w:top w:w="0" w:type="dxa"/>
              <w:left w:w="10" w:type="dxa"/>
              <w:bottom w:w="0" w:type="dxa"/>
              <w:right w:w="10" w:type="dxa"/>
            </w:tcMar>
            <w:vAlign w:val="center"/>
          </w:tcPr>
          <w:p w14:paraId="009F4A79">
            <w:pPr>
              <w:widowControl/>
              <w:spacing w:line="360" w:lineRule="auto"/>
              <w:jc w:val="center"/>
              <w:rPr>
                <w:rFonts w:hint="eastAsia" w:asciiTheme="minorEastAsia" w:hAnsiTheme="minorEastAsia" w:eastAsiaTheme="minorEastAsia"/>
                <w:color w:val="auto"/>
                <w:szCs w:val="21"/>
                <w:highlight w:val="none"/>
              </w:rPr>
            </w:pPr>
          </w:p>
        </w:tc>
        <w:tc>
          <w:tcPr>
            <w:tcW w:w="3864" w:type="dxa"/>
            <w:noWrap w:val="0"/>
            <w:tcMar>
              <w:top w:w="0" w:type="dxa"/>
              <w:left w:w="10" w:type="dxa"/>
              <w:bottom w:w="0" w:type="dxa"/>
              <w:right w:w="10" w:type="dxa"/>
            </w:tcMar>
            <w:vAlign w:val="center"/>
          </w:tcPr>
          <w:p w14:paraId="3A6E8236">
            <w:pPr>
              <w:widowControl/>
              <w:spacing w:line="360" w:lineRule="auto"/>
              <w:jc w:val="center"/>
              <w:rPr>
                <w:rFonts w:hint="eastAsia" w:asciiTheme="minorEastAsia" w:hAnsiTheme="minorEastAsia" w:eastAsiaTheme="minorEastAsia"/>
                <w:color w:val="auto"/>
                <w:szCs w:val="21"/>
                <w:highlight w:val="none"/>
              </w:rPr>
            </w:pPr>
          </w:p>
        </w:tc>
        <w:tc>
          <w:tcPr>
            <w:tcW w:w="2021" w:type="dxa"/>
            <w:noWrap w:val="0"/>
            <w:tcMar>
              <w:top w:w="0" w:type="dxa"/>
              <w:left w:w="10" w:type="dxa"/>
              <w:bottom w:w="0" w:type="dxa"/>
              <w:right w:w="10" w:type="dxa"/>
            </w:tcMar>
            <w:vAlign w:val="center"/>
          </w:tcPr>
          <w:p w14:paraId="750A114F">
            <w:pPr>
              <w:widowControl/>
              <w:spacing w:line="360" w:lineRule="auto"/>
              <w:jc w:val="center"/>
              <w:rPr>
                <w:rFonts w:hint="eastAsia" w:asciiTheme="minorEastAsia" w:hAnsiTheme="minorEastAsia" w:eastAsiaTheme="minorEastAsia"/>
                <w:color w:val="auto"/>
                <w:szCs w:val="21"/>
                <w:highlight w:val="none"/>
              </w:rPr>
            </w:pPr>
          </w:p>
          <w:bookmarkEnd w:id="83"/>
        </w:tc>
        <w:tc>
          <w:tcPr>
            <w:tcW w:w="1843" w:type="dxa"/>
            <w:noWrap w:val="0"/>
            <w:tcMar>
              <w:top w:w="0" w:type="dxa"/>
              <w:left w:w="10" w:type="dxa"/>
              <w:bottom w:w="0" w:type="dxa"/>
              <w:right w:w="10" w:type="dxa"/>
            </w:tcMar>
            <w:vAlign w:val="center"/>
          </w:tcPr>
          <w:p w14:paraId="5C8ECE47">
            <w:pPr>
              <w:widowControl/>
              <w:spacing w:line="360" w:lineRule="auto"/>
              <w:jc w:val="center"/>
              <w:rPr>
                <w:rFonts w:hint="eastAsia" w:asciiTheme="minorEastAsia" w:hAnsiTheme="minorEastAsia" w:eastAsiaTheme="minorEastAsia"/>
                <w:color w:val="auto"/>
                <w:szCs w:val="21"/>
                <w:highlight w:val="none"/>
              </w:rPr>
            </w:pPr>
          </w:p>
        </w:tc>
      </w:tr>
    </w:tbl>
    <w:p w14:paraId="3D290773">
      <w:pPr>
        <w:widowControl/>
        <w:shd w:val="clear" w:color="auto" w:fill="FFFFFF"/>
        <w:spacing w:line="360" w:lineRule="auto"/>
        <w:jc w:val="left"/>
        <w:rPr>
          <w:rFonts w:hint="eastAsia" w:asciiTheme="minorEastAsia" w:hAnsiTheme="minorEastAsia" w:eastAsiaTheme="minorEastAsia"/>
          <w:color w:val="auto"/>
          <w:szCs w:val="21"/>
          <w:highlight w:val="none"/>
        </w:rPr>
      </w:pPr>
    </w:p>
    <w:p w14:paraId="500F17C0">
      <w:pPr>
        <w:pStyle w:val="42"/>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2"/>
        <w:textAlignment w:val="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说明：</w:t>
      </w:r>
    </w:p>
    <w:p w14:paraId="49CD20C7">
      <w:pPr>
        <w:pStyle w:val="42"/>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firstLine="420"/>
        <w:textAlignment w:val="auto"/>
        <w:rPr>
          <w:rFonts w:hint="eastAsia"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t>1.</w:t>
      </w:r>
      <w:r>
        <w:rPr>
          <w:rFonts w:hint="eastAsia" w:asciiTheme="minorEastAsia" w:hAnsiTheme="minorEastAsia" w:eastAsiaTheme="minorEastAsia"/>
          <w:b/>
          <w:bCs/>
          <w:color w:val="auto"/>
          <w:sz w:val="24"/>
          <w:szCs w:val="24"/>
          <w:highlight w:val="none"/>
        </w:rPr>
        <w:t>投标人须对采购文件商务要求中的实质性要求（斜体下划线内容或打“★”“*”内容）做出明确响应，投标人未对实质性要求作出明确响应的，视为无效投标。</w:t>
      </w:r>
    </w:p>
    <w:p w14:paraId="3DCE76ED">
      <w:pPr>
        <w:widowControl/>
        <w:shd w:val="clear" w:color="auto" w:fill="FFFFFF"/>
        <w:spacing w:line="360" w:lineRule="auto"/>
        <w:ind w:firstLine="420"/>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2.行数不够，可自行添加。</w:t>
      </w:r>
    </w:p>
    <w:p w14:paraId="710A114B">
      <w:pPr>
        <w:widowControl/>
        <w:shd w:val="clear" w:color="auto" w:fill="FFFFFF"/>
        <w:spacing w:line="360" w:lineRule="auto"/>
        <w:ind w:firstLine="210"/>
        <w:jc w:val="left"/>
        <w:rPr>
          <w:rFonts w:hint="eastAsia" w:asciiTheme="minorEastAsia" w:hAnsiTheme="minorEastAsia" w:eastAsiaTheme="minorEastAsia"/>
          <w:color w:val="auto"/>
          <w:sz w:val="24"/>
          <w:szCs w:val="24"/>
          <w:highlight w:val="none"/>
        </w:rPr>
      </w:pPr>
    </w:p>
    <w:p w14:paraId="45A446FC">
      <w:pPr>
        <w:widowControl/>
        <w:shd w:val="clear" w:color="auto" w:fill="FFFFFF"/>
        <w:spacing w:line="360" w:lineRule="auto"/>
        <w:jc w:val="left"/>
        <w:rPr>
          <w:rFonts w:hint="eastAsia" w:cs="宋体" w:asciiTheme="minorEastAsia" w:hAnsiTheme="minorEastAsia" w:eastAsiaTheme="minorEastAsia"/>
          <w:color w:val="auto"/>
          <w:sz w:val="24"/>
          <w:szCs w:val="24"/>
          <w:highlight w:val="none"/>
        </w:rPr>
      </w:pPr>
    </w:p>
    <w:p w14:paraId="70028843">
      <w:pPr>
        <w:widowControl/>
        <w:shd w:val="clear" w:color="auto" w:fill="FFFFFF"/>
        <w:spacing w:line="360" w:lineRule="auto"/>
        <w:jc w:val="left"/>
        <w:rPr>
          <w:rFonts w:hint="eastAsia" w:cs="宋体" w:asciiTheme="minorEastAsia" w:hAnsiTheme="minorEastAsia" w:eastAsiaTheme="minorEastAsia"/>
          <w:color w:val="auto"/>
          <w:sz w:val="24"/>
          <w:szCs w:val="24"/>
          <w:highlight w:val="none"/>
        </w:rPr>
      </w:pPr>
    </w:p>
    <w:p w14:paraId="0060FF27">
      <w:pPr>
        <w:widowControl/>
        <w:shd w:val="clear" w:color="auto" w:fill="FFFFFF"/>
        <w:spacing w:line="360" w:lineRule="auto"/>
        <w:ind w:firstLine="210"/>
        <w:jc w:val="lef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投标人（加盖电子公章）：</w:t>
      </w:r>
      <w:r>
        <w:rPr>
          <w:rFonts w:asciiTheme="minorEastAsia" w:hAnsiTheme="minorEastAsia" w:eastAsiaTheme="minorEastAsia"/>
          <w:color w:val="auto"/>
          <w:sz w:val="24"/>
          <w:szCs w:val="24"/>
          <w:highlight w:val="none"/>
          <w:u w:val="single"/>
        </w:rPr>
        <w:t>                      </w:t>
      </w:r>
      <w:bookmarkEnd w:id="82"/>
    </w:p>
    <w:p w14:paraId="2FD8EF37">
      <w:pPr>
        <w:widowControl/>
        <w:shd w:val="clear" w:color="auto" w:fill="FFFFFF"/>
        <w:spacing w:line="360" w:lineRule="auto"/>
        <w:jc w:val="left"/>
        <w:rPr>
          <w:rFonts w:hint="eastAsia" w:asciiTheme="minorEastAsia" w:hAnsiTheme="minorEastAsia" w:eastAsiaTheme="minorEastAsia"/>
          <w:color w:val="auto"/>
          <w:szCs w:val="21"/>
          <w:highlight w:val="none"/>
        </w:rPr>
      </w:pPr>
    </w:p>
    <w:p w14:paraId="4680E7DB">
      <w:pPr>
        <w:widowControl/>
        <w:shd w:val="clear" w:color="auto" w:fill="FFFFFF"/>
        <w:spacing w:line="360" w:lineRule="auto"/>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p w14:paraId="58DE669A">
      <w:pPr>
        <w:widowControl/>
        <w:shd w:val="clear" w:color="auto" w:fill="FFFFFF"/>
        <w:spacing w:line="360" w:lineRule="auto"/>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w:t>
      </w:r>
    </w:p>
    <w:p w14:paraId="4E5ADC85">
      <w:pPr>
        <w:spacing w:line="360" w:lineRule="auto"/>
        <w:rPr>
          <w:rFonts w:hint="eastAsia" w:asciiTheme="minorEastAsia" w:hAnsiTheme="minorEastAsia" w:eastAsiaTheme="minorEastAsia"/>
          <w:color w:val="auto"/>
          <w:highlight w:val="none"/>
        </w:rPr>
      </w:pPr>
    </w:p>
    <w:p w14:paraId="4200BF75">
      <w:pPr>
        <w:spacing w:line="360" w:lineRule="auto"/>
        <w:rPr>
          <w:rFonts w:hint="eastAsia" w:asciiTheme="minorEastAsia" w:hAnsiTheme="minorEastAsia" w:eastAsiaTheme="minorEastAsia"/>
          <w:color w:val="auto"/>
          <w:highlight w:val="none"/>
        </w:rPr>
      </w:pPr>
      <w:bookmarkStart w:id="84" w:name="_Toc43917778"/>
      <w:bookmarkStart w:id="85" w:name="_Toc66375431"/>
      <w:r>
        <w:rPr>
          <w:rFonts w:hint="eastAsia" w:asciiTheme="minorEastAsia" w:hAnsiTheme="minorEastAsia" w:eastAsiaTheme="minorEastAsia"/>
          <w:color w:val="auto"/>
          <w:highlight w:val="none"/>
        </w:rPr>
        <w:br w:type="page" w:clear="all"/>
      </w:r>
    </w:p>
    <w:p w14:paraId="2266E935">
      <w:pPr>
        <w:pStyle w:val="4"/>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附件七、拟参与本项目服务人员一览表</w:t>
      </w:r>
      <w:bookmarkEnd w:id="84"/>
      <w:bookmarkEnd w:id="85"/>
    </w:p>
    <w:p w14:paraId="5E18AF93">
      <w:pPr>
        <w:widowControl/>
        <w:spacing w:line="360" w:lineRule="auto"/>
        <w:rPr>
          <w:rFonts w:hint="eastAsia" w:asciiTheme="minorEastAsia" w:hAnsiTheme="minorEastAsia" w:eastAsiaTheme="minorEastAsia"/>
          <w:b/>
          <w:bCs/>
          <w:color w:val="auto"/>
          <w:sz w:val="24"/>
          <w:highlight w:val="none"/>
        </w:rPr>
      </w:pPr>
    </w:p>
    <w:p w14:paraId="20F092FD">
      <w:pPr>
        <w:widowControl/>
        <w:shd w:val="clear" w:color="auto" w:fill="FFFFFF"/>
        <w:spacing w:line="360" w:lineRule="auto"/>
        <w:ind w:left="420"/>
        <w:jc w:val="center"/>
        <w:rPr>
          <w:rFonts w:hint="eastAsia" w:asciiTheme="minorEastAsia" w:hAnsiTheme="minorEastAsia" w:eastAsiaTheme="minorEastAsia"/>
          <w:b/>
          <w:color w:val="auto"/>
          <w:sz w:val="30"/>
          <w:szCs w:val="30"/>
          <w:highlight w:val="none"/>
        </w:rPr>
      </w:pPr>
      <w:bookmarkStart w:id="86" w:name="_Hlk67995747"/>
      <w:r>
        <w:rPr>
          <w:rFonts w:hint="eastAsia" w:asciiTheme="minorEastAsia" w:hAnsiTheme="minorEastAsia" w:eastAsiaTheme="minorEastAsia"/>
          <w:b/>
          <w:color w:val="auto"/>
          <w:sz w:val="32"/>
          <w:szCs w:val="32"/>
          <w:highlight w:val="none"/>
        </w:rPr>
        <w:t>拟参与本项目服务人员一览表</w:t>
      </w:r>
      <w:bookmarkEnd w:id="86"/>
      <w:bookmarkStart w:id="87" w:name="_Hlk66378104"/>
      <w:bookmarkEnd w:id="87"/>
    </w:p>
    <w:p w14:paraId="2545E044">
      <w:pPr>
        <w:widowControl/>
        <w:spacing w:line="360" w:lineRule="auto"/>
        <w:jc w:val="center"/>
        <w:rPr>
          <w:rFonts w:hint="eastAsia" w:asciiTheme="minorEastAsia" w:hAnsiTheme="minorEastAsia" w:eastAsiaTheme="minorEastAsia"/>
          <w:b/>
          <w:bCs/>
          <w:color w:val="auto"/>
          <w:sz w:val="24"/>
          <w:highlight w:val="none"/>
        </w:rPr>
      </w:pPr>
    </w:p>
    <w:p w14:paraId="7756836B">
      <w:pPr>
        <w:widowControl/>
        <w:spacing w:line="360" w:lineRule="auto"/>
        <w:rPr>
          <w:rFonts w:hint="eastAsia" w:asciiTheme="minorEastAsia" w:hAnsiTheme="minorEastAsia" w:eastAsiaTheme="minorEastAsia"/>
          <w:color w:val="auto"/>
          <w:sz w:val="24"/>
          <w:szCs w:val="24"/>
          <w:highlight w:val="none"/>
        </w:rPr>
      </w:pPr>
      <w:bookmarkStart w:id="88" w:name="_Hlk66784308"/>
      <w:r>
        <w:rPr>
          <w:rFonts w:hint="eastAsia" w:asciiTheme="minorEastAsia" w:hAnsiTheme="minorEastAsia" w:eastAsiaTheme="minorEastAsia"/>
          <w:color w:val="auto"/>
          <w:sz w:val="24"/>
          <w:szCs w:val="24"/>
          <w:highlight w:val="none"/>
        </w:rPr>
        <w:t>项目名称：</w:t>
      </w:r>
      <w:r>
        <w:rPr>
          <w:rFonts w:hint="eastAsia" w:asciiTheme="minorEastAsia" w:hAnsiTheme="minorEastAsia" w:eastAsia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rPr>
        <w:t>项目编号：</w:t>
      </w:r>
      <w:bookmarkEnd w:id="88"/>
    </w:p>
    <w:tbl>
      <w:tblPr>
        <w:tblStyle w:val="48"/>
        <w:tblW w:w="9705" w:type="dxa"/>
        <w:jc w:val="center"/>
        <w:tblLayout w:type="fixed"/>
        <w:tblCellMar>
          <w:top w:w="0" w:type="dxa"/>
          <w:left w:w="108" w:type="dxa"/>
          <w:bottom w:w="0" w:type="dxa"/>
          <w:right w:w="108" w:type="dxa"/>
        </w:tblCellMar>
      </w:tblPr>
      <w:tblGrid>
        <w:gridCol w:w="799"/>
        <w:gridCol w:w="890"/>
        <w:gridCol w:w="890"/>
        <w:gridCol w:w="890"/>
        <w:gridCol w:w="890"/>
        <w:gridCol w:w="891"/>
        <w:gridCol w:w="891"/>
        <w:gridCol w:w="891"/>
        <w:gridCol w:w="891"/>
        <w:gridCol w:w="891"/>
        <w:gridCol w:w="891"/>
      </w:tblGrid>
      <w:tr w14:paraId="5846724F">
        <w:tblPrEx>
          <w:tblCellMar>
            <w:top w:w="0" w:type="dxa"/>
            <w:left w:w="108" w:type="dxa"/>
            <w:bottom w:w="0" w:type="dxa"/>
            <w:right w:w="108" w:type="dxa"/>
          </w:tblCellMar>
        </w:tblPrEx>
        <w:trPr>
          <w:jc w:val="center"/>
        </w:trPr>
        <w:tc>
          <w:tcPr>
            <w:tcW w:w="799" w:type="dxa"/>
            <w:tcBorders>
              <w:top w:val="single" w:color="000000" w:sz="4" w:space="0"/>
              <w:left w:val="single" w:color="000000" w:sz="4" w:space="0"/>
              <w:bottom w:val="single" w:color="000000" w:sz="4" w:space="0"/>
              <w:right w:val="single" w:color="000000" w:sz="4" w:space="0"/>
            </w:tcBorders>
            <w:noWrap w:val="0"/>
            <w:vAlign w:val="center"/>
          </w:tcPr>
          <w:p w14:paraId="1EED8936">
            <w:pPr>
              <w:widowControl/>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序号</w:t>
            </w:r>
          </w:p>
        </w:tc>
        <w:tc>
          <w:tcPr>
            <w:tcW w:w="890" w:type="dxa"/>
            <w:tcBorders>
              <w:top w:val="single" w:color="000000" w:sz="4" w:space="0"/>
              <w:left w:val="nil"/>
              <w:bottom w:val="single" w:color="000000" w:sz="4" w:space="0"/>
              <w:right w:val="single" w:color="000000" w:sz="4" w:space="0"/>
            </w:tcBorders>
            <w:noWrap w:val="0"/>
            <w:vAlign w:val="center"/>
          </w:tcPr>
          <w:p w14:paraId="5022FD07">
            <w:pPr>
              <w:widowControl/>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姓名</w:t>
            </w:r>
          </w:p>
        </w:tc>
        <w:tc>
          <w:tcPr>
            <w:tcW w:w="890" w:type="dxa"/>
            <w:tcBorders>
              <w:top w:val="single" w:color="000000" w:sz="4" w:space="0"/>
              <w:left w:val="nil"/>
              <w:bottom w:val="single" w:color="000000" w:sz="4" w:space="0"/>
              <w:right w:val="single" w:color="000000" w:sz="4" w:space="0"/>
            </w:tcBorders>
            <w:noWrap w:val="0"/>
            <w:vAlign w:val="center"/>
          </w:tcPr>
          <w:p w14:paraId="234CDD73">
            <w:pPr>
              <w:widowControl/>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性别</w:t>
            </w:r>
          </w:p>
        </w:tc>
        <w:tc>
          <w:tcPr>
            <w:tcW w:w="890" w:type="dxa"/>
            <w:tcBorders>
              <w:top w:val="single" w:color="000000" w:sz="4" w:space="0"/>
              <w:left w:val="nil"/>
              <w:bottom w:val="single" w:color="000000" w:sz="4" w:space="0"/>
              <w:right w:val="single" w:color="000000" w:sz="4" w:space="0"/>
            </w:tcBorders>
            <w:noWrap w:val="0"/>
            <w:vAlign w:val="center"/>
          </w:tcPr>
          <w:p w14:paraId="7108314A">
            <w:pPr>
              <w:widowControl/>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年龄</w:t>
            </w:r>
          </w:p>
        </w:tc>
        <w:tc>
          <w:tcPr>
            <w:tcW w:w="890" w:type="dxa"/>
            <w:tcBorders>
              <w:top w:val="single" w:color="000000" w:sz="4" w:space="0"/>
              <w:left w:val="nil"/>
              <w:bottom w:val="single" w:color="000000" w:sz="4" w:space="0"/>
              <w:right w:val="single" w:color="000000" w:sz="4" w:space="0"/>
            </w:tcBorders>
            <w:noWrap w:val="0"/>
            <w:vAlign w:val="center"/>
          </w:tcPr>
          <w:p w14:paraId="3A306357">
            <w:pPr>
              <w:widowControl/>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专业</w:t>
            </w:r>
          </w:p>
        </w:tc>
        <w:tc>
          <w:tcPr>
            <w:tcW w:w="891" w:type="dxa"/>
            <w:tcBorders>
              <w:top w:val="single" w:color="000000" w:sz="4" w:space="0"/>
              <w:left w:val="nil"/>
              <w:bottom w:val="single" w:color="000000" w:sz="4" w:space="0"/>
              <w:right w:val="single" w:color="000000" w:sz="4" w:space="0"/>
            </w:tcBorders>
            <w:noWrap w:val="0"/>
            <w:vAlign w:val="center"/>
          </w:tcPr>
          <w:p w14:paraId="6FACDD29">
            <w:pPr>
              <w:widowControl/>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学历</w:t>
            </w:r>
          </w:p>
        </w:tc>
        <w:tc>
          <w:tcPr>
            <w:tcW w:w="891" w:type="dxa"/>
            <w:tcBorders>
              <w:top w:val="single" w:color="000000" w:sz="4" w:space="0"/>
              <w:left w:val="nil"/>
              <w:bottom w:val="single" w:color="000000" w:sz="4" w:space="0"/>
              <w:right w:val="single" w:color="000000" w:sz="4" w:space="0"/>
            </w:tcBorders>
            <w:noWrap w:val="0"/>
            <w:vAlign w:val="center"/>
          </w:tcPr>
          <w:p w14:paraId="0ECEB01C">
            <w:pPr>
              <w:widowControl/>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执业</w:t>
            </w:r>
          </w:p>
          <w:p w14:paraId="7B527CB4">
            <w:pPr>
              <w:widowControl/>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资格</w:t>
            </w:r>
          </w:p>
        </w:tc>
        <w:tc>
          <w:tcPr>
            <w:tcW w:w="891" w:type="dxa"/>
            <w:tcBorders>
              <w:top w:val="single" w:color="000000" w:sz="4" w:space="0"/>
              <w:left w:val="nil"/>
              <w:bottom w:val="single" w:color="000000" w:sz="4" w:space="0"/>
              <w:right w:val="single" w:color="000000" w:sz="4" w:space="0"/>
            </w:tcBorders>
            <w:noWrap w:val="0"/>
            <w:vAlign w:val="center"/>
          </w:tcPr>
          <w:p w14:paraId="47FFA54A">
            <w:pPr>
              <w:widowControl/>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证书号</w:t>
            </w:r>
          </w:p>
        </w:tc>
        <w:tc>
          <w:tcPr>
            <w:tcW w:w="891" w:type="dxa"/>
            <w:tcBorders>
              <w:top w:val="single" w:color="000000" w:sz="4" w:space="0"/>
              <w:left w:val="nil"/>
              <w:bottom w:val="single" w:color="000000" w:sz="4" w:space="0"/>
              <w:right w:val="single" w:color="000000" w:sz="4" w:space="0"/>
            </w:tcBorders>
            <w:noWrap w:val="0"/>
            <w:vAlign w:val="center"/>
          </w:tcPr>
          <w:p w14:paraId="29BD8D59">
            <w:pPr>
              <w:widowControl/>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技术职称</w:t>
            </w:r>
          </w:p>
        </w:tc>
        <w:tc>
          <w:tcPr>
            <w:tcW w:w="891" w:type="dxa"/>
            <w:tcBorders>
              <w:top w:val="single" w:color="000000" w:sz="4" w:space="0"/>
              <w:left w:val="nil"/>
              <w:bottom w:val="single" w:color="000000" w:sz="4" w:space="0"/>
              <w:right w:val="single" w:color="000000" w:sz="4" w:space="0"/>
            </w:tcBorders>
            <w:noWrap w:val="0"/>
            <w:vAlign w:val="center"/>
          </w:tcPr>
          <w:p w14:paraId="4D9A75E8">
            <w:pPr>
              <w:widowControl/>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相关工作年限</w:t>
            </w:r>
          </w:p>
        </w:tc>
        <w:tc>
          <w:tcPr>
            <w:tcW w:w="891" w:type="dxa"/>
            <w:tcBorders>
              <w:top w:val="single" w:color="000000" w:sz="4" w:space="0"/>
              <w:left w:val="nil"/>
              <w:bottom w:val="single" w:color="000000" w:sz="4" w:space="0"/>
              <w:right w:val="single" w:color="000000" w:sz="4" w:space="0"/>
            </w:tcBorders>
            <w:noWrap w:val="0"/>
            <w:vAlign w:val="center"/>
          </w:tcPr>
          <w:p w14:paraId="2ABAA914">
            <w:pPr>
              <w:widowControl/>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备注</w:t>
            </w:r>
          </w:p>
        </w:tc>
      </w:tr>
      <w:tr w14:paraId="28E58AD2">
        <w:tblPrEx>
          <w:tblCellMar>
            <w:top w:w="0" w:type="dxa"/>
            <w:left w:w="108" w:type="dxa"/>
            <w:bottom w:w="0" w:type="dxa"/>
            <w:right w:w="108" w:type="dxa"/>
          </w:tblCellMar>
        </w:tblPrEx>
        <w:trPr>
          <w:jc w:val="center"/>
        </w:trPr>
        <w:tc>
          <w:tcPr>
            <w:tcW w:w="799" w:type="dxa"/>
            <w:tcBorders>
              <w:top w:val="single" w:color="000000" w:sz="4" w:space="0"/>
              <w:left w:val="single" w:color="000000" w:sz="4" w:space="0"/>
              <w:bottom w:val="single" w:color="000000" w:sz="4" w:space="0"/>
              <w:right w:val="single" w:color="000000" w:sz="4" w:space="0"/>
            </w:tcBorders>
            <w:noWrap w:val="0"/>
          </w:tcPr>
          <w:p w14:paraId="48359264">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3C5425E1">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59E0D314">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3A3AEDF3">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74E36C64">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514BBECF">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5BF8AD97">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593C3642">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193A9CAD">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212F7E3C">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71AD8237">
            <w:pPr>
              <w:widowControl/>
              <w:spacing w:line="360" w:lineRule="auto"/>
              <w:rPr>
                <w:rFonts w:hint="eastAsia" w:asciiTheme="minorEastAsia" w:hAnsiTheme="minorEastAsia" w:eastAsiaTheme="minorEastAsia"/>
                <w:color w:val="auto"/>
                <w:szCs w:val="21"/>
                <w:highlight w:val="none"/>
              </w:rPr>
            </w:pPr>
          </w:p>
        </w:tc>
      </w:tr>
      <w:tr w14:paraId="4778094F">
        <w:tblPrEx>
          <w:tblCellMar>
            <w:top w:w="0" w:type="dxa"/>
            <w:left w:w="108" w:type="dxa"/>
            <w:bottom w:w="0" w:type="dxa"/>
            <w:right w:w="108" w:type="dxa"/>
          </w:tblCellMar>
        </w:tblPrEx>
        <w:trPr>
          <w:jc w:val="center"/>
        </w:trPr>
        <w:tc>
          <w:tcPr>
            <w:tcW w:w="799" w:type="dxa"/>
            <w:tcBorders>
              <w:top w:val="single" w:color="000000" w:sz="4" w:space="0"/>
              <w:left w:val="single" w:color="000000" w:sz="4" w:space="0"/>
              <w:bottom w:val="single" w:color="000000" w:sz="4" w:space="0"/>
              <w:right w:val="single" w:color="000000" w:sz="4" w:space="0"/>
            </w:tcBorders>
            <w:noWrap w:val="0"/>
          </w:tcPr>
          <w:p w14:paraId="6DEB1A36">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1B701F08">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2754004E">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21CEA4A8">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50FD17C1">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4345E30A">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20FADDAA">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0148C725">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1530C4F3">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7496C07B">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4EE8DF06">
            <w:pPr>
              <w:widowControl/>
              <w:spacing w:line="360" w:lineRule="auto"/>
              <w:rPr>
                <w:rFonts w:hint="eastAsia" w:asciiTheme="minorEastAsia" w:hAnsiTheme="minorEastAsia" w:eastAsiaTheme="minorEastAsia"/>
                <w:color w:val="auto"/>
                <w:szCs w:val="21"/>
                <w:highlight w:val="none"/>
              </w:rPr>
            </w:pPr>
          </w:p>
        </w:tc>
      </w:tr>
      <w:tr w14:paraId="7798521D">
        <w:tblPrEx>
          <w:tblCellMar>
            <w:top w:w="0" w:type="dxa"/>
            <w:left w:w="108" w:type="dxa"/>
            <w:bottom w:w="0" w:type="dxa"/>
            <w:right w:w="108" w:type="dxa"/>
          </w:tblCellMar>
        </w:tblPrEx>
        <w:trPr>
          <w:jc w:val="center"/>
        </w:trPr>
        <w:tc>
          <w:tcPr>
            <w:tcW w:w="799" w:type="dxa"/>
            <w:tcBorders>
              <w:top w:val="single" w:color="000000" w:sz="4" w:space="0"/>
              <w:left w:val="single" w:color="000000" w:sz="4" w:space="0"/>
              <w:bottom w:val="single" w:color="000000" w:sz="4" w:space="0"/>
              <w:right w:val="single" w:color="000000" w:sz="4" w:space="0"/>
            </w:tcBorders>
            <w:noWrap w:val="0"/>
          </w:tcPr>
          <w:p w14:paraId="62DB5DC8">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54820BA4">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0DB0DA1C">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2DD31945">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1249D108">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5FD95308">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1278C8EF">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4B08F219">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6BFF8DA4">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3B53C321">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6FC9B174">
            <w:pPr>
              <w:widowControl/>
              <w:spacing w:line="360" w:lineRule="auto"/>
              <w:rPr>
                <w:rFonts w:hint="eastAsia" w:asciiTheme="minorEastAsia" w:hAnsiTheme="minorEastAsia" w:eastAsiaTheme="minorEastAsia"/>
                <w:color w:val="auto"/>
                <w:szCs w:val="21"/>
                <w:highlight w:val="none"/>
              </w:rPr>
            </w:pPr>
          </w:p>
        </w:tc>
      </w:tr>
      <w:tr w14:paraId="73D9BF68">
        <w:tblPrEx>
          <w:tblCellMar>
            <w:top w:w="0" w:type="dxa"/>
            <w:left w:w="108" w:type="dxa"/>
            <w:bottom w:w="0" w:type="dxa"/>
            <w:right w:w="108" w:type="dxa"/>
          </w:tblCellMar>
        </w:tblPrEx>
        <w:trPr>
          <w:jc w:val="center"/>
        </w:trPr>
        <w:tc>
          <w:tcPr>
            <w:tcW w:w="799" w:type="dxa"/>
            <w:tcBorders>
              <w:top w:val="single" w:color="000000" w:sz="4" w:space="0"/>
              <w:left w:val="single" w:color="000000" w:sz="4" w:space="0"/>
              <w:bottom w:val="single" w:color="000000" w:sz="4" w:space="0"/>
              <w:right w:val="single" w:color="000000" w:sz="4" w:space="0"/>
            </w:tcBorders>
            <w:noWrap w:val="0"/>
          </w:tcPr>
          <w:p w14:paraId="7C840FC5">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677A28DB">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4155A56D">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54AE0666">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1F2B0F58">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6E4A123E">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13DB12D4">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4A4106BF">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2C57BBAA">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20C15FDE">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6AB62ACD">
            <w:pPr>
              <w:widowControl/>
              <w:spacing w:line="360" w:lineRule="auto"/>
              <w:rPr>
                <w:rFonts w:hint="eastAsia" w:asciiTheme="minorEastAsia" w:hAnsiTheme="minorEastAsia" w:eastAsiaTheme="minorEastAsia"/>
                <w:color w:val="auto"/>
                <w:szCs w:val="21"/>
                <w:highlight w:val="none"/>
              </w:rPr>
            </w:pPr>
          </w:p>
        </w:tc>
      </w:tr>
      <w:tr w14:paraId="2150C901">
        <w:tblPrEx>
          <w:tblCellMar>
            <w:top w:w="0" w:type="dxa"/>
            <w:left w:w="108" w:type="dxa"/>
            <w:bottom w:w="0" w:type="dxa"/>
            <w:right w:w="108" w:type="dxa"/>
          </w:tblCellMar>
        </w:tblPrEx>
        <w:trPr>
          <w:jc w:val="center"/>
        </w:trPr>
        <w:tc>
          <w:tcPr>
            <w:tcW w:w="799" w:type="dxa"/>
            <w:tcBorders>
              <w:top w:val="single" w:color="000000" w:sz="4" w:space="0"/>
              <w:left w:val="single" w:color="000000" w:sz="4" w:space="0"/>
              <w:bottom w:val="single" w:color="000000" w:sz="4" w:space="0"/>
              <w:right w:val="single" w:color="000000" w:sz="4" w:space="0"/>
            </w:tcBorders>
            <w:noWrap w:val="0"/>
          </w:tcPr>
          <w:p w14:paraId="5FC07820">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1734761B">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3E9DB9DF">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680D6E2B">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51D4AAA6">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13DE986D">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63F14660">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0C97B648">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22BD1F07">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14810570">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58B0DDD6">
            <w:pPr>
              <w:widowControl/>
              <w:spacing w:line="360" w:lineRule="auto"/>
              <w:rPr>
                <w:rFonts w:hint="eastAsia" w:asciiTheme="minorEastAsia" w:hAnsiTheme="minorEastAsia" w:eastAsiaTheme="minorEastAsia"/>
                <w:color w:val="auto"/>
                <w:szCs w:val="21"/>
                <w:highlight w:val="none"/>
              </w:rPr>
            </w:pPr>
          </w:p>
        </w:tc>
      </w:tr>
      <w:tr w14:paraId="4092134D">
        <w:tblPrEx>
          <w:tblCellMar>
            <w:top w:w="0" w:type="dxa"/>
            <w:left w:w="108" w:type="dxa"/>
            <w:bottom w:w="0" w:type="dxa"/>
            <w:right w:w="108" w:type="dxa"/>
          </w:tblCellMar>
        </w:tblPrEx>
        <w:trPr>
          <w:jc w:val="center"/>
        </w:trPr>
        <w:tc>
          <w:tcPr>
            <w:tcW w:w="799" w:type="dxa"/>
            <w:tcBorders>
              <w:top w:val="single" w:color="000000" w:sz="4" w:space="0"/>
              <w:left w:val="single" w:color="000000" w:sz="4" w:space="0"/>
              <w:bottom w:val="single" w:color="000000" w:sz="4" w:space="0"/>
              <w:right w:val="single" w:color="000000" w:sz="4" w:space="0"/>
            </w:tcBorders>
            <w:noWrap w:val="0"/>
          </w:tcPr>
          <w:p w14:paraId="47C1B741">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0C2AA454">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6D0ADB2B">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212EA996">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54AE9735">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19948C0C">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7FB75F14">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3F622D6A">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5D12281B">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749E1C19">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11B6D4C8">
            <w:pPr>
              <w:widowControl/>
              <w:spacing w:line="360" w:lineRule="auto"/>
              <w:rPr>
                <w:rFonts w:hint="eastAsia" w:asciiTheme="minorEastAsia" w:hAnsiTheme="minorEastAsia" w:eastAsiaTheme="minorEastAsia"/>
                <w:color w:val="auto"/>
                <w:szCs w:val="21"/>
                <w:highlight w:val="none"/>
              </w:rPr>
            </w:pPr>
          </w:p>
        </w:tc>
      </w:tr>
      <w:tr w14:paraId="54B452BB">
        <w:tblPrEx>
          <w:tblCellMar>
            <w:top w:w="0" w:type="dxa"/>
            <w:left w:w="108" w:type="dxa"/>
            <w:bottom w:w="0" w:type="dxa"/>
            <w:right w:w="108" w:type="dxa"/>
          </w:tblCellMar>
        </w:tblPrEx>
        <w:trPr>
          <w:jc w:val="center"/>
        </w:trPr>
        <w:tc>
          <w:tcPr>
            <w:tcW w:w="799" w:type="dxa"/>
            <w:tcBorders>
              <w:top w:val="single" w:color="000000" w:sz="4" w:space="0"/>
              <w:left w:val="single" w:color="000000" w:sz="4" w:space="0"/>
              <w:bottom w:val="single" w:color="000000" w:sz="4" w:space="0"/>
              <w:right w:val="single" w:color="000000" w:sz="4" w:space="0"/>
            </w:tcBorders>
            <w:noWrap w:val="0"/>
          </w:tcPr>
          <w:p w14:paraId="01EB470B">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472FBD26">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7450B686">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699408CB">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1E46F786">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6F39C1FA">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6E5D8929">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79AC4C72">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36BF0884">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489FCCEA">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309DA5DE">
            <w:pPr>
              <w:widowControl/>
              <w:spacing w:line="360" w:lineRule="auto"/>
              <w:rPr>
                <w:rFonts w:hint="eastAsia" w:asciiTheme="minorEastAsia" w:hAnsiTheme="minorEastAsia" w:eastAsiaTheme="minorEastAsia"/>
                <w:color w:val="auto"/>
                <w:szCs w:val="21"/>
                <w:highlight w:val="none"/>
              </w:rPr>
            </w:pPr>
          </w:p>
        </w:tc>
      </w:tr>
      <w:tr w14:paraId="485F2BCA">
        <w:tblPrEx>
          <w:tblCellMar>
            <w:top w:w="0" w:type="dxa"/>
            <w:left w:w="108" w:type="dxa"/>
            <w:bottom w:w="0" w:type="dxa"/>
            <w:right w:w="108" w:type="dxa"/>
          </w:tblCellMar>
        </w:tblPrEx>
        <w:trPr>
          <w:jc w:val="center"/>
        </w:trPr>
        <w:tc>
          <w:tcPr>
            <w:tcW w:w="799" w:type="dxa"/>
            <w:tcBorders>
              <w:top w:val="single" w:color="000000" w:sz="4" w:space="0"/>
              <w:left w:val="single" w:color="000000" w:sz="4" w:space="0"/>
              <w:bottom w:val="single" w:color="000000" w:sz="4" w:space="0"/>
              <w:right w:val="single" w:color="000000" w:sz="4" w:space="0"/>
            </w:tcBorders>
            <w:noWrap w:val="0"/>
          </w:tcPr>
          <w:p w14:paraId="7088A5B9">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4BAF999E">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7EE63BEB">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1673CB6F">
            <w:pPr>
              <w:widowControl/>
              <w:spacing w:line="360" w:lineRule="auto"/>
              <w:rPr>
                <w:rFonts w:hint="eastAsia" w:asciiTheme="minorEastAsia" w:hAnsiTheme="minorEastAsia" w:eastAsiaTheme="minorEastAsia"/>
                <w:color w:val="auto"/>
                <w:szCs w:val="21"/>
                <w:highlight w:val="none"/>
              </w:rPr>
            </w:pPr>
          </w:p>
        </w:tc>
        <w:tc>
          <w:tcPr>
            <w:tcW w:w="890" w:type="dxa"/>
            <w:tcBorders>
              <w:top w:val="single" w:color="000000" w:sz="4" w:space="0"/>
              <w:left w:val="nil"/>
              <w:bottom w:val="single" w:color="000000" w:sz="4" w:space="0"/>
              <w:right w:val="single" w:color="000000" w:sz="4" w:space="0"/>
            </w:tcBorders>
            <w:noWrap w:val="0"/>
          </w:tcPr>
          <w:p w14:paraId="17ACEF23">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67CAC63C">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741F1725">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7578D5FC">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1C55C919">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5064007A">
            <w:pPr>
              <w:widowControl/>
              <w:spacing w:line="360" w:lineRule="auto"/>
              <w:rPr>
                <w:rFonts w:hint="eastAsia" w:asciiTheme="minorEastAsia" w:hAnsiTheme="minorEastAsia" w:eastAsiaTheme="minorEastAsia"/>
                <w:color w:val="auto"/>
                <w:szCs w:val="21"/>
                <w:highlight w:val="none"/>
              </w:rPr>
            </w:pPr>
          </w:p>
        </w:tc>
        <w:tc>
          <w:tcPr>
            <w:tcW w:w="891" w:type="dxa"/>
            <w:tcBorders>
              <w:top w:val="single" w:color="000000" w:sz="4" w:space="0"/>
              <w:left w:val="nil"/>
              <w:bottom w:val="single" w:color="000000" w:sz="4" w:space="0"/>
              <w:right w:val="single" w:color="000000" w:sz="4" w:space="0"/>
            </w:tcBorders>
            <w:noWrap w:val="0"/>
          </w:tcPr>
          <w:p w14:paraId="64B7B7F1">
            <w:pPr>
              <w:widowControl/>
              <w:spacing w:line="360" w:lineRule="auto"/>
              <w:rPr>
                <w:rFonts w:hint="eastAsia" w:asciiTheme="minorEastAsia" w:hAnsiTheme="minorEastAsia" w:eastAsiaTheme="minorEastAsia"/>
                <w:color w:val="auto"/>
                <w:szCs w:val="21"/>
                <w:highlight w:val="none"/>
              </w:rPr>
            </w:pPr>
          </w:p>
        </w:tc>
      </w:tr>
    </w:tbl>
    <w:p w14:paraId="75E9DA44">
      <w:pPr>
        <w:widowControl/>
        <w:shd w:val="clear" w:color="auto" w:fill="FFFFFF"/>
        <w:spacing w:line="360" w:lineRule="auto"/>
        <w:jc w:val="left"/>
        <w:rPr>
          <w:rFonts w:hint="eastAsia" w:cs="宋体" w:asciiTheme="minorEastAsia" w:hAnsiTheme="minorEastAsia" w:eastAsiaTheme="minorEastAsia"/>
          <w:color w:val="auto"/>
          <w:szCs w:val="21"/>
          <w:highlight w:val="none"/>
        </w:rPr>
      </w:pPr>
    </w:p>
    <w:p w14:paraId="5F73F216">
      <w:pPr>
        <w:widowControl/>
        <w:shd w:val="clear" w:color="auto" w:fill="FFFFFF"/>
        <w:spacing w:line="360" w:lineRule="auto"/>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说明：</w:t>
      </w:r>
      <w:r>
        <w:rPr>
          <w:rFonts w:asciiTheme="minorEastAsia" w:hAnsiTheme="minorEastAsia" w:eastAsiaTheme="minorEastAsia"/>
          <w:color w:val="auto"/>
          <w:sz w:val="24"/>
          <w:szCs w:val="24"/>
          <w:highlight w:val="none"/>
        </w:rPr>
        <w:t>如果行数不够，请自行增加。</w:t>
      </w:r>
    </w:p>
    <w:p w14:paraId="6CCC23F3">
      <w:pPr>
        <w:widowControl/>
        <w:shd w:val="clear" w:color="auto" w:fill="FFFFFF"/>
        <w:spacing w:line="360" w:lineRule="auto"/>
        <w:jc w:val="left"/>
        <w:rPr>
          <w:rFonts w:hint="eastAsia" w:cs="宋体" w:asciiTheme="minorEastAsia" w:hAnsiTheme="minorEastAsia" w:eastAsiaTheme="minorEastAsia"/>
          <w:color w:val="auto"/>
          <w:sz w:val="24"/>
          <w:szCs w:val="24"/>
          <w:highlight w:val="none"/>
        </w:rPr>
      </w:pPr>
    </w:p>
    <w:p w14:paraId="2151C9A7">
      <w:pPr>
        <w:widowControl/>
        <w:shd w:val="clear" w:color="auto" w:fill="FFFFFF"/>
        <w:spacing w:line="360" w:lineRule="auto"/>
        <w:jc w:val="left"/>
        <w:rPr>
          <w:rFonts w:hint="eastAsia" w:cs="宋体" w:asciiTheme="minorEastAsia" w:hAnsiTheme="minorEastAsia" w:eastAsiaTheme="minorEastAsia"/>
          <w:color w:val="auto"/>
          <w:sz w:val="24"/>
          <w:szCs w:val="24"/>
          <w:highlight w:val="none"/>
        </w:rPr>
      </w:pPr>
    </w:p>
    <w:p w14:paraId="3A90BB25">
      <w:pPr>
        <w:widowControl/>
        <w:shd w:val="clear" w:color="auto" w:fill="FFFFFF"/>
        <w:spacing w:line="360" w:lineRule="auto"/>
        <w:jc w:val="left"/>
        <w:rPr>
          <w:rFonts w:hint="eastAsia" w:ascii="宋体" w:hAnsi="宋体"/>
          <w:color w:val="auto"/>
          <w:sz w:val="24"/>
          <w:szCs w:val="24"/>
          <w:highlight w:val="none"/>
        </w:rPr>
      </w:pPr>
      <w:r>
        <w:rPr>
          <w:rFonts w:hint="eastAsia" w:ascii="宋体" w:hAnsi="宋体" w:cs="宋体"/>
          <w:color w:val="auto"/>
          <w:sz w:val="24"/>
          <w:szCs w:val="24"/>
          <w:highlight w:val="none"/>
        </w:rPr>
        <w:t>投标人（加盖电子公章）：</w:t>
      </w:r>
      <w:r>
        <w:rPr>
          <w:rFonts w:ascii="宋体" w:hAnsi="宋体"/>
          <w:color w:val="auto"/>
          <w:sz w:val="24"/>
          <w:szCs w:val="24"/>
          <w:highlight w:val="none"/>
          <w:u w:val="single"/>
        </w:rPr>
        <w:t>                     </w:t>
      </w:r>
    </w:p>
    <w:p w14:paraId="3F555281">
      <w:pPr>
        <w:widowControl/>
        <w:shd w:val="clear" w:color="auto" w:fill="FFFFFF"/>
        <w:spacing w:line="360" w:lineRule="auto"/>
        <w:jc w:val="left"/>
        <w:rPr>
          <w:rFonts w:hint="eastAsia" w:cs="宋体" w:asciiTheme="minorEastAsia" w:hAnsiTheme="minorEastAsia" w:eastAsiaTheme="minorEastAsia"/>
          <w:color w:val="auto"/>
          <w:szCs w:val="21"/>
          <w:highlight w:val="none"/>
        </w:rPr>
      </w:pPr>
    </w:p>
    <w:p w14:paraId="60686C98">
      <w:pPr>
        <w:widowControl/>
        <w:spacing w:line="360" w:lineRule="auto"/>
        <w:rPr>
          <w:rFonts w:hint="eastAsia" w:asciiTheme="minorEastAsia" w:hAnsiTheme="minorEastAsia" w:eastAsiaTheme="minorEastAsia"/>
          <w:color w:val="auto"/>
          <w:szCs w:val="21"/>
          <w:highlight w:val="none"/>
        </w:rPr>
      </w:pPr>
    </w:p>
    <w:p w14:paraId="7B0B7E02">
      <w:pPr>
        <w:widowControl/>
        <w:spacing w:line="360" w:lineRule="auto"/>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br w:type="page" w:clear="all"/>
      </w:r>
    </w:p>
    <w:p w14:paraId="7590D613">
      <w:pPr>
        <w:pStyle w:val="4"/>
        <w:spacing w:line="360" w:lineRule="auto"/>
        <w:rPr>
          <w:rFonts w:hint="eastAsia" w:asciiTheme="minorEastAsia" w:hAnsiTheme="minorEastAsia" w:eastAsiaTheme="minorEastAsia"/>
          <w:color w:val="auto"/>
          <w:highlight w:val="none"/>
        </w:rPr>
      </w:pPr>
      <w:bookmarkStart w:id="89" w:name="_Toc66375432"/>
      <w:bookmarkStart w:id="90" w:name="_Toc43917779"/>
      <w:r>
        <w:rPr>
          <w:rFonts w:hint="eastAsia" w:asciiTheme="minorEastAsia" w:hAnsiTheme="minorEastAsia" w:eastAsiaTheme="minorEastAsia"/>
          <w:color w:val="auto"/>
          <w:highlight w:val="none"/>
        </w:rPr>
        <w:t>附件八、投标人类似业绩情况表</w:t>
      </w:r>
      <w:bookmarkEnd w:id="89"/>
      <w:bookmarkEnd w:id="90"/>
    </w:p>
    <w:p w14:paraId="7B410F82">
      <w:pPr>
        <w:widowControl/>
        <w:spacing w:line="360" w:lineRule="auto"/>
        <w:jc w:val="center"/>
        <w:rPr>
          <w:rFonts w:hint="eastAsia" w:asciiTheme="minorEastAsia" w:hAnsiTheme="minorEastAsia" w:eastAsiaTheme="minorEastAsia"/>
          <w:b/>
          <w:bCs/>
          <w:color w:val="auto"/>
          <w:sz w:val="24"/>
          <w:highlight w:val="none"/>
        </w:rPr>
      </w:pPr>
    </w:p>
    <w:p w14:paraId="2D1FAE03">
      <w:pPr>
        <w:spacing w:line="360" w:lineRule="auto"/>
        <w:jc w:val="center"/>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投标人类似业绩情况表</w:t>
      </w:r>
    </w:p>
    <w:p w14:paraId="07107638">
      <w:pPr>
        <w:spacing w:line="360" w:lineRule="auto"/>
        <w:jc w:val="left"/>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szCs w:val="24"/>
          <w:highlight w:val="none"/>
        </w:rPr>
        <w:t>项目名称：</w:t>
      </w:r>
      <w:r>
        <w:rPr>
          <w:rFonts w:hint="eastAsia" w:asciiTheme="minorEastAsia" w:hAnsiTheme="minorEastAsia" w:eastAsia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rPr>
        <w:t>项目编号：</w:t>
      </w:r>
    </w:p>
    <w:tbl>
      <w:tblPr>
        <w:tblStyle w:val="4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2284"/>
        <w:gridCol w:w="2232"/>
        <w:gridCol w:w="1240"/>
        <w:gridCol w:w="1325"/>
        <w:gridCol w:w="1196"/>
        <w:gridCol w:w="957"/>
      </w:tblGrid>
      <w:tr w14:paraId="59758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63" w:type="pct"/>
            <w:noWrap w:val="0"/>
            <w:vAlign w:val="center"/>
          </w:tcPr>
          <w:p w14:paraId="1B9B086E">
            <w:pPr>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序号</w:t>
            </w:r>
          </w:p>
        </w:tc>
        <w:tc>
          <w:tcPr>
            <w:tcW w:w="1146" w:type="pct"/>
            <w:noWrap w:val="0"/>
            <w:vAlign w:val="center"/>
          </w:tcPr>
          <w:p w14:paraId="10F0F0B0">
            <w:pPr>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项目名称</w:t>
            </w:r>
          </w:p>
        </w:tc>
        <w:tc>
          <w:tcPr>
            <w:tcW w:w="1120" w:type="pct"/>
            <w:noWrap w:val="0"/>
            <w:vAlign w:val="center"/>
          </w:tcPr>
          <w:p w14:paraId="7A6C4466">
            <w:pPr>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采购单位</w:t>
            </w:r>
          </w:p>
        </w:tc>
        <w:tc>
          <w:tcPr>
            <w:tcW w:w="622" w:type="pct"/>
            <w:noWrap w:val="0"/>
            <w:vAlign w:val="center"/>
          </w:tcPr>
          <w:p w14:paraId="6F45DDF9">
            <w:pPr>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合同金额</w:t>
            </w:r>
          </w:p>
        </w:tc>
        <w:tc>
          <w:tcPr>
            <w:tcW w:w="665" w:type="pct"/>
            <w:noWrap w:val="0"/>
          </w:tcPr>
          <w:p w14:paraId="53ECABBF">
            <w:pPr>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合同签订</w:t>
            </w:r>
          </w:p>
          <w:p w14:paraId="749705A9">
            <w:pPr>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时间</w:t>
            </w:r>
          </w:p>
        </w:tc>
        <w:tc>
          <w:tcPr>
            <w:tcW w:w="600" w:type="pct"/>
            <w:noWrap w:val="0"/>
          </w:tcPr>
          <w:p w14:paraId="51954B08">
            <w:pPr>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联系人及电话</w:t>
            </w:r>
          </w:p>
        </w:tc>
        <w:tc>
          <w:tcPr>
            <w:tcW w:w="480" w:type="pct"/>
            <w:noWrap w:val="0"/>
            <w:vAlign w:val="center"/>
          </w:tcPr>
          <w:p w14:paraId="298C4D71">
            <w:pPr>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备注</w:t>
            </w:r>
          </w:p>
        </w:tc>
      </w:tr>
      <w:tr w14:paraId="0F59A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tcPr>
          <w:p w14:paraId="1550E6BB">
            <w:pPr>
              <w:spacing w:line="360" w:lineRule="auto"/>
              <w:jc w:val="center"/>
              <w:rPr>
                <w:rFonts w:hint="eastAsia" w:asciiTheme="minorEastAsia" w:hAnsiTheme="minorEastAsia" w:eastAsiaTheme="minorEastAsia"/>
                <w:color w:val="auto"/>
                <w:sz w:val="24"/>
                <w:highlight w:val="none"/>
              </w:rPr>
            </w:pPr>
          </w:p>
        </w:tc>
        <w:tc>
          <w:tcPr>
            <w:tcW w:w="1146" w:type="pct"/>
            <w:noWrap w:val="0"/>
          </w:tcPr>
          <w:p w14:paraId="591A24B0">
            <w:pPr>
              <w:spacing w:line="360" w:lineRule="auto"/>
              <w:jc w:val="center"/>
              <w:rPr>
                <w:rFonts w:hint="eastAsia" w:asciiTheme="minorEastAsia" w:hAnsiTheme="minorEastAsia" w:eastAsiaTheme="minorEastAsia"/>
                <w:color w:val="auto"/>
                <w:sz w:val="24"/>
                <w:highlight w:val="none"/>
              </w:rPr>
            </w:pPr>
          </w:p>
        </w:tc>
        <w:tc>
          <w:tcPr>
            <w:tcW w:w="1120" w:type="pct"/>
            <w:noWrap w:val="0"/>
          </w:tcPr>
          <w:p w14:paraId="3D86EC2F">
            <w:pPr>
              <w:spacing w:line="360" w:lineRule="auto"/>
              <w:ind w:firstLine="120"/>
              <w:rPr>
                <w:rFonts w:hint="eastAsia" w:asciiTheme="minorEastAsia" w:hAnsiTheme="minorEastAsia" w:eastAsiaTheme="minorEastAsia"/>
                <w:color w:val="auto"/>
                <w:sz w:val="24"/>
                <w:highlight w:val="none"/>
              </w:rPr>
            </w:pPr>
          </w:p>
        </w:tc>
        <w:tc>
          <w:tcPr>
            <w:tcW w:w="622" w:type="pct"/>
            <w:noWrap w:val="0"/>
          </w:tcPr>
          <w:p w14:paraId="57726A7E">
            <w:pPr>
              <w:spacing w:line="360" w:lineRule="auto"/>
              <w:jc w:val="center"/>
              <w:rPr>
                <w:rFonts w:hint="eastAsia" w:asciiTheme="minorEastAsia" w:hAnsiTheme="minorEastAsia" w:eastAsiaTheme="minorEastAsia"/>
                <w:color w:val="auto"/>
                <w:sz w:val="24"/>
                <w:highlight w:val="none"/>
              </w:rPr>
            </w:pPr>
          </w:p>
        </w:tc>
        <w:tc>
          <w:tcPr>
            <w:tcW w:w="665" w:type="pct"/>
            <w:noWrap w:val="0"/>
          </w:tcPr>
          <w:p w14:paraId="7C0A64E7">
            <w:pPr>
              <w:spacing w:line="360" w:lineRule="auto"/>
              <w:jc w:val="center"/>
              <w:rPr>
                <w:rFonts w:hint="eastAsia" w:asciiTheme="minorEastAsia" w:hAnsiTheme="minorEastAsia" w:eastAsiaTheme="minorEastAsia"/>
                <w:color w:val="auto"/>
                <w:sz w:val="24"/>
                <w:highlight w:val="none"/>
              </w:rPr>
            </w:pPr>
          </w:p>
        </w:tc>
        <w:tc>
          <w:tcPr>
            <w:tcW w:w="600" w:type="pct"/>
            <w:noWrap w:val="0"/>
          </w:tcPr>
          <w:p w14:paraId="5563A8DA">
            <w:pPr>
              <w:spacing w:line="360" w:lineRule="auto"/>
              <w:jc w:val="center"/>
              <w:rPr>
                <w:rFonts w:hint="eastAsia" w:asciiTheme="minorEastAsia" w:hAnsiTheme="minorEastAsia" w:eastAsiaTheme="minorEastAsia"/>
                <w:color w:val="auto"/>
                <w:sz w:val="24"/>
                <w:highlight w:val="none"/>
              </w:rPr>
            </w:pPr>
          </w:p>
        </w:tc>
        <w:tc>
          <w:tcPr>
            <w:tcW w:w="480" w:type="pct"/>
            <w:noWrap w:val="0"/>
          </w:tcPr>
          <w:p w14:paraId="3F295BE2">
            <w:pPr>
              <w:spacing w:line="360" w:lineRule="auto"/>
              <w:jc w:val="center"/>
              <w:rPr>
                <w:rFonts w:hint="eastAsia" w:asciiTheme="minorEastAsia" w:hAnsiTheme="minorEastAsia" w:eastAsiaTheme="minorEastAsia"/>
                <w:color w:val="auto"/>
                <w:sz w:val="24"/>
                <w:highlight w:val="none"/>
              </w:rPr>
            </w:pPr>
          </w:p>
        </w:tc>
      </w:tr>
      <w:tr w14:paraId="3C4D4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tcPr>
          <w:p w14:paraId="106776E7">
            <w:pPr>
              <w:spacing w:line="360" w:lineRule="auto"/>
              <w:jc w:val="center"/>
              <w:rPr>
                <w:rFonts w:hint="eastAsia" w:asciiTheme="minorEastAsia" w:hAnsiTheme="minorEastAsia" w:eastAsiaTheme="minorEastAsia"/>
                <w:color w:val="auto"/>
                <w:sz w:val="24"/>
                <w:highlight w:val="none"/>
              </w:rPr>
            </w:pPr>
          </w:p>
        </w:tc>
        <w:tc>
          <w:tcPr>
            <w:tcW w:w="1146" w:type="pct"/>
            <w:noWrap w:val="0"/>
          </w:tcPr>
          <w:p w14:paraId="561A9CBC">
            <w:pPr>
              <w:spacing w:line="360" w:lineRule="auto"/>
              <w:jc w:val="center"/>
              <w:rPr>
                <w:rFonts w:hint="eastAsia" w:asciiTheme="minorEastAsia" w:hAnsiTheme="minorEastAsia" w:eastAsiaTheme="minorEastAsia"/>
                <w:color w:val="auto"/>
                <w:sz w:val="24"/>
                <w:highlight w:val="none"/>
              </w:rPr>
            </w:pPr>
          </w:p>
        </w:tc>
        <w:tc>
          <w:tcPr>
            <w:tcW w:w="1120" w:type="pct"/>
            <w:noWrap w:val="0"/>
          </w:tcPr>
          <w:p w14:paraId="59DACA12">
            <w:pPr>
              <w:spacing w:line="360" w:lineRule="auto"/>
              <w:jc w:val="center"/>
              <w:rPr>
                <w:rFonts w:hint="eastAsia" w:asciiTheme="minorEastAsia" w:hAnsiTheme="minorEastAsia" w:eastAsiaTheme="minorEastAsia"/>
                <w:color w:val="auto"/>
                <w:sz w:val="24"/>
                <w:highlight w:val="none"/>
              </w:rPr>
            </w:pPr>
          </w:p>
        </w:tc>
        <w:tc>
          <w:tcPr>
            <w:tcW w:w="622" w:type="pct"/>
            <w:noWrap w:val="0"/>
          </w:tcPr>
          <w:p w14:paraId="62DEF595">
            <w:pPr>
              <w:spacing w:line="360" w:lineRule="auto"/>
              <w:jc w:val="center"/>
              <w:rPr>
                <w:rFonts w:hint="eastAsia" w:asciiTheme="minorEastAsia" w:hAnsiTheme="minorEastAsia" w:eastAsiaTheme="minorEastAsia"/>
                <w:color w:val="auto"/>
                <w:sz w:val="24"/>
                <w:highlight w:val="none"/>
              </w:rPr>
            </w:pPr>
          </w:p>
        </w:tc>
        <w:tc>
          <w:tcPr>
            <w:tcW w:w="665" w:type="pct"/>
            <w:noWrap w:val="0"/>
          </w:tcPr>
          <w:p w14:paraId="3E496F6A">
            <w:pPr>
              <w:spacing w:line="360" w:lineRule="auto"/>
              <w:jc w:val="center"/>
              <w:rPr>
                <w:rFonts w:hint="eastAsia" w:asciiTheme="minorEastAsia" w:hAnsiTheme="minorEastAsia" w:eastAsiaTheme="minorEastAsia"/>
                <w:color w:val="auto"/>
                <w:sz w:val="24"/>
                <w:highlight w:val="none"/>
              </w:rPr>
            </w:pPr>
          </w:p>
        </w:tc>
        <w:tc>
          <w:tcPr>
            <w:tcW w:w="600" w:type="pct"/>
            <w:noWrap w:val="0"/>
          </w:tcPr>
          <w:p w14:paraId="49ADCAC6">
            <w:pPr>
              <w:spacing w:line="360" w:lineRule="auto"/>
              <w:jc w:val="center"/>
              <w:rPr>
                <w:rFonts w:hint="eastAsia" w:asciiTheme="minorEastAsia" w:hAnsiTheme="minorEastAsia" w:eastAsiaTheme="minorEastAsia"/>
                <w:color w:val="auto"/>
                <w:sz w:val="24"/>
                <w:highlight w:val="none"/>
              </w:rPr>
            </w:pPr>
          </w:p>
        </w:tc>
        <w:tc>
          <w:tcPr>
            <w:tcW w:w="480" w:type="pct"/>
            <w:noWrap w:val="0"/>
          </w:tcPr>
          <w:p w14:paraId="375E4B1A">
            <w:pPr>
              <w:spacing w:line="360" w:lineRule="auto"/>
              <w:jc w:val="center"/>
              <w:rPr>
                <w:rFonts w:hint="eastAsia" w:asciiTheme="minorEastAsia" w:hAnsiTheme="minorEastAsia" w:eastAsiaTheme="minorEastAsia"/>
                <w:color w:val="auto"/>
                <w:sz w:val="24"/>
                <w:highlight w:val="none"/>
              </w:rPr>
            </w:pPr>
          </w:p>
        </w:tc>
      </w:tr>
      <w:tr w14:paraId="6530C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tcPr>
          <w:p w14:paraId="4F5767FB">
            <w:pPr>
              <w:spacing w:line="360" w:lineRule="auto"/>
              <w:jc w:val="center"/>
              <w:rPr>
                <w:rFonts w:hint="eastAsia" w:asciiTheme="minorEastAsia" w:hAnsiTheme="minorEastAsia" w:eastAsiaTheme="minorEastAsia"/>
                <w:color w:val="auto"/>
                <w:sz w:val="24"/>
                <w:highlight w:val="none"/>
              </w:rPr>
            </w:pPr>
          </w:p>
        </w:tc>
        <w:tc>
          <w:tcPr>
            <w:tcW w:w="1146" w:type="pct"/>
            <w:noWrap w:val="0"/>
          </w:tcPr>
          <w:p w14:paraId="4FF34D7E">
            <w:pPr>
              <w:spacing w:line="360" w:lineRule="auto"/>
              <w:jc w:val="center"/>
              <w:rPr>
                <w:rFonts w:hint="eastAsia" w:asciiTheme="minorEastAsia" w:hAnsiTheme="minorEastAsia" w:eastAsiaTheme="minorEastAsia"/>
                <w:color w:val="auto"/>
                <w:sz w:val="24"/>
                <w:highlight w:val="none"/>
              </w:rPr>
            </w:pPr>
          </w:p>
        </w:tc>
        <w:tc>
          <w:tcPr>
            <w:tcW w:w="1120" w:type="pct"/>
            <w:noWrap w:val="0"/>
          </w:tcPr>
          <w:p w14:paraId="265E7F72">
            <w:pPr>
              <w:spacing w:line="360" w:lineRule="auto"/>
              <w:jc w:val="center"/>
              <w:rPr>
                <w:rFonts w:hint="eastAsia" w:asciiTheme="minorEastAsia" w:hAnsiTheme="minorEastAsia" w:eastAsiaTheme="minorEastAsia"/>
                <w:color w:val="auto"/>
                <w:sz w:val="24"/>
                <w:highlight w:val="none"/>
              </w:rPr>
            </w:pPr>
          </w:p>
        </w:tc>
        <w:tc>
          <w:tcPr>
            <w:tcW w:w="622" w:type="pct"/>
            <w:noWrap w:val="0"/>
          </w:tcPr>
          <w:p w14:paraId="0E8AC614">
            <w:pPr>
              <w:spacing w:line="360" w:lineRule="auto"/>
              <w:jc w:val="center"/>
              <w:rPr>
                <w:rFonts w:hint="eastAsia" w:asciiTheme="minorEastAsia" w:hAnsiTheme="minorEastAsia" w:eastAsiaTheme="minorEastAsia"/>
                <w:color w:val="auto"/>
                <w:sz w:val="24"/>
                <w:highlight w:val="none"/>
              </w:rPr>
            </w:pPr>
          </w:p>
        </w:tc>
        <w:tc>
          <w:tcPr>
            <w:tcW w:w="665" w:type="pct"/>
            <w:noWrap w:val="0"/>
          </w:tcPr>
          <w:p w14:paraId="7E5AD5F5">
            <w:pPr>
              <w:spacing w:line="360" w:lineRule="auto"/>
              <w:jc w:val="center"/>
              <w:rPr>
                <w:rFonts w:hint="eastAsia" w:asciiTheme="minorEastAsia" w:hAnsiTheme="minorEastAsia" w:eastAsiaTheme="minorEastAsia"/>
                <w:color w:val="auto"/>
                <w:sz w:val="24"/>
                <w:highlight w:val="none"/>
              </w:rPr>
            </w:pPr>
          </w:p>
        </w:tc>
        <w:tc>
          <w:tcPr>
            <w:tcW w:w="600" w:type="pct"/>
            <w:noWrap w:val="0"/>
          </w:tcPr>
          <w:p w14:paraId="01AE7984">
            <w:pPr>
              <w:spacing w:line="360" w:lineRule="auto"/>
              <w:jc w:val="center"/>
              <w:rPr>
                <w:rFonts w:hint="eastAsia" w:asciiTheme="minorEastAsia" w:hAnsiTheme="minorEastAsia" w:eastAsiaTheme="minorEastAsia"/>
                <w:color w:val="auto"/>
                <w:sz w:val="24"/>
                <w:highlight w:val="none"/>
              </w:rPr>
            </w:pPr>
          </w:p>
        </w:tc>
        <w:tc>
          <w:tcPr>
            <w:tcW w:w="480" w:type="pct"/>
            <w:noWrap w:val="0"/>
          </w:tcPr>
          <w:p w14:paraId="7BACF373">
            <w:pPr>
              <w:spacing w:line="360" w:lineRule="auto"/>
              <w:jc w:val="center"/>
              <w:rPr>
                <w:rFonts w:hint="eastAsia" w:asciiTheme="minorEastAsia" w:hAnsiTheme="minorEastAsia" w:eastAsiaTheme="minorEastAsia"/>
                <w:color w:val="auto"/>
                <w:sz w:val="24"/>
                <w:highlight w:val="none"/>
              </w:rPr>
            </w:pPr>
          </w:p>
        </w:tc>
      </w:tr>
      <w:tr w14:paraId="1DB87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tcPr>
          <w:p w14:paraId="5EB85212">
            <w:pPr>
              <w:spacing w:line="360" w:lineRule="auto"/>
              <w:jc w:val="center"/>
              <w:rPr>
                <w:rFonts w:hint="eastAsia" w:asciiTheme="minorEastAsia" w:hAnsiTheme="minorEastAsia" w:eastAsiaTheme="minorEastAsia"/>
                <w:color w:val="auto"/>
                <w:sz w:val="24"/>
                <w:highlight w:val="none"/>
              </w:rPr>
            </w:pPr>
          </w:p>
        </w:tc>
        <w:tc>
          <w:tcPr>
            <w:tcW w:w="1146" w:type="pct"/>
            <w:noWrap w:val="0"/>
          </w:tcPr>
          <w:p w14:paraId="21E49271">
            <w:pPr>
              <w:spacing w:line="360" w:lineRule="auto"/>
              <w:jc w:val="center"/>
              <w:rPr>
                <w:rFonts w:hint="eastAsia" w:asciiTheme="minorEastAsia" w:hAnsiTheme="minorEastAsia" w:eastAsiaTheme="minorEastAsia"/>
                <w:color w:val="auto"/>
                <w:sz w:val="24"/>
                <w:highlight w:val="none"/>
              </w:rPr>
            </w:pPr>
          </w:p>
        </w:tc>
        <w:tc>
          <w:tcPr>
            <w:tcW w:w="1120" w:type="pct"/>
            <w:noWrap w:val="0"/>
          </w:tcPr>
          <w:p w14:paraId="0D9F327D">
            <w:pPr>
              <w:spacing w:line="360" w:lineRule="auto"/>
              <w:jc w:val="center"/>
              <w:rPr>
                <w:rFonts w:hint="eastAsia" w:asciiTheme="minorEastAsia" w:hAnsiTheme="minorEastAsia" w:eastAsiaTheme="minorEastAsia"/>
                <w:color w:val="auto"/>
                <w:sz w:val="24"/>
                <w:highlight w:val="none"/>
              </w:rPr>
            </w:pPr>
          </w:p>
        </w:tc>
        <w:tc>
          <w:tcPr>
            <w:tcW w:w="622" w:type="pct"/>
            <w:noWrap w:val="0"/>
          </w:tcPr>
          <w:p w14:paraId="1D14A06A">
            <w:pPr>
              <w:spacing w:line="360" w:lineRule="auto"/>
              <w:jc w:val="center"/>
              <w:rPr>
                <w:rFonts w:hint="eastAsia" w:asciiTheme="minorEastAsia" w:hAnsiTheme="minorEastAsia" w:eastAsiaTheme="minorEastAsia"/>
                <w:color w:val="auto"/>
                <w:sz w:val="24"/>
                <w:highlight w:val="none"/>
              </w:rPr>
            </w:pPr>
          </w:p>
        </w:tc>
        <w:tc>
          <w:tcPr>
            <w:tcW w:w="665" w:type="pct"/>
            <w:noWrap w:val="0"/>
          </w:tcPr>
          <w:p w14:paraId="4E777DBC">
            <w:pPr>
              <w:spacing w:line="360" w:lineRule="auto"/>
              <w:jc w:val="center"/>
              <w:rPr>
                <w:rFonts w:hint="eastAsia" w:asciiTheme="minorEastAsia" w:hAnsiTheme="minorEastAsia" w:eastAsiaTheme="minorEastAsia"/>
                <w:color w:val="auto"/>
                <w:sz w:val="24"/>
                <w:highlight w:val="none"/>
              </w:rPr>
            </w:pPr>
          </w:p>
        </w:tc>
        <w:tc>
          <w:tcPr>
            <w:tcW w:w="600" w:type="pct"/>
            <w:noWrap w:val="0"/>
          </w:tcPr>
          <w:p w14:paraId="3D57E343">
            <w:pPr>
              <w:spacing w:line="360" w:lineRule="auto"/>
              <w:jc w:val="center"/>
              <w:rPr>
                <w:rFonts w:hint="eastAsia" w:asciiTheme="minorEastAsia" w:hAnsiTheme="minorEastAsia" w:eastAsiaTheme="minorEastAsia"/>
                <w:color w:val="auto"/>
                <w:sz w:val="24"/>
                <w:highlight w:val="none"/>
              </w:rPr>
            </w:pPr>
          </w:p>
        </w:tc>
        <w:tc>
          <w:tcPr>
            <w:tcW w:w="480" w:type="pct"/>
            <w:noWrap w:val="0"/>
          </w:tcPr>
          <w:p w14:paraId="66282961">
            <w:pPr>
              <w:spacing w:line="360" w:lineRule="auto"/>
              <w:jc w:val="center"/>
              <w:rPr>
                <w:rFonts w:hint="eastAsia" w:asciiTheme="minorEastAsia" w:hAnsiTheme="minorEastAsia" w:eastAsiaTheme="minorEastAsia"/>
                <w:color w:val="auto"/>
                <w:sz w:val="24"/>
                <w:highlight w:val="none"/>
              </w:rPr>
            </w:pPr>
          </w:p>
        </w:tc>
      </w:tr>
      <w:tr w14:paraId="7E26B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tcPr>
          <w:p w14:paraId="2F1745D0">
            <w:pPr>
              <w:spacing w:line="360" w:lineRule="auto"/>
              <w:jc w:val="center"/>
              <w:rPr>
                <w:rFonts w:hint="eastAsia" w:asciiTheme="minorEastAsia" w:hAnsiTheme="minorEastAsia" w:eastAsiaTheme="minorEastAsia"/>
                <w:color w:val="auto"/>
                <w:sz w:val="24"/>
                <w:highlight w:val="none"/>
              </w:rPr>
            </w:pPr>
          </w:p>
        </w:tc>
        <w:tc>
          <w:tcPr>
            <w:tcW w:w="1146" w:type="pct"/>
            <w:noWrap w:val="0"/>
          </w:tcPr>
          <w:p w14:paraId="4C670101">
            <w:pPr>
              <w:spacing w:line="360" w:lineRule="auto"/>
              <w:jc w:val="center"/>
              <w:rPr>
                <w:rFonts w:hint="eastAsia" w:asciiTheme="minorEastAsia" w:hAnsiTheme="minorEastAsia" w:eastAsiaTheme="minorEastAsia"/>
                <w:color w:val="auto"/>
                <w:sz w:val="24"/>
                <w:highlight w:val="none"/>
              </w:rPr>
            </w:pPr>
          </w:p>
        </w:tc>
        <w:tc>
          <w:tcPr>
            <w:tcW w:w="1120" w:type="pct"/>
            <w:noWrap w:val="0"/>
          </w:tcPr>
          <w:p w14:paraId="01BC26AA">
            <w:pPr>
              <w:spacing w:line="360" w:lineRule="auto"/>
              <w:jc w:val="center"/>
              <w:rPr>
                <w:rFonts w:hint="eastAsia" w:asciiTheme="minorEastAsia" w:hAnsiTheme="minorEastAsia" w:eastAsiaTheme="minorEastAsia"/>
                <w:color w:val="auto"/>
                <w:sz w:val="24"/>
                <w:highlight w:val="none"/>
              </w:rPr>
            </w:pPr>
          </w:p>
        </w:tc>
        <w:tc>
          <w:tcPr>
            <w:tcW w:w="622" w:type="pct"/>
            <w:noWrap w:val="0"/>
          </w:tcPr>
          <w:p w14:paraId="7F59B379">
            <w:pPr>
              <w:spacing w:line="360" w:lineRule="auto"/>
              <w:jc w:val="center"/>
              <w:rPr>
                <w:rFonts w:hint="eastAsia" w:asciiTheme="minorEastAsia" w:hAnsiTheme="minorEastAsia" w:eastAsiaTheme="minorEastAsia"/>
                <w:color w:val="auto"/>
                <w:sz w:val="24"/>
                <w:highlight w:val="none"/>
              </w:rPr>
            </w:pPr>
          </w:p>
        </w:tc>
        <w:tc>
          <w:tcPr>
            <w:tcW w:w="665" w:type="pct"/>
            <w:noWrap w:val="0"/>
          </w:tcPr>
          <w:p w14:paraId="56B130D7">
            <w:pPr>
              <w:spacing w:line="360" w:lineRule="auto"/>
              <w:jc w:val="center"/>
              <w:rPr>
                <w:rFonts w:hint="eastAsia" w:asciiTheme="minorEastAsia" w:hAnsiTheme="minorEastAsia" w:eastAsiaTheme="minorEastAsia"/>
                <w:color w:val="auto"/>
                <w:sz w:val="24"/>
                <w:highlight w:val="none"/>
              </w:rPr>
            </w:pPr>
          </w:p>
        </w:tc>
        <w:tc>
          <w:tcPr>
            <w:tcW w:w="600" w:type="pct"/>
            <w:noWrap w:val="0"/>
          </w:tcPr>
          <w:p w14:paraId="1B835388">
            <w:pPr>
              <w:spacing w:line="360" w:lineRule="auto"/>
              <w:jc w:val="center"/>
              <w:rPr>
                <w:rFonts w:hint="eastAsia" w:asciiTheme="minorEastAsia" w:hAnsiTheme="minorEastAsia" w:eastAsiaTheme="minorEastAsia"/>
                <w:color w:val="auto"/>
                <w:sz w:val="24"/>
                <w:highlight w:val="none"/>
              </w:rPr>
            </w:pPr>
          </w:p>
        </w:tc>
        <w:tc>
          <w:tcPr>
            <w:tcW w:w="480" w:type="pct"/>
            <w:noWrap w:val="0"/>
          </w:tcPr>
          <w:p w14:paraId="5080B3B7">
            <w:pPr>
              <w:spacing w:line="360" w:lineRule="auto"/>
              <w:jc w:val="center"/>
              <w:rPr>
                <w:rFonts w:hint="eastAsia" w:asciiTheme="minorEastAsia" w:hAnsiTheme="minorEastAsia" w:eastAsiaTheme="minorEastAsia"/>
                <w:color w:val="auto"/>
                <w:sz w:val="24"/>
                <w:highlight w:val="none"/>
              </w:rPr>
            </w:pPr>
          </w:p>
        </w:tc>
      </w:tr>
      <w:tr w14:paraId="70F76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noWrap w:val="0"/>
          </w:tcPr>
          <w:p w14:paraId="16B2C9CB">
            <w:pPr>
              <w:spacing w:line="360" w:lineRule="auto"/>
              <w:jc w:val="center"/>
              <w:rPr>
                <w:rFonts w:hint="eastAsia" w:asciiTheme="minorEastAsia" w:hAnsiTheme="minorEastAsia" w:eastAsiaTheme="minorEastAsia"/>
                <w:color w:val="auto"/>
                <w:sz w:val="24"/>
                <w:highlight w:val="none"/>
              </w:rPr>
            </w:pPr>
          </w:p>
        </w:tc>
        <w:tc>
          <w:tcPr>
            <w:tcW w:w="1146" w:type="pct"/>
            <w:noWrap w:val="0"/>
          </w:tcPr>
          <w:p w14:paraId="760E23ED">
            <w:pPr>
              <w:spacing w:line="360" w:lineRule="auto"/>
              <w:jc w:val="center"/>
              <w:rPr>
                <w:rFonts w:hint="eastAsia" w:asciiTheme="minorEastAsia" w:hAnsiTheme="minorEastAsia" w:eastAsiaTheme="minorEastAsia"/>
                <w:color w:val="auto"/>
                <w:sz w:val="24"/>
                <w:highlight w:val="none"/>
              </w:rPr>
            </w:pPr>
          </w:p>
        </w:tc>
        <w:tc>
          <w:tcPr>
            <w:tcW w:w="1120" w:type="pct"/>
            <w:noWrap w:val="0"/>
          </w:tcPr>
          <w:p w14:paraId="2DB8C968">
            <w:pPr>
              <w:spacing w:line="360" w:lineRule="auto"/>
              <w:jc w:val="center"/>
              <w:rPr>
                <w:rFonts w:hint="eastAsia" w:asciiTheme="minorEastAsia" w:hAnsiTheme="minorEastAsia" w:eastAsiaTheme="minorEastAsia"/>
                <w:color w:val="auto"/>
                <w:sz w:val="24"/>
                <w:highlight w:val="none"/>
              </w:rPr>
            </w:pPr>
          </w:p>
        </w:tc>
        <w:tc>
          <w:tcPr>
            <w:tcW w:w="622" w:type="pct"/>
            <w:noWrap w:val="0"/>
          </w:tcPr>
          <w:p w14:paraId="5F2A1F9B">
            <w:pPr>
              <w:spacing w:line="360" w:lineRule="auto"/>
              <w:jc w:val="center"/>
              <w:rPr>
                <w:rFonts w:hint="eastAsia" w:asciiTheme="minorEastAsia" w:hAnsiTheme="minorEastAsia" w:eastAsiaTheme="minorEastAsia"/>
                <w:color w:val="auto"/>
                <w:sz w:val="24"/>
                <w:highlight w:val="none"/>
              </w:rPr>
            </w:pPr>
          </w:p>
        </w:tc>
        <w:tc>
          <w:tcPr>
            <w:tcW w:w="665" w:type="pct"/>
            <w:noWrap w:val="0"/>
          </w:tcPr>
          <w:p w14:paraId="3E34CA5E">
            <w:pPr>
              <w:spacing w:line="360" w:lineRule="auto"/>
              <w:jc w:val="center"/>
              <w:rPr>
                <w:rFonts w:hint="eastAsia" w:asciiTheme="minorEastAsia" w:hAnsiTheme="minorEastAsia" w:eastAsiaTheme="minorEastAsia"/>
                <w:color w:val="auto"/>
                <w:sz w:val="24"/>
                <w:highlight w:val="none"/>
              </w:rPr>
            </w:pPr>
          </w:p>
        </w:tc>
        <w:tc>
          <w:tcPr>
            <w:tcW w:w="600" w:type="pct"/>
            <w:noWrap w:val="0"/>
          </w:tcPr>
          <w:p w14:paraId="41B13590">
            <w:pPr>
              <w:spacing w:line="360" w:lineRule="auto"/>
              <w:jc w:val="center"/>
              <w:rPr>
                <w:rFonts w:hint="eastAsia" w:asciiTheme="minorEastAsia" w:hAnsiTheme="minorEastAsia" w:eastAsiaTheme="minorEastAsia"/>
                <w:color w:val="auto"/>
                <w:sz w:val="24"/>
                <w:highlight w:val="none"/>
              </w:rPr>
            </w:pPr>
          </w:p>
        </w:tc>
        <w:tc>
          <w:tcPr>
            <w:tcW w:w="480" w:type="pct"/>
            <w:noWrap w:val="0"/>
          </w:tcPr>
          <w:p w14:paraId="2FDE0F94">
            <w:pPr>
              <w:spacing w:line="360" w:lineRule="auto"/>
              <w:jc w:val="center"/>
              <w:rPr>
                <w:rFonts w:hint="eastAsia" w:asciiTheme="minorEastAsia" w:hAnsiTheme="minorEastAsia" w:eastAsiaTheme="minorEastAsia"/>
                <w:color w:val="auto"/>
                <w:sz w:val="24"/>
                <w:highlight w:val="none"/>
              </w:rPr>
            </w:pPr>
          </w:p>
        </w:tc>
      </w:tr>
    </w:tbl>
    <w:p w14:paraId="59145EC7">
      <w:pPr>
        <w:spacing w:line="360" w:lineRule="auto"/>
        <w:rPr>
          <w:rFonts w:hint="eastAsia" w:asciiTheme="minorEastAsia" w:hAnsiTheme="minorEastAsia" w:eastAsiaTheme="minorEastAsia"/>
          <w:b/>
          <w:color w:val="auto"/>
          <w:sz w:val="24"/>
          <w:highlight w:val="none"/>
        </w:rPr>
      </w:pPr>
      <w:bookmarkStart w:id="91" w:name="_Hlk66784249"/>
    </w:p>
    <w:p w14:paraId="11639547">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说明：投标人如实填写业绩情况表，</w:t>
      </w:r>
      <w:bookmarkStart w:id="92" w:name="_Hlk66378132"/>
      <w:r>
        <w:rPr>
          <w:rFonts w:hint="eastAsia" w:asciiTheme="minorEastAsia" w:hAnsiTheme="minorEastAsia" w:eastAsiaTheme="minorEastAsia"/>
          <w:b/>
          <w:color w:val="auto"/>
          <w:sz w:val="24"/>
          <w:szCs w:val="24"/>
          <w:highlight w:val="none"/>
        </w:rPr>
        <w:t>并根据采购文件要求附业绩证明材料。</w:t>
      </w:r>
      <w:bookmarkEnd w:id="91"/>
      <w:bookmarkEnd w:id="92"/>
    </w:p>
    <w:p w14:paraId="71CC64D2">
      <w:pPr>
        <w:widowControl/>
        <w:shd w:val="clear" w:color="auto" w:fill="FFFFFF"/>
        <w:spacing w:line="360" w:lineRule="auto"/>
        <w:jc w:val="left"/>
        <w:rPr>
          <w:rFonts w:hint="eastAsia" w:cs="宋体" w:asciiTheme="minorEastAsia" w:hAnsiTheme="minorEastAsia" w:eastAsiaTheme="minorEastAsia"/>
          <w:color w:val="auto"/>
          <w:sz w:val="24"/>
          <w:szCs w:val="24"/>
          <w:highlight w:val="none"/>
        </w:rPr>
      </w:pPr>
    </w:p>
    <w:p w14:paraId="549ADD79">
      <w:pPr>
        <w:widowControl/>
        <w:shd w:val="clear" w:color="auto" w:fill="FFFFFF"/>
        <w:spacing w:line="360" w:lineRule="auto"/>
        <w:jc w:val="left"/>
        <w:rPr>
          <w:rFonts w:hint="eastAsia" w:cs="宋体" w:asciiTheme="minorEastAsia" w:hAnsiTheme="minorEastAsia" w:eastAsiaTheme="minorEastAsia"/>
          <w:color w:val="auto"/>
          <w:sz w:val="24"/>
          <w:szCs w:val="24"/>
          <w:highlight w:val="none"/>
        </w:rPr>
      </w:pPr>
    </w:p>
    <w:p w14:paraId="63017C13">
      <w:pPr>
        <w:widowControl/>
        <w:shd w:val="clear" w:color="auto" w:fill="FFFFFF"/>
        <w:spacing w:line="360" w:lineRule="auto"/>
        <w:jc w:val="left"/>
        <w:rPr>
          <w:rFonts w:hint="eastAsia" w:cs="宋体" w:asciiTheme="minorEastAsia" w:hAnsiTheme="minorEastAsia" w:eastAsiaTheme="minorEastAsia"/>
          <w:color w:val="auto"/>
          <w:sz w:val="24"/>
          <w:szCs w:val="24"/>
          <w:highlight w:val="none"/>
        </w:rPr>
      </w:pPr>
    </w:p>
    <w:p w14:paraId="68938EE8">
      <w:pPr>
        <w:widowControl/>
        <w:shd w:val="clear" w:color="auto" w:fill="FFFFFF"/>
        <w:spacing w:line="360" w:lineRule="auto"/>
        <w:jc w:val="lef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投标人（加盖电子公章）：</w:t>
      </w:r>
      <w:r>
        <w:rPr>
          <w:rFonts w:asciiTheme="minorEastAsia" w:hAnsiTheme="minorEastAsia" w:eastAsiaTheme="minorEastAsia"/>
          <w:color w:val="auto"/>
          <w:sz w:val="24"/>
          <w:szCs w:val="24"/>
          <w:highlight w:val="none"/>
          <w:u w:val="single"/>
        </w:rPr>
        <w:t>                      </w:t>
      </w:r>
    </w:p>
    <w:p w14:paraId="34F3DB97">
      <w:pPr>
        <w:widowControl/>
        <w:spacing w:line="360" w:lineRule="auto"/>
        <w:rPr>
          <w:rFonts w:hint="eastAsia" w:asciiTheme="minorEastAsia" w:hAnsiTheme="minorEastAsia" w:eastAsiaTheme="minorEastAsia"/>
          <w:b/>
          <w:bCs/>
          <w:color w:val="auto"/>
          <w:szCs w:val="21"/>
          <w:highlight w:val="none"/>
        </w:rPr>
      </w:pPr>
    </w:p>
    <w:p w14:paraId="5FED4F7F">
      <w:pPr>
        <w:widowControl/>
        <w:spacing w:line="360" w:lineRule="auto"/>
        <w:rPr>
          <w:rFonts w:hint="eastAsia" w:asciiTheme="minorEastAsia" w:hAnsiTheme="minorEastAsia" w:eastAsiaTheme="minorEastAsia"/>
          <w:b/>
          <w:bCs/>
          <w:color w:val="auto"/>
          <w:szCs w:val="21"/>
          <w:highlight w:val="none"/>
        </w:rPr>
      </w:pPr>
    </w:p>
    <w:p w14:paraId="7D74C18B">
      <w:pPr>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p>
    <w:p w14:paraId="15CDD7A6">
      <w:pPr>
        <w:pStyle w:val="4"/>
        <w:spacing w:line="360" w:lineRule="auto"/>
        <w:rPr>
          <w:rFonts w:hint="eastAsia" w:asciiTheme="minorEastAsia" w:hAnsiTheme="minorEastAsia" w:eastAsiaTheme="minorEastAsia"/>
          <w:color w:val="auto"/>
          <w:highlight w:val="none"/>
        </w:rPr>
      </w:pPr>
      <w:bookmarkStart w:id="93" w:name="_Toc66375433"/>
      <w:bookmarkStart w:id="94" w:name="_Toc43917780"/>
      <w:r>
        <w:rPr>
          <w:rFonts w:hint="eastAsia" w:asciiTheme="minorEastAsia" w:hAnsiTheme="minorEastAsia" w:eastAsiaTheme="minorEastAsia"/>
          <w:color w:val="auto"/>
          <w:highlight w:val="none"/>
        </w:rPr>
        <w:t>附件九、企业声明函</w:t>
      </w:r>
      <w:bookmarkEnd w:id="93"/>
      <w:bookmarkEnd w:id="94"/>
    </w:p>
    <w:p w14:paraId="0DE57336">
      <w:pPr>
        <w:spacing w:line="360" w:lineRule="auto"/>
        <w:jc w:val="center"/>
        <w:rPr>
          <w:rFonts w:hint="eastAsia" w:ascii="宋体" w:hAnsi="宋体" w:cs="Arial"/>
          <w:b/>
          <w:bCs/>
          <w:color w:val="auto"/>
          <w:sz w:val="28"/>
          <w:szCs w:val="28"/>
          <w:highlight w:val="none"/>
        </w:rPr>
      </w:pPr>
      <w:bookmarkStart w:id="95" w:name="_Hlk84581158"/>
      <w:bookmarkStart w:id="96" w:name="OLE_LINK14"/>
      <w:bookmarkStart w:id="97" w:name="OLE_LINK13"/>
      <w:r>
        <w:rPr>
          <w:rFonts w:hint="eastAsia" w:ascii="宋体" w:hAnsi="宋体" w:cs="Arial"/>
          <w:b/>
          <w:bCs/>
          <w:color w:val="auto"/>
          <w:sz w:val="28"/>
          <w:szCs w:val="28"/>
          <w:highlight w:val="none"/>
        </w:rPr>
        <w:t>中小企业声明函</w:t>
      </w:r>
    </w:p>
    <w:p w14:paraId="69B3B52F">
      <w:pPr>
        <w:widowControl/>
        <w:spacing w:line="440" w:lineRule="exact"/>
        <w:ind w:firstLine="420"/>
        <w:jc w:val="left"/>
        <w:rPr>
          <w:rFonts w:hint="eastAsia" w:ascii="宋体" w:hAnsi="宋体" w:cs="Arial"/>
          <w:color w:val="auto"/>
          <w:sz w:val="24"/>
          <w:szCs w:val="24"/>
          <w:highlight w:val="none"/>
        </w:rPr>
      </w:pPr>
      <w:r>
        <w:rPr>
          <w:rFonts w:hint="eastAsia" w:ascii="宋体" w:hAnsi="宋体" w:cs="Arial"/>
          <w:color w:val="auto"/>
          <w:sz w:val="24"/>
          <w:szCs w:val="24"/>
          <w:highlight w:val="none"/>
        </w:rPr>
        <w:t>本公司（联合体）郑重声明，根据《政府采购促进中小企业发展管理办法》（财库〔2020 ） 46号）的规定，本公司 （联合体）参加</w:t>
      </w:r>
      <w:r>
        <w:rPr>
          <w:rFonts w:hint="eastAsia" w:ascii="宋体" w:hAnsi="宋体" w:cs="Arial"/>
          <w:color w:val="auto"/>
          <w:sz w:val="24"/>
          <w:szCs w:val="24"/>
          <w:highlight w:val="none"/>
          <w:u w:val="single"/>
        </w:rPr>
        <w:t>（单位名称）</w:t>
      </w:r>
      <w:r>
        <w:rPr>
          <w:rFonts w:hint="eastAsia" w:ascii="宋体" w:hAnsi="宋体" w:cs="Arial"/>
          <w:color w:val="auto"/>
          <w:sz w:val="24"/>
          <w:szCs w:val="24"/>
          <w:highlight w:val="none"/>
        </w:rPr>
        <w:t>的</w:t>
      </w:r>
      <w:r>
        <w:rPr>
          <w:rFonts w:hint="eastAsia" w:ascii="宋体" w:hAnsi="宋体" w:cs="Arial"/>
          <w:color w:val="auto"/>
          <w:sz w:val="24"/>
          <w:szCs w:val="24"/>
          <w:highlight w:val="none"/>
          <w:u w:val="single"/>
        </w:rPr>
        <w:t>（项目名称）</w:t>
      </w:r>
      <w:r>
        <w:rPr>
          <w:rFonts w:hint="eastAsia" w:ascii="宋体" w:hAnsi="宋体" w:cs="Arial"/>
          <w:color w:val="auto"/>
          <w:sz w:val="24"/>
          <w:szCs w:val="24"/>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2E35BD05">
      <w:pPr>
        <w:widowControl/>
        <w:spacing w:line="440" w:lineRule="exact"/>
        <w:ind w:firstLine="420"/>
        <w:jc w:val="left"/>
        <w:rPr>
          <w:rFonts w:hint="eastAsia" w:ascii="宋体" w:hAnsi="宋体" w:cs="Arial"/>
          <w:color w:val="auto"/>
          <w:sz w:val="24"/>
          <w:szCs w:val="24"/>
          <w:highlight w:val="none"/>
        </w:rPr>
      </w:pPr>
      <w:r>
        <w:rPr>
          <w:rFonts w:hint="eastAsia" w:ascii="宋体" w:hAnsi="宋体" w:cs="Arial"/>
          <w:color w:val="auto"/>
          <w:sz w:val="24"/>
          <w:szCs w:val="24"/>
          <w:highlight w:val="none"/>
        </w:rPr>
        <w:t>1</w:t>
      </w:r>
      <w:r>
        <w:rPr>
          <w:rFonts w:ascii="宋体" w:hAnsi="宋体" w:cs="Arial"/>
          <w:color w:val="auto"/>
          <w:sz w:val="24"/>
          <w:szCs w:val="24"/>
          <w:highlight w:val="none"/>
        </w:rPr>
        <w:t>.</w:t>
      </w:r>
      <w:r>
        <w:rPr>
          <w:rFonts w:hint="eastAsia" w:ascii="宋体" w:hAnsi="宋体" w:cs="Arial"/>
          <w:color w:val="auto"/>
          <w:sz w:val="24"/>
          <w:szCs w:val="24"/>
          <w:highlight w:val="none"/>
          <w:u w:val="single"/>
        </w:rPr>
        <w:t>（标的名称）</w:t>
      </w:r>
      <w:r>
        <w:rPr>
          <w:rFonts w:hint="eastAsia" w:ascii="宋体" w:hAnsi="宋体" w:cs="Arial"/>
          <w:color w:val="auto"/>
          <w:sz w:val="24"/>
          <w:szCs w:val="24"/>
          <w:highlight w:val="none"/>
        </w:rPr>
        <w:t>,属于</w:t>
      </w:r>
      <w:r>
        <w:rPr>
          <w:rFonts w:hint="eastAsia" w:ascii="宋体" w:hAnsi="宋体" w:cs="Arial"/>
          <w:color w:val="auto"/>
          <w:sz w:val="24"/>
          <w:szCs w:val="24"/>
          <w:highlight w:val="none"/>
          <w:u w:val="single"/>
        </w:rPr>
        <w:t>（</w:t>
      </w:r>
      <w:r>
        <w:rPr>
          <w:rFonts w:hint="eastAsia" w:ascii="宋体" w:hAnsi="宋体" w:cs="Arial"/>
          <w:color w:val="auto"/>
          <w:sz w:val="24"/>
          <w:szCs w:val="24"/>
          <w:highlight w:val="none"/>
          <w:u w:val="single"/>
          <w:lang w:eastAsia="zh-CN"/>
        </w:rPr>
        <w:t>环境治理业</w:t>
      </w:r>
      <w:r>
        <w:rPr>
          <w:rFonts w:hint="eastAsia" w:ascii="宋体" w:hAnsi="宋体" w:cs="Arial"/>
          <w:color w:val="auto"/>
          <w:sz w:val="24"/>
          <w:szCs w:val="24"/>
          <w:highlight w:val="none"/>
          <w:u w:val="single"/>
        </w:rPr>
        <w:t>）</w:t>
      </w:r>
      <w:r>
        <w:rPr>
          <w:rFonts w:hint="eastAsia" w:ascii="宋体" w:hAnsi="宋体" w:cs="Arial"/>
          <w:color w:val="auto"/>
          <w:sz w:val="24"/>
          <w:szCs w:val="24"/>
          <w:highlight w:val="none"/>
        </w:rPr>
        <w:t>, 承建（承接）企业为</w:t>
      </w:r>
      <w:r>
        <w:rPr>
          <w:rFonts w:hint="eastAsia" w:ascii="宋体" w:hAnsi="宋体" w:cs="Arial"/>
          <w:color w:val="auto"/>
          <w:sz w:val="24"/>
          <w:szCs w:val="24"/>
          <w:highlight w:val="none"/>
          <w:u w:val="single"/>
        </w:rPr>
        <w:t>（企业名称）</w:t>
      </w:r>
      <w:r>
        <w:rPr>
          <w:rFonts w:hint="eastAsia" w:ascii="宋体" w:hAnsi="宋体" w:cs="Arial"/>
          <w:color w:val="auto"/>
          <w:sz w:val="24"/>
          <w:szCs w:val="24"/>
          <w:highlight w:val="none"/>
        </w:rPr>
        <w:t>,从业人员</w:t>
      </w:r>
      <w:r>
        <w:rPr>
          <w:rFonts w:hint="eastAsia" w:ascii="宋体" w:hAnsi="宋体" w:cs="Arial"/>
          <w:color w:val="auto"/>
          <w:sz w:val="24"/>
          <w:szCs w:val="24"/>
          <w:highlight w:val="none"/>
          <w:u w:val="single"/>
        </w:rPr>
        <w:tab/>
      </w:r>
      <w:r>
        <w:rPr>
          <w:rFonts w:hint="eastAsia" w:ascii="宋体" w:hAnsi="宋体" w:cs="Arial"/>
          <w:color w:val="auto"/>
          <w:sz w:val="24"/>
          <w:szCs w:val="24"/>
          <w:highlight w:val="none"/>
          <w:u w:val="single"/>
        </w:rPr>
        <w:t>人</w:t>
      </w:r>
      <w:r>
        <w:rPr>
          <w:rFonts w:hint="eastAsia" w:ascii="宋体" w:hAnsi="宋体" w:cs="Arial"/>
          <w:color w:val="auto"/>
          <w:sz w:val="24"/>
          <w:szCs w:val="24"/>
          <w:highlight w:val="none"/>
        </w:rPr>
        <w:t>，营业收入为</w:t>
      </w:r>
      <w:r>
        <w:rPr>
          <w:rFonts w:hint="eastAsia" w:ascii="宋体" w:hAnsi="宋体" w:cs="Arial"/>
          <w:color w:val="auto"/>
          <w:sz w:val="24"/>
          <w:szCs w:val="24"/>
          <w:highlight w:val="none"/>
          <w:u w:val="single"/>
        </w:rPr>
        <w:tab/>
      </w:r>
      <w:r>
        <w:rPr>
          <w:rFonts w:hint="eastAsia" w:ascii="宋体" w:hAnsi="宋体" w:cs="Arial"/>
          <w:color w:val="auto"/>
          <w:sz w:val="24"/>
          <w:szCs w:val="24"/>
          <w:highlight w:val="none"/>
          <w:u w:val="single"/>
        </w:rPr>
        <w:t xml:space="preserve">   </w:t>
      </w:r>
      <w:r>
        <w:rPr>
          <w:rFonts w:hint="eastAsia" w:ascii="宋体" w:hAnsi="宋体" w:cs="Arial"/>
          <w:color w:val="auto"/>
          <w:sz w:val="24"/>
          <w:szCs w:val="24"/>
          <w:highlight w:val="none"/>
        </w:rPr>
        <w:t>万元，资产总额为</w:t>
      </w:r>
      <w:r>
        <w:rPr>
          <w:rFonts w:hint="eastAsia" w:ascii="宋体" w:hAnsi="宋体" w:cs="Arial"/>
          <w:color w:val="auto"/>
          <w:sz w:val="24"/>
          <w:szCs w:val="24"/>
          <w:highlight w:val="none"/>
          <w:u w:val="single"/>
        </w:rPr>
        <w:tab/>
      </w:r>
      <w:r>
        <w:rPr>
          <w:rFonts w:hint="eastAsia" w:ascii="宋体" w:hAnsi="宋体" w:cs="Arial"/>
          <w:color w:val="auto"/>
          <w:sz w:val="24"/>
          <w:szCs w:val="24"/>
          <w:highlight w:val="none"/>
          <w:u w:val="single"/>
        </w:rPr>
        <w:t xml:space="preserve">     </w:t>
      </w:r>
      <w:r>
        <w:rPr>
          <w:rFonts w:hint="eastAsia" w:ascii="宋体" w:hAnsi="宋体" w:cs="Arial"/>
          <w:color w:val="auto"/>
          <w:sz w:val="24"/>
          <w:szCs w:val="24"/>
          <w:highlight w:val="none"/>
        </w:rPr>
        <w:t>万元，属于</w:t>
      </w:r>
      <w:r>
        <w:rPr>
          <w:rFonts w:hint="eastAsia" w:ascii="宋体" w:hAnsi="宋体" w:cs="Arial"/>
          <w:color w:val="auto"/>
          <w:sz w:val="24"/>
          <w:szCs w:val="24"/>
          <w:highlight w:val="none"/>
          <w:u w:val="single"/>
        </w:rPr>
        <w:t>（中型企业、小型企业、微型企业）</w:t>
      </w:r>
      <w:r>
        <w:rPr>
          <w:rFonts w:hint="eastAsia" w:ascii="宋体" w:hAnsi="宋体" w:cs="Arial"/>
          <w:color w:val="auto"/>
          <w:sz w:val="24"/>
          <w:szCs w:val="24"/>
          <w:highlight w:val="none"/>
        </w:rPr>
        <w:t>；</w:t>
      </w:r>
    </w:p>
    <w:p w14:paraId="78E7735C">
      <w:pPr>
        <w:widowControl/>
        <w:spacing w:line="440" w:lineRule="exact"/>
        <w:ind w:firstLine="420"/>
        <w:jc w:val="left"/>
        <w:rPr>
          <w:rFonts w:hint="eastAsia" w:ascii="宋体" w:hAnsi="宋体" w:cs="Arial"/>
          <w:color w:val="auto"/>
          <w:sz w:val="24"/>
          <w:szCs w:val="24"/>
          <w:highlight w:val="none"/>
        </w:rPr>
      </w:pPr>
      <w:r>
        <w:rPr>
          <w:rFonts w:hint="eastAsia" w:ascii="宋体" w:hAnsi="宋体" w:cs="Arial"/>
          <w:color w:val="auto"/>
          <w:sz w:val="24"/>
          <w:szCs w:val="24"/>
          <w:highlight w:val="none"/>
        </w:rPr>
        <w:t>2</w:t>
      </w:r>
      <w:r>
        <w:rPr>
          <w:rFonts w:ascii="宋体" w:hAnsi="宋体" w:cs="Arial"/>
          <w:color w:val="auto"/>
          <w:sz w:val="24"/>
          <w:szCs w:val="24"/>
          <w:highlight w:val="none"/>
        </w:rPr>
        <w:t>.</w:t>
      </w:r>
      <w:r>
        <w:rPr>
          <w:rFonts w:hint="eastAsia" w:ascii="宋体" w:hAnsi="宋体" w:cs="Arial"/>
          <w:color w:val="auto"/>
          <w:sz w:val="24"/>
          <w:szCs w:val="24"/>
          <w:highlight w:val="none"/>
          <w:u w:val="single"/>
        </w:rPr>
        <w:t>（标的名称）,</w:t>
      </w:r>
      <w:r>
        <w:rPr>
          <w:rFonts w:hint="eastAsia" w:ascii="宋体" w:hAnsi="宋体" w:cs="Arial"/>
          <w:color w:val="auto"/>
          <w:sz w:val="24"/>
          <w:szCs w:val="24"/>
          <w:highlight w:val="none"/>
        </w:rPr>
        <w:t>属于</w:t>
      </w:r>
      <w:r>
        <w:rPr>
          <w:rFonts w:hint="eastAsia" w:ascii="宋体" w:hAnsi="宋体" w:cs="Arial"/>
          <w:color w:val="auto"/>
          <w:sz w:val="24"/>
          <w:szCs w:val="24"/>
          <w:highlight w:val="none"/>
          <w:u w:val="single"/>
        </w:rPr>
        <w:t>（</w:t>
      </w:r>
      <w:r>
        <w:rPr>
          <w:rFonts w:hint="eastAsia" w:ascii="宋体" w:hAnsi="宋体" w:cs="Arial"/>
          <w:color w:val="auto"/>
          <w:sz w:val="24"/>
          <w:szCs w:val="24"/>
          <w:highlight w:val="none"/>
          <w:u w:val="single"/>
          <w:lang w:eastAsia="zh-CN"/>
        </w:rPr>
        <w:t>环境治理业</w:t>
      </w:r>
      <w:r>
        <w:rPr>
          <w:rFonts w:hint="eastAsia" w:ascii="宋体" w:hAnsi="宋体" w:cs="Arial"/>
          <w:color w:val="auto"/>
          <w:sz w:val="24"/>
          <w:szCs w:val="24"/>
          <w:highlight w:val="none"/>
          <w:u w:val="single"/>
        </w:rPr>
        <w:t>）</w:t>
      </w:r>
      <w:r>
        <w:rPr>
          <w:rFonts w:hint="eastAsia" w:ascii="宋体" w:hAnsi="宋体" w:cs="Arial"/>
          <w:color w:val="auto"/>
          <w:sz w:val="24"/>
          <w:szCs w:val="24"/>
          <w:highlight w:val="none"/>
        </w:rPr>
        <w:t>, 承建（承接）企业为</w:t>
      </w:r>
      <w:r>
        <w:rPr>
          <w:rFonts w:hint="eastAsia" w:ascii="宋体" w:hAnsi="宋体" w:cs="Arial"/>
          <w:color w:val="auto"/>
          <w:sz w:val="24"/>
          <w:szCs w:val="24"/>
          <w:highlight w:val="none"/>
          <w:u w:val="single"/>
        </w:rPr>
        <w:t>（企业名称）</w:t>
      </w:r>
      <w:r>
        <w:rPr>
          <w:rFonts w:hint="eastAsia" w:ascii="宋体" w:hAnsi="宋体" w:cs="Arial"/>
          <w:color w:val="auto"/>
          <w:sz w:val="24"/>
          <w:szCs w:val="24"/>
          <w:highlight w:val="none"/>
        </w:rPr>
        <w:t>,从业人员</w:t>
      </w:r>
      <w:r>
        <w:rPr>
          <w:rFonts w:hint="eastAsia" w:ascii="宋体" w:hAnsi="宋体" w:cs="Arial"/>
          <w:color w:val="auto"/>
          <w:sz w:val="24"/>
          <w:szCs w:val="24"/>
          <w:highlight w:val="none"/>
          <w:u w:val="single"/>
        </w:rPr>
        <w:tab/>
      </w:r>
      <w:r>
        <w:rPr>
          <w:rFonts w:hint="eastAsia" w:ascii="宋体" w:hAnsi="宋体" w:cs="Arial"/>
          <w:color w:val="auto"/>
          <w:sz w:val="24"/>
          <w:szCs w:val="24"/>
          <w:highlight w:val="none"/>
          <w:u w:val="single"/>
        </w:rPr>
        <w:t>人</w:t>
      </w:r>
      <w:r>
        <w:rPr>
          <w:rFonts w:hint="eastAsia" w:ascii="宋体" w:hAnsi="宋体" w:cs="Arial"/>
          <w:color w:val="auto"/>
          <w:sz w:val="24"/>
          <w:szCs w:val="24"/>
          <w:highlight w:val="none"/>
        </w:rPr>
        <w:t>，营业收入为</w:t>
      </w:r>
      <w:r>
        <w:rPr>
          <w:rFonts w:hint="eastAsia" w:ascii="宋体" w:hAnsi="宋体" w:cs="Arial"/>
          <w:color w:val="auto"/>
          <w:sz w:val="24"/>
          <w:szCs w:val="24"/>
          <w:highlight w:val="none"/>
          <w:u w:val="single"/>
        </w:rPr>
        <w:tab/>
      </w:r>
      <w:r>
        <w:rPr>
          <w:rFonts w:hint="eastAsia" w:ascii="宋体" w:hAnsi="宋体" w:cs="Arial"/>
          <w:color w:val="auto"/>
          <w:sz w:val="24"/>
          <w:szCs w:val="24"/>
          <w:highlight w:val="none"/>
          <w:u w:val="single"/>
        </w:rPr>
        <w:t xml:space="preserve">   </w:t>
      </w:r>
      <w:r>
        <w:rPr>
          <w:rFonts w:hint="eastAsia" w:ascii="宋体" w:hAnsi="宋体" w:cs="Arial"/>
          <w:color w:val="auto"/>
          <w:sz w:val="24"/>
          <w:szCs w:val="24"/>
          <w:highlight w:val="none"/>
        </w:rPr>
        <w:t>万元，资产总额为</w:t>
      </w:r>
      <w:r>
        <w:rPr>
          <w:rFonts w:hint="eastAsia" w:ascii="宋体" w:hAnsi="宋体" w:cs="Arial"/>
          <w:color w:val="auto"/>
          <w:sz w:val="24"/>
          <w:szCs w:val="24"/>
          <w:highlight w:val="none"/>
          <w:u w:val="single"/>
        </w:rPr>
        <w:tab/>
      </w:r>
      <w:r>
        <w:rPr>
          <w:rFonts w:hint="eastAsia" w:ascii="宋体" w:hAnsi="宋体" w:cs="Arial"/>
          <w:color w:val="auto"/>
          <w:sz w:val="24"/>
          <w:szCs w:val="24"/>
          <w:highlight w:val="none"/>
          <w:u w:val="single"/>
        </w:rPr>
        <w:t xml:space="preserve">     </w:t>
      </w:r>
      <w:r>
        <w:rPr>
          <w:rFonts w:hint="eastAsia" w:ascii="宋体" w:hAnsi="宋体" w:cs="Arial"/>
          <w:color w:val="auto"/>
          <w:sz w:val="24"/>
          <w:szCs w:val="24"/>
          <w:highlight w:val="none"/>
        </w:rPr>
        <w:t>万元，属于</w:t>
      </w:r>
      <w:r>
        <w:rPr>
          <w:rFonts w:hint="eastAsia" w:ascii="宋体" w:hAnsi="宋体" w:cs="Arial"/>
          <w:color w:val="auto"/>
          <w:sz w:val="24"/>
          <w:szCs w:val="24"/>
          <w:highlight w:val="none"/>
          <w:u w:val="single"/>
        </w:rPr>
        <w:t>（中型企业、小型企业、微型企业）</w:t>
      </w:r>
      <w:r>
        <w:rPr>
          <w:rFonts w:hint="eastAsia" w:ascii="宋体" w:hAnsi="宋体" w:cs="Arial"/>
          <w:color w:val="auto"/>
          <w:sz w:val="24"/>
          <w:szCs w:val="24"/>
          <w:highlight w:val="none"/>
        </w:rPr>
        <w:t>；</w:t>
      </w:r>
      <w:r>
        <w:rPr>
          <w:rFonts w:hint="eastAsia" w:ascii="宋体" w:hAnsi="宋体" w:cs="Arial"/>
          <w:color w:val="auto"/>
          <w:sz w:val="24"/>
          <w:szCs w:val="24"/>
          <w:highlight w:val="none"/>
        </w:rPr>
        <w:tab/>
      </w:r>
    </w:p>
    <w:p w14:paraId="4D0B27FA">
      <w:pPr>
        <w:widowControl/>
        <w:spacing w:line="440" w:lineRule="exact"/>
        <w:ind w:firstLine="420"/>
        <w:jc w:val="left"/>
        <w:rPr>
          <w:rFonts w:hint="eastAsia" w:ascii="宋体" w:hAnsi="宋体" w:cs="Arial"/>
          <w:color w:val="auto"/>
          <w:sz w:val="24"/>
          <w:szCs w:val="24"/>
          <w:highlight w:val="none"/>
        </w:rPr>
      </w:pPr>
      <w:r>
        <w:rPr>
          <w:rFonts w:hint="eastAsia" w:ascii="宋体" w:hAnsi="宋体" w:cs="Arial"/>
          <w:color w:val="auto"/>
          <w:sz w:val="24"/>
          <w:szCs w:val="24"/>
          <w:highlight w:val="none"/>
        </w:rPr>
        <w:t>以上企业，不属于大企业的分支机构，不存在控股股东为大企业的情形，也不存在与大企业的负责人为同一人的情形。</w:t>
      </w:r>
    </w:p>
    <w:p w14:paraId="3543E5ED">
      <w:pPr>
        <w:widowControl/>
        <w:spacing w:line="440" w:lineRule="exact"/>
        <w:ind w:firstLine="420"/>
        <w:jc w:val="left"/>
        <w:rPr>
          <w:rFonts w:hint="eastAsia" w:ascii="宋体" w:hAnsi="宋体" w:cs="Arial"/>
          <w:color w:val="auto"/>
          <w:sz w:val="24"/>
          <w:szCs w:val="24"/>
          <w:highlight w:val="none"/>
        </w:rPr>
      </w:pPr>
      <w:r>
        <w:rPr>
          <w:rFonts w:hint="eastAsia" w:ascii="宋体" w:hAnsi="宋体" w:cs="Arial"/>
          <w:color w:val="auto"/>
          <w:sz w:val="24"/>
          <w:szCs w:val="24"/>
          <w:highlight w:val="none"/>
        </w:rPr>
        <w:t>本企业对上述声明内容的真实性负责。如有虚假，将依法承担相应责任。</w:t>
      </w:r>
    </w:p>
    <w:p w14:paraId="2F53052E">
      <w:pPr>
        <w:widowControl/>
        <w:spacing w:line="440" w:lineRule="exact"/>
        <w:ind w:firstLine="420"/>
        <w:jc w:val="right"/>
        <w:rPr>
          <w:rFonts w:hint="eastAsia" w:ascii="宋体" w:hAnsi="宋体" w:cs="Arial"/>
          <w:color w:val="auto"/>
          <w:sz w:val="24"/>
          <w:szCs w:val="24"/>
          <w:highlight w:val="none"/>
        </w:rPr>
      </w:pPr>
      <w:r>
        <w:rPr>
          <w:rFonts w:hint="eastAsia" w:ascii="宋体" w:hAnsi="宋体" w:cs="Arial"/>
          <w:color w:val="auto"/>
          <w:sz w:val="24"/>
          <w:szCs w:val="24"/>
          <w:highlight w:val="none"/>
        </w:rPr>
        <w:t>企业名称：（加盖电子公章）</w:t>
      </w:r>
    </w:p>
    <w:p w14:paraId="2A5EBB96">
      <w:pPr>
        <w:widowControl/>
        <w:spacing w:line="440" w:lineRule="exact"/>
        <w:ind w:right="1890" w:firstLine="420"/>
        <w:jc w:val="right"/>
        <w:rPr>
          <w:rFonts w:hint="eastAsia" w:ascii="宋体" w:hAnsi="宋体" w:cs="Arial"/>
          <w:color w:val="auto"/>
          <w:sz w:val="24"/>
          <w:szCs w:val="24"/>
          <w:highlight w:val="none"/>
        </w:rPr>
      </w:pPr>
      <w:r>
        <w:rPr>
          <w:rFonts w:hint="eastAsia" w:ascii="宋体" w:hAnsi="宋体" w:cs="Arial"/>
          <w:color w:val="auto"/>
          <w:sz w:val="24"/>
          <w:szCs w:val="24"/>
          <w:highlight w:val="none"/>
        </w:rPr>
        <w:t>日  期：</w:t>
      </w:r>
    </w:p>
    <w:bookmarkEnd w:id="95"/>
    <w:p w14:paraId="4E231FF9">
      <w:pPr>
        <w:spacing w:line="360" w:lineRule="auto"/>
        <w:rPr>
          <w:rFonts w:hint="eastAsia" w:ascii="宋体" w:hAnsi="宋体"/>
          <w:b/>
          <w:bCs/>
          <w:color w:val="auto"/>
          <w:sz w:val="24"/>
          <w:szCs w:val="24"/>
          <w:highlight w:val="none"/>
        </w:rPr>
      </w:pPr>
    </w:p>
    <w:p w14:paraId="3752E834">
      <w:pPr>
        <w:spacing w:line="360" w:lineRule="auto"/>
        <w:jc w:val="center"/>
        <w:rPr>
          <w:rFonts w:hint="eastAsia" w:ascii="宋体" w:hAnsi="宋体"/>
          <w:b/>
          <w:bCs/>
          <w:color w:val="auto"/>
          <w:sz w:val="28"/>
          <w:highlight w:val="none"/>
        </w:rPr>
      </w:pPr>
    </w:p>
    <w:p w14:paraId="6CA752A8">
      <w:pPr>
        <w:spacing w:line="360" w:lineRule="auto"/>
        <w:jc w:val="center"/>
        <w:rPr>
          <w:rFonts w:hint="eastAsia" w:ascii="宋体" w:hAnsi="宋体"/>
          <w:b/>
          <w:bCs/>
          <w:color w:val="auto"/>
          <w:sz w:val="28"/>
          <w:highlight w:val="none"/>
        </w:rPr>
      </w:pPr>
    </w:p>
    <w:p w14:paraId="198A7E6A">
      <w:pPr>
        <w:spacing w:line="360" w:lineRule="auto"/>
        <w:jc w:val="center"/>
        <w:rPr>
          <w:rFonts w:hint="eastAsia" w:ascii="宋体" w:hAnsi="宋体"/>
          <w:b/>
          <w:bCs/>
          <w:color w:val="auto"/>
          <w:sz w:val="28"/>
          <w:highlight w:val="none"/>
        </w:rPr>
      </w:pPr>
    </w:p>
    <w:p w14:paraId="78B62E18">
      <w:pPr>
        <w:spacing w:line="360" w:lineRule="auto"/>
        <w:jc w:val="center"/>
        <w:rPr>
          <w:rFonts w:hint="eastAsia" w:ascii="宋体" w:hAnsi="宋体"/>
          <w:b/>
          <w:bCs/>
          <w:color w:val="auto"/>
          <w:sz w:val="28"/>
          <w:highlight w:val="none"/>
        </w:rPr>
      </w:pPr>
    </w:p>
    <w:p w14:paraId="28D80E30">
      <w:pPr>
        <w:spacing w:line="360" w:lineRule="auto"/>
        <w:jc w:val="center"/>
        <w:rPr>
          <w:rFonts w:hint="eastAsia" w:ascii="宋体" w:hAnsi="宋体"/>
          <w:b/>
          <w:bCs/>
          <w:color w:val="auto"/>
          <w:sz w:val="28"/>
          <w:highlight w:val="none"/>
        </w:rPr>
      </w:pPr>
    </w:p>
    <w:p w14:paraId="6646889A">
      <w:pPr>
        <w:spacing w:line="360" w:lineRule="auto"/>
        <w:jc w:val="center"/>
        <w:rPr>
          <w:rFonts w:hint="eastAsia" w:ascii="宋体" w:hAnsi="宋体"/>
          <w:b/>
          <w:bCs/>
          <w:color w:val="auto"/>
          <w:sz w:val="28"/>
          <w:highlight w:val="none"/>
        </w:rPr>
      </w:pPr>
    </w:p>
    <w:p w14:paraId="35A45BED">
      <w:pPr>
        <w:spacing w:line="360" w:lineRule="auto"/>
        <w:jc w:val="center"/>
        <w:rPr>
          <w:rFonts w:hint="eastAsia" w:ascii="宋体" w:hAnsi="宋体"/>
          <w:b/>
          <w:bCs/>
          <w:color w:val="auto"/>
          <w:sz w:val="28"/>
          <w:highlight w:val="none"/>
        </w:rPr>
      </w:pPr>
    </w:p>
    <w:p w14:paraId="64206470">
      <w:pPr>
        <w:spacing w:line="360" w:lineRule="auto"/>
        <w:jc w:val="center"/>
        <w:rPr>
          <w:rFonts w:hint="eastAsia" w:ascii="宋体" w:hAnsi="宋体"/>
          <w:b/>
          <w:bCs/>
          <w:color w:val="auto"/>
          <w:sz w:val="28"/>
          <w:highlight w:val="none"/>
        </w:rPr>
      </w:pPr>
    </w:p>
    <w:p w14:paraId="330D1D39">
      <w:pPr>
        <w:spacing w:line="360" w:lineRule="auto"/>
        <w:jc w:val="center"/>
        <w:rPr>
          <w:rFonts w:hint="eastAsia" w:ascii="宋体" w:hAnsi="宋体"/>
          <w:b/>
          <w:bCs/>
          <w:color w:val="auto"/>
          <w:sz w:val="28"/>
          <w:highlight w:val="none"/>
        </w:rPr>
      </w:pPr>
    </w:p>
    <w:p w14:paraId="364F107F">
      <w:pPr>
        <w:spacing w:line="360" w:lineRule="auto"/>
        <w:jc w:val="center"/>
        <w:rPr>
          <w:rFonts w:hint="eastAsia" w:ascii="宋体" w:hAnsi="宋体"/>
          <w:b/>
          <w:bCs/>
          <w:color w:val="auto"/>
          <w:sz w:val="28"/>
          <w:highlight w:val="none"/>
        </w:rPr>
      </w:pPr>
      <w:r>
        <w:rPr>
          <w:rFonts w:hint="eastAsia" w:ascii="宋体" w:hAnsi="宋体"/>
          <w:b/>
          <w:bCs/>
          <w:color w:val="auto"/>
          <w:sz w:val="28"/>
          <w:highlight w:val="none"/>
        </w:rPr>
        <w:t>残疾人福利性单位声明函</w:t>
      </w:r>
      <w:bookmarkEnd w:id="96"/>
      <w:bookmarkEnd w:id="97"/>
    </w:p>
    <w:p w14:paraId="7DB62442">
      <w:pPr>
        <w:widowControl/>
        <w:spacing w:line="440" w:lineRule="exact"/>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E04A313">
      <w:pPr>
        <w:widowControl/>
        <w:spacing w:line="440" w:lineRule="exact"/>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本单位对上述声明的真实性负责。如有虚假，将依法承担相应责任。</w:t>
      </w:r>
    </w:p>
    <w:p w14:paraId="34BC4E9A">
      <w:pPr>
        <w:widowControl/>
        <w:spacing w:line="440" w:lineRule="exact"/>
        <w:ind w:firstLine="63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单位名称：（加盖电子公章）</w:t>
      </w:r>
    </w:p>
    <w:p w14:paraId="10BDD6EA">
      <w:pPr>
        <w:widowControl/>
        <w:spacing w:line="440" w:lineRule="exact"/>
        <w:ind w:firstLine="63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p>
    <w:p w14:paraId="42F48D90">
      <w:pPr>
        <w:spacing w:line="360" w:lineRule="auto"/>
        <w:rPr>
          <w:rFonts w:hint="eastAsia" w:ascii="宋体" w:hAnsi="宋体"/>
          <w:b/>
          <w:bCs/>
          <w:color w:val="auto"/>
          <w:highlight w:val="none"/>
        </w:rPr>
      </w:pPr>
    </w:p>
    <w:p w14:paraId="0A231AEC">
      <w:pPr>
        <w:spacing w:line="360" w:lineRule="auto"/>
        <w:jc w:val="center"/>
        <w:rPr>
          <w:rFonts w:hint="eastAsia" w:ascii="宋体" w:hAnsi="宋体"/>
          <w:b/>
          <w:bCs/>
          <w:color w:val="auto"/>
          <w:sz w:val="28"/>
          <w:highlight w:val="none"/>
        </w:rPr>
      </w:pPr>
      <w:r>
        <w:rPr>
          <w:rFonts w:hint="eastAsia" w:ascii="宋体" w:hAnsi="宋体"/>
          <w:b/>
          <w:bCs/>
          <w:color w:val="auto"/>
          <w:sz w:val="28"/>
          <w:highlight w:val="none"/>
        </w:rPr>
        <w:t>属于监狱企业的证明文件</w:t>
      </w:r>
    </w:p>
    <w:p w14:paraId="30B48B58">
      <w:pPr>
        <w:spacing w:line="360" w:lineRule="auto"/>
        <w:jc w:val="center"/>
        <w:rPr>
          <w:rFonts w:hint="eastAsia" w:asciiTheme="minorEastAsia" w:hAnsiTheme="minorEastAsia" w:eastAsiaTheme="minorEastAsia"/>
          <w:color w:val="auto"/>
          <w:highlight w:val="none"/>
        </w:rPr>
      </w:pPr>
      <w:r>
        <w:rPr>
          <w:rFonts w:hint="eastAsia" w:ascii="宋体" w:hAnsi="宋体"/>
          <w:color w:val="auto"/>
          <w:sz w:val="24"/>
          <w:szCs w:val="24"/>
          <w:highlight w:val="none"/>
        </w:rPr>
        <w:t>（</w:t>
      </w:r>
      <w:r>
        <w:rPr>
          <w:rFonts w:ascii="宋体" w:hAnsi="宋体"/>
          <w:color w:val="auto"/>
          <w:sz w:val="24"/>
          <w:szCs w:val="24"/>
          <w:highlight w:val="none"/>
        </w:rPr>
        <w:t>提供</w:t>
      </w:r>
      <w:r>
        <w:rPr>
          <w:rFonts w:hint="eastAsia" w:ascii="宋体" w:hAnsi="宋体"/>
          <w:color w:val="auto"/>
          <w:sz w:val="24"/>
          <w:szCs w:val="24"/>
          <w:highlight w:val="none"/>
        </w:rPr>
        <w:t>由省级以上监狱管理局、戒毒管理局</w:t>
      </w:r>
      <w:r>
        <w:rPr>
          <w:rFonts w:hint="eastAsia" w:ascii="宋体" w:hAnsi="宋体"/>
          <w:color w:val="auto"/>
          <w:sz w:val="24"/>
          <w:szCs w:val="24"/>
          <w:highlight w:val="none"/>
          <w:lang w:eastAsia="zh-CN"/>
        </w:rPr>
        <w:t>（</w:t>
      </w:r>
      <w:r>
        <w:rPr>
          <w:rFonts w:hint="eastAsia" w:ascii="宋体" w:hAnsi="宋体"/>
          <w:color w:val="auto"/>
          <w:sz w:val="24"/>
          <w:szCs w:val="24"/>
          <w:highlight w:val="none"/>
        </w:rPr>
        <w:t>含新疆生产建设兵团</w:t>
      </w:r>
      <w:r>
        <w:rPr>
          <w:rFonts w:hint="eastAsia" w:ascii="宋体" w:hAnsi="宋体"/>
          <w:color w:val="auto"/>
          <w:sz w:val="24"/>
          <w:szCs w:val="24"/>
          <w:highlight w:val="none"/>
          <w:lang w:eastAsia="zh-CN"/>
        </w:rPr>
        <w:t>）</w:t>
      </w:r>
      <w:r>
        <w:rPr>
          <w:rFonts w:hint="eastAsia" w:ascii="宋体" w:hAnsi="宋体"/>
          <w:color w:val="auto"/>
          <w:sz w:val="24"/>
          <w:szCs w:val="24"/>
          <w:highlight w:val="none"/>
        </w:rPr>
        <w:t>出具的属于监狱企业的证明文件）</w:t>
      </w:r>
      <w:r>
        <w:rPr>
          <w:rFonts w:asciiTheme="minorEastAsia" w:hAnsiTheme="minorEastAsia" w:eastAsiaTheme="minorEastAsia"/>
          <w:color w:val="auto"/>
          <w:highlight w:val="none"/>
        </w:rPr>
        <w:br w:type="page" w:clear="all"/>
      </w:r>
    </w:p>
    <w:p w14:paraId="1F421540">
      <w:pPr>
        <w:pStyle w:val="4"/>
        <w:spacing w:line="360" w:lineRule="auto"/>
        <w:rPr>
          <w:rFonts w:hint="eastAsia" w:asciiTheme="minorEastAsia" w:hAnsiTheme="minorEastAsia" w:eastAsiaTheme="minorEastAsia"/>
          <w:color w:val="auto"/>
          <w:highlight w:val="none"/>
        </w:rPr>
      </w:pPr>
      <w:bookmarkStart w:id="98" w:name="_Toc43917781"/>
      <w:bookmarkStart w:id="99" w:name="_Toc66375434"/>
      <w:r>
        <w:rPr>
          <w:rFonts w:hint="eastAsia" w:asciiTheme="minorEastAsia" w:hAnsiTheme="minorEastAsia" w:eastAsiaTheme="minorEastAsia"/>
          <w:color w:val="auto"/>
          <w:highlight w:val="none"/>
        </w:rPr>
        <w:t>附件十、无重大违法记录声明</w:t>
      </w:r>
      <w:bookmarkEnd w:id="98"/>
      <w:bookmarkEnd w:id="99"/>
    </w:p>
    <w:p w14:paraId="1D773EA3">
      <w:pPr>
        <w:spacing w:line="360" w:lineRule="auto"/>
        <w:jc w:val="center"/>
        <w:rPr>
          <w:rFonts w:hint="eastAsia" w:asciiTheme="minorEastAsia" w:hAnsiTheme="minorEastAsia" w:eastAsiaTheme="minorEastAsia"/>
          <w:color w:val="auto"/>
          <w:sz w:val="28"/>
          <w:szCs w:val="36"/>
          <w:highlight w:val="none"/>
        </w:rPr>
      </w:pPr>
    </w:p>
    <w:p w14:paraId="77446648">
      <w:pPr>
        <w:spacing w:line="360" w:lineRule="auto"/>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无重大违法记录声明</w:t>
      </w:r>
    </w:p>
    <w:p w14:paraId="16610FED">
      <w:pPr>
        <w:spacing w:line="360" w:lineRule="auto"/>
        <w:rPr>
          <w:rFonts w:hint="eastAsia" w:asciiTheme="minorEastAsia" w:hAnsiTheme="minorEastAsia" w:eastAsiaTheme="minorEastAsia"/>
          <w:color w:val="auto"/>
          <w:szCs w:val="21"/>
          <w:highlight w:val="none"/>
        </w:rPr>
      </w:pPr>
    </w:p>
    <w:p w14:paraId="16722902">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致：</w:t>
      </w:r>
      <w:r>
        <w:rPr>
          <w:rFonts w:hint="eastAsia" w:asciiTheme="minorEastAsia" w:hAnsiTheme="minorEastAsia" w:eastAsiaTheme="minorEastAsia"/>
          <w:color w:val="auto"/>
          <w:sz w:val="24"/>
          <w:szCs w:val="24"/>
          <w:highlight w:val="none"/>
          <w:lang w:eastAsia="zh-CN"/>
        </w:rPr>
        <w:t>南京浦口经济开发区管理委员会</w:t>
      </w:r>
    </w:p>
    <w:p w14:paraId="69013675">
      <w:pPr>
        <w:spacing w:line="360" w:lineRule="auto"/>
        <w:ind w:firstLine="420"/>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江苏全过程项目管理有限公司</w:t>
      </w:r>
    </w:p>
    <w:p w14:paraId="2A185242">
      <w:pPr>
        <w:spacing w:line="360" w:lineRule="auto"/>
        <w:ind w:firstLine="420"/>
        <w:rPr>
          <w:rFonts w:hint="eastAsia" w:asciiTheme="minorEastAsia" w:hAnsiTheme="minorEastAsia" w:eastAsiaTheme="minorEastAsia"/>
          <w:color w:val="auto"/>
          <w:sz w:val="24"/>
          <w:szCs w:val="32"/>
          <w:highlight w:val="none"/>
        </w:rPr>
      </w:pPr>
      <w:r>
        <w:rPr>
          <w:rFonts w:hint="eastAsia" w:asciiTheme="minorEastAsia" w:hAnsiTheme="minorEastAsia" w:eastAsiaTheme="minorEastAsia"/>
          <w:color w:val="auto"/>
          <w:sz w:val="24"/>
          <w:szCs w:val="32"/>
          <w:highlight w:val="none"/>
        </w:rPr>
        <w:t>我单位</w:t>
      </w:r>
      <w:r>
        <w:rPr>
          <w:rFonts w:hint="eastAsia" w:asciiTheme="minorEastAsia" w:hAnsiTheme="minorEastAsia" w:eastAsiaTheme="minorEastAsia"/>
          <w:color w:val="auto"/>
          <w:sz w:val="24"/>
          <w:szCs w:val="32"/>
          <w:highlight w:val="none"/>
          <w:u w:val="single"/>
          <w:lang w:val="en-US" w:eastAsia="zh-CN"/>
        </w:rPr>
        <w:t xml:space="preserve">                 </w:t>
      </w:r>
      <w:r>
        <w:rPr>
          <w:rFonts w:hint="eastAsia" w:asciiTheme="minorEastAsia" w:hAnsiTheme="minorEastAsia" w:eastAsiaTheme="minorEastAsia"/>
          <w:color w:val="auto"/>
          <w:sz w:val="24"/>
          <w:szCs w:val="32"/>
          <w:highlight w:val="none"/>
        </w:rPr>
        <w:t>（投标人名称）郑重声明：</w:t>
      </w:r>
    </w:p>
    <w:p w14:paraId="645E608F">
      <w:pPr>
        <w:spacing w:line="360" w:lineRule="auto"/>
        <w:ind w:firstLine="420"/>
        <w:rPr>
          <w:rFonts w:hint="eastAsia" w:asciiTheme="minorEastAsia" w:hAnsiTheme="minorEastAsia" w:eastAsiaTheme="minorEastAsia"/>
          <w:color w:val="auto"/>
          <w:sz w:val="24"/>
          <w:szCs w:val="32"/>
          <w:highlight w:val="none"/>
        </w:rPr>
      </w:pPr>
      <w:r>
        <w:rPr>
          <w:rFonts w:hint="eastAsia" w:asciiTheme="minorEastAsia" w:hAnsiTheme="minorEastAsia" w:eastAsiaTheme="minorEastAsia"/>
          <w:color w:val="auto"/>
          <w:sz w:val="24"/>
          <w:szCs w:val="32"/>
          <w:highlight w:val="none"/>
        </w:rPr>
        <w:t>参加政府采购活动前3年内在经营活动中</w:t>
      </w:r>
      <w:r>
        <w:rPr>
          <w:rFonts w:hint="eastAsia" w:asciiTheme="minorEastAsia" w:hAnsiTheme="minorEastAsia" w:eastAsiaTheme="minorEastAsia"/>
          <w:color w:val="auto"/>
          <w:sz w:val="24"/>
          <w:szCs w:val="32"/>
          <w:highlight w:val="none"/>
          <w:u w:val="single"/>
          <w:lang w:val="en-US" w:eastAsia="zh-CN"/>
        </w:rPr>
        <w:t xml:space="preserve">         </w:t>
      </w:r>
      <w:r>
        <w:rPr>
          <w:rFonts w:hint="eastAsia" w:asciiTheme="minorEastAsia" w:hAnsiTheme="minorEastAsia" w:eastAsiaTheme="minorEastAsia"/>
          <w:color w:val="auto"/>
          <w:sz w:val="24"/>
          <w:szCs w:val="32"/>
          <w:highlight w:val="none"/>
        </w:rPr>
        <w:t>（在下划线上如实填写：有或没有）重大违法记录。</w:t>
      </w:r>
    </w:p>
    <w:p w14:paraId="426E3D6C">
      <w:pPr>
        <w:spacing w:line="360" w:lineRule="auto"/>
        <w:ind w:firstLine="315"/>
        <w:rPr>
          <w:rFonts w:hint="eastAsia" w:asciiTheme="minorEastAsia" w:hAnsiTheme="minorEastAsia" w:eastAsiaTheme="minorEastAsia"/>
          <w:color w:val="auto"/>
          <w:sz w:val="24"/>
          <w:szCs w:val="32"/>
          <w:highlight w:val="none"/>
        </w:rPr>
      </w:pPr>
      <w:r>
        <w:rPr>
          <w:rFonts w:hint="eastAsia" w:asciiTheme="minorEastAsia" w:hAnsiTheme="minorEastAsia" w:eastAsiaTheme="minorEastAsia"/>
          <w:color w:val="auto"/>
          <w:sz w:val="24"/>
          <w:szCs w:val="32"/>
          <w:highlight w:val="none"/>
        </w:rPr>
        <w:t>（说明：政府采购法第二十二条第一款第五项所称重大违法记录，是指投标人因违法经营受到刑事处罚或者责令停产停业、吊销许可证或者执照、较大数额罚款等行政处罚。）</w:t>
      </w:r>
    </w:p>
    <w:p w14:paraId="6D8F9D1D">
      <w:pPr>
        <w:spacing w:line="360" w:lineRule="auto"/>
        <w:rPr>
          <w:rFonts w:hint="eastAsia" w:asciiTheme="minorEastAsia" w:hAnsiTheme="minorEastAsia" w:eastAsiaTheme="minorEastAsia"/>
          <w:color w:val="auto"/>
          <w:sz w:val="24"/>
          <w:szCs w:val="32"/>
          <w:highlight w:val="none"/>
        </w:rPr>
      </w:pPr>
    </w:p>
    <w:p w14:paraId="5B56A751">
      <w:pPr>
        <w:spacing w:line="360" w:lineRule="auto"/>
        <w:rPr>
          <w:rFonts w:hint="eastAsia" w:asciiTheme="minorEastAsia" w:hAnsiTheme="minorEastAsia" w:eastAsiaTheme="minorEastAsia"/>
          <w:color w:val="auto"/>
          <w:sz w:val="24"/>
          <w:szCs w:val="32"/>
          <w:highlight w:val="none"/>
        </w:rPr>
      </w:pPr>
    </w:p>
    <w:p w14:paraId="2F332138">
      <w:pPr>
        <w:spacing w:line="360" w:lineRule="auto"/>
        <w:ind w:firstLine="5103"/>
        <w:rPr>
          <w:rFonts w:hint="eastAsia" w:asciiTheme="minorEastAsia" w:hAnsiTheme="minorEastAsia" w:eastAsiaTheme="minorEastAsia"/>
          <w:color w:val="auto"/>
          <w:sz w:val="24"/>
          <w:szCs w:val="32"/>
          <w:highlight w:val="none"/>
        </w:rPr>
      </w:pPr>
      <w:r>
        <w:rPr>
          <w:rFonts w:hint="eastAsia" w:asciiTheme="minorEastAsia" w:hAnsiTheme="minorEastAsia" w:eastAsiaTheme="minorEastAsia"/>
          <w:color w:val="auto"/>
          <w:sz w:val="24"/>
          <w:szCs w:val="32"/>
          <w:highlight w:val="none"/>
        </w:rPr>
        <w:t>声明人：（</w:t>
      </w:r>
      <w:r>
        <w:rPr>
          <w:rFonts w:hint="eastAsia" w:cs="Arial" w:asciiTheme="minorEastAsia" w:hAnsiTheme="minorEastAsia" w:eastAsiaTheme="minorEastAsia"/>
          <w:color w:val="auto"/>
          <w:sz w:val="24"/>
          <w:szCs w:val="32"/>
          <w:highlight w:val="none"/>
        </w:rPr>
        <w:t>加盖电子公章</w:t>
      </w:r>
      <w:r>
        <w:rPr>
          <w:rFonts w:hint="eastAsia" w:asciiTheme="minorEastAsia" w:hAnsiTheme="minorEastAsia" w:eastAsiaTheme="minorEastAsia"/>
          <w:color w:val="auto"/>
          <w:sz w:val="24"/>
          <w:szCs w:val="32"/>
          <w:highlight w:val="none"/>
        </w:rPr>
        <w:t>）</w:t>
      </w:r>
    </w:p>
    <w:p w14:paraId="18C5C85D">
      <w:pPr>
        <w:spacing w:line="360" w:lineRule="auto"/>
        <w:ind w:firstLine="5040"/>
        <w:rPr>
          <w:rFonts w:hint="eastAsia" w:asciiTheme="minorEastAsia" w:hAnsiTheme="minorEastAsia" w:eastAsiaTheme="minorEastAsia"/>
          <w:color w:val="auto"/>
          <w:sz w:val="24"/>
          <w:szCs w:val="24"/>
          <w:highlight w:val="none"/>
          <w:lang w:val="zh-CN"/>
        </w:rPr>
      </w:pPr>
      <w:r>
        <w:rPr>
          <w:rFonts w:hint="eastAsia" w:asciiTheme="minorEastAsia" w:hAnsiTheme="minorEastAsia" w:eastAsiaTheme="minorEastAsia"/>
          <w:color w:val="auto"/>
          <w:sz w:val="24"/>
          <w:szCs w:val="24"/>
          <w:highlight w:val="none"/>
          <w:lang w:val="zh-CN"/>
        </w:rPr>
        <w:t>日期：年月日</w:t>
      </w:r>
      <w:r>
        <w:rPr>
          <w:rFonts w:asciiTheme="minorEastAsia" w:hAnsiTheme="minorEastAsia" w:eastAsiaTheme="minorEastAsia"/>
          <w:color w:val="auto"/>
          <w:sz w:val="24"/>
          <w:szCs w:val="24"/>
          <w:highlight w:val="none"/>
          <w:lang w:val="zh-CN"/>
        </w:rPr>
        <w:br w:type="page" w:clear="all"/>
      </w:r>
    </w:p>
    <w:p w14:paraId="17011A7D">
      <w:pPr>
        <w:pStyle w:val="4"/>
        <w:spacing w:line="360" w:lineRule="auto"/>
        <w:rPr>
          <w:rFonts w:hint="eastAsia" w:asciiTheme="minorEastAsia" w:hAnsiTheme="minorEastAsia" w:eastAsiaTheme="minorEastAsia"/>
          <w:color w:val="auto"/>
          <w:highlight w:val="none"/>
        </w:rPr>
      </w:pPr>
      <w:bookmarkStart w:id="100" w:name="_Toc1487"/>
      <w:r>
        <w:rPr>
          <w:rFonts w:hint="eastAsia" w:asciiTheme="minorEastAsia" w:hAnsiTheme="minorEastAsia" w:eastAsiaTheme="minorEastAsia"/>
          <w:color w:val="auto"/>
          <w:highlight w:val="none"/>
        </w:rPr>
        <w:t>附件十一、具有履行合同所必需的设备和专业技术能力的声明</w:t>
      </w:r>
      <w:bookmarkEnd w:id="100"/>
    </w:p>
    <w:p w14:paraId="54E272E6">
      <w:pPr>
        <w:spacing w:line="360" w:lineRule="auto"/>
        <w:jc w:val="center"/>
        <w:rPr>
          <w:rFonts w:hint="eastAsia" w:asciiTheme="minorEastAsia" w:hAnsiTheme="minorEastAsia" w:eastAsiaTheme="minorEastAsia"/>
          <w:b/>
          <w:bCs/>
          <w:color w:val="auto"/>
          <w:sz w:val="32"/>
          <w:szCs w:val="32"/>
          <w:highlight w:val="none"/>
        </w:rPr>
      </w:pPr>
      <w:bookmarkStart w:id="101" w:name="_Toc3130"/>
    </w:p>
    <w:p w14:paraId="5A1EC180">
      <w:pPr>
        <w:spacing w:line="360" w:lineRule="auto"/>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具有履行合同所必需的设备和专业技术能力的声明</w:t>
      </w:r>
      <w:bookmarkEnd w:id="101"/>
    </w:p>
    <w:p w14:paraId="40C6BBDE">
      <w:pPr>
        <w:spacing w:line="360" w:lineRule="auto"/>
        <w:rPr>
          <w:rFonts w:hint="eastAsia" w:asciiTheme="minorEastAsia" w:hAnsiTheme="minorEastAsia" w:eastAsiaTheme="minorEastAsia"/>
          <w:color w:val="auto"/>
          <w:highlight w:val="none"/>
        </w:rPr>
      </w:pPr>
    </w:p>
    <w:p w14:paraId="21CA89AE">
      <w:pPr>
        <w:spacing w:line="360" w:lineRule="auto"/>
        <w:rPr>
          <w:rFonts w:hint="eastAsia" w:asciiTheme="minorEastAsia" w:hAnsiTheme="minorEastAsia" w:eastAsiaTheme="minorEastAsia"/>
          <w:color w:val="auto"/>
          <w:sz w:val="24"/>
          <w:szCs w:val="32"/>
          <w:highlight w:val="none"/>
          <w:lang w:eastAsia="zh-CN"/>
        </w:rPr>
      </w:pPr>
      <w:r>
        <w:rPr>
          <w:rFonts w:hint="eastAsia" w:asciiTheme="minorEastAsia" w:hAnsiTheme="minorEastAsia" w:eastAsiaTheme="minorEastAsia"/>
          <w:color w:val="auto"/>
          <w:sz w:val="24"/>
          <w:szCs w:val="32"/>
          <w:highlight w:val="none"/>
        </w:rPr>
        <w:t>致：</w:t>
      </w:r>
      <w:r>
        <w:rPr>
          <w:rFonts w:hint="eastAsia" w:asciiTheme="minorEastAsia" w:hAnsiTheme="minorEastAsia" w:eastAsiaTheme="minorEastAsia"/>
          <w:color w:val="auto"/>
          <w:sz w:val="24"/>
          <w:szCs w:val="32"/>
          <w:highlight w:val="none"/>
          <w:lang w:eastAsia="zh-CN"/>
        </w:rPr>
        <w:t>南京浦口经济开发区管理委员会</w:t>
      </w:r>
    </w:p>
    <w:p w14:paraId="70D9F252">
      <w:pPr>
        <w:spacing w:line="360" w:lineRule="auto"/>
        <w:rPr>
          <w:rFonts w:hint="eastAsia" w:asciiTheme="minorEastAsia" w:hAnsiTheme="minorEastAsia" w:eastAsiaTheme="minorEastAsia"/>
          <w:color w:val="auto"/>
          <w:sz w:val="24"/>
          <w:szCs w:val="32"/>
          <w:highlight w:val="none"/>
        </w:rPr>
      </w:pPr>
      <w:r>
        <w:rPr>
          <w:rFonts w:hint="eastAsia" w:asciiTheme="minorEastAsia" w:hAnsiTheme="minorEastAsia" w:eastAsiaTheme="minorEastAsia"/>
          <w:color w:val="auto"/>
          <w:sz w:val="24"/>
          <w:szCs w:val="32"/>
          <w:highlight w:val="none"/>
          <w:shd w:val="clear" w:color="auto" w:fill="FFFFFF"/>
          <w:lang w:val="zh-CN"/>
        </w:rPr>
        <w:t>江苏全过程项目管理有限公司</w:t>
      </w:r>
    </w:p>
    <w:p w14:paraId="35AED557">
      <w:pPr>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我单位</w:t>
      </w:r>
      <w:r>
        <w:rPr>
          <w:rFonts w:hint="eastAsia" w:asciiTheme="minorEastAsia" w:hAnsiTheme="minorEastAsia" w:eastAsiaTheme="minorEastAsia"/>
          <w:color w:val="auto"/>
          <w:sz w:val="24"/>
          <w:szCs w:val="32"/>
          <w:highlight w:val="none"/>
          <w:u w:val="single"/>
          <w:lang w:val="en-US" w:eastAsia="zh-CN"/>
        </w:rPr>
        <w:t xml:space="preserve">              </w:t>
      </w:r>
      <w:r>
        <w:rPr>
          <w:rFonts w:hint="eastAsia" w:asciiTheme="minorEastAsia" w:hAnsiTheme="minorEastAsia" w:eastAsiaTheme="minorEastAsia"/>
          <w:color w:val="auto"/>
          <w:sz w:val="24"/>
          <w:szCs w:val="24"/>
          <w:highlight w:val="none"/>
        </w:rPr>
        <w:t>（投标人名称）郑重声明：</w:t>
      </w:r>
    </w:p>
    <w:p w14:paraId="14F67E34">
      <w:pPr>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我单位具备履行本项采购合同所必需的设备和专业技术能力，为履行本项采购合同我单位具备如下主要设备和主要专业技术能力：</w:t>
      </w:r>
    </w:p>
    <w:p w14:paraId="573E6D21">
      <w:pPr>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主要设备有：</w:t>
      </w:r>
      <w:r>
        <w:rPr>
          <w:rFonts w:hint="eastAsia" w:asciiTheme="minorEastAsia" w:hAnsiTheme="minorEastAsia" w:eastAsiaTheme="minorEastAsia"/>
          <w:color w:val="auto"/>
          <w:sz w:val="24"/>
          <w:szCs w:val="32"/>
          <w:highlight w:val="none"/>
          <w:u w:val="single"/>
          <w:lang w:val="en-US" w:eastAsia="zh-CN"/>
        </w:rPr>
        <w:t xml:space="preserve">              </w:t>
      </w:r>
      <w:r>
        <w:rPr>
          <w:rFonts w:hint="eastAsia" w:asciiTheme="minorEastAsia" w:hAnsiTheme="minorEastAsia" w:eastAsiaTheme="minorEastAsia"/>
          <w:color w:val="auto"/>
          <w:sz w:val="24"/>
          <w:szCs w:val="24"/>
          <w:highlight w:val="none"/>
        </w:rPr>
        <w:t>。（材料附后）</w:t>
      </w:r>
    </w:p>
    <w:p w14:paraId="2EA6B172">
      <w:pPr>
        <w:spacing w:line="360" w:lineRule="auto"/>
        <w:ind w:firstLine="42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主要专业技术能力有：</w:t>
      </w:r>
      <w:r>
        <w:rPr>
          <w:rFonts w:hint="eastAsia" w:asciiTheme="minorEastAsia" w:hAnsiTheme="minorEastAsia" w:eastAsiaTheme="minorEastAsia"/>
          <w:color w:val="auto"/>
          <w:sz w:val="24"/>
          <w:szCs w:val="32"/>
          <w:highlight w:val="none"/>
          <w:u w:val="single"/>
          <w:lang w:val="en-US" w:eastAsia="zh-CN"/>
        </w:rPr>
        <w:t xml:space="preserve">              </w:t>
      </w:r>
      <w:r>
        <w:rPr>
          <w:rFonts w:hint="eastAsia" w:asciiTheme="minorEastAsia" w:hAnsiTheme="minorEastAsia" w:eastAsiaTheme="minorEastAsia"/>
          <w:color w:val="auto"/>
          <w:sz w:val="24"/>
          <w:szCs w:val="24"/>
          <w:highlight w:val="none"/>
        </w:rPr>
        <w:t>。（材料附后）</w:t>
      </w:r>
    </w:p>
    <w:p w14:paraId="78E2FD9E">
      <w:pPr>
        <w:spacing w:line="360" w:lineRule="auto"/>
        <w:ind w:firstLine="420"/>
        <w:rPr>
          <w:rFonts w:hint="eastAsia" w:asciiTheme="minorEastAsia" w:hAnsiTheme="minorEastAsia" w:eastAsiaTheme="minorEastAsia"/>
          <w:color w:val="auto"/>
          <w:sz w:val="24"/>
          <w:szCs w:val="24"/>
          <w:highlight w:val="none"/>
        </w:rPr>
      </w:pPr>
    </w:p>
    <w:p w14:paraId="4C4169FA">
      <w:pPr>
        <w:spacing w:line="360" w:lineRule="auto"/>
        <w:ind w:left="6300"/>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声明人：（</w:t>
      </w:r>
      <w:r>
        <w:rPr>
          <w:rFonts w:hint="eastAsia" w:cs="Arial" w:asciiTheme="minorEastAsia" w:hAnsiTheme="minorEastAsia" w:eastAsiaTheme="minorEastAsia"/>
          <w:color w:val="auto"/>
          <w:sz w:val="24"/>
          <w:szCs w:val="32"/>
          <w:highlight w:val="none"/>
        </w:rPr>
        <w:t>加盖电子公章</w:t>
      </w:r>
      <w:r>
        <w:rPr>
          <w:rFonts w:hint="eastAsia" w:asciiTheme="minorEastAsia" w:hAnsiTheme="minorEastAsia" w:eastAsiaTheme="minorEastAsia"/>
          <w:color w:val="auto"/>
          <w:sz w:val="24"/>
          <w:szCs w:val="24"/>
          <w:highlight w:val="none"/>
        </w:rPr>
        <w:t>）</w:t>
      </w:r>
    </w:p>
    <w:p w14:paraId="2287FE40">
      <w:pPr>
        <w:spacing w:line="360" w:lineRule="auto"/>
        <w:ind w:left="6300"/>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日期：年月日</w:t>
      </w:r>
    </w:p>
    <w:p w14:paraId="314B1CD2">
      <w:pPr>
        <w:spacing w:line="360" w:lineRule="auto"/>
        <w:rPr>
          <w:rFonts w:hint="eastAsia" w:asciiTheme="minorEastAsia" w:hAnsiTheme="minorEastAsia" w:eastAsiaTheme="minorEastAsia"/>
          <w:color w:val="auto"/>
          <w:szCs w:val="21"/>
          <w:highlight w:val="none"/>
          <w:lang w:val="zh-CN"/>
        </w:rPr>
      </w:pPr>
    </w:p>
    <w:p w14:paraId="5FFEDC5E">
      <w:pPr>
        <w:spacing w:line="360" w:lineRule="auto"/>
        <w:rPr>
          <w:rFonts w:hint="eastAsia" w:asciiTheme="minorEastAsia" w:hAnsiTheme="minorEastAsia" w:eastAsiaTheme="minorEastAsia"/>
          <w:color w:val="auto"/>
          <w:szCs w:val="21"/>
          <w:highlight w:val="none"/>
          <w:lang w:val="zh-CN"/>
        </w:rPr>
      </w:pPr>
    </w:p>
    <w:p w14:paraId="2851E006">
      <w:pPr>
        <w:spacing w:line="360" w:lineRule="auto"/>
        <w:rPr>
          <w:rFonts w:hint="eastAsia" w:asciiTheme="minorEastAsia" w:hAnsiTheme="minorEastAsia" w:eastAsiaTheme="minorEastAsia"/>
          <w:color w:val="auto"/>
          <w:szCs w:val="21"/>
          <w:highlight w:val="none"/>
          <w:lang w:val="zh-CN"/>
        </w:rPr>
      </w:pPr>
    </w:p>
    <w:p w14:paraId="4131A5CD">
      <w:pPr>
        <w:spacing w:line="360" w:lineRule="auto"/>
        <w:rPr>
          <w:rFonts w:hint="eastAsia" w:asciiTheme="minorEastAsia" w:hAnsiTheme="minorEastAsia" w:eastAsiaTheme="minorEastAsia"/>
          <w:color w:val="auto"/>
          <w:szCs w:val="21"/>
          <w:highlight w:val="none"/>
          <w:lang w:val="zh-CN"/>
        </w:rPr>
      </w:pPr>
    </w:p>
    <w:p w14:paraId="33967152">
      <w:pPr>
        <w:spacing w:line="360" w:lineRule="auto"/>
        <w:rPr>
          <w:rFonts w:hint="eastAsia" w:asciiTheme="minorEastAsia" w:hAnsiTheme="minorEastAsia" w:eastAsiaTheme="minorEastAsia"/>
          <w:color w:val="auto"/>
          <w:szCs w:val="21"/>
          <w:highlight w:val="none"/>
          <w:lang w:val="zh-CN"/>
        </w:rPr>
      </w:pPr>
    </w:p>
    <w:p w14:paraId="4D529B8D">
      <w:pPr>
        <w:spacing w:line="360" w:lineRule="auto"/>
        <w:rPr>
          <w:rFonts w:hint="eastAsia" w:asciiTheme="minorEastAsia" w:hAnsiTheme="minorEastAsia" w:eastAsiaTheme="minorEastAsia"/>
          <w:color w:val="auto"/>
          <w:szCs w:val="21"/>
          <w:highlight w:val="none"/>
          <w:lang w:val="zh-CN"/>
        </w:rPr>
      </w:pPr>
    </w:p>
    <w:p w14:paraId="386AEC2C">
      <w:pPr>
        <w:spacing w:line="360" w:lineRule="auto"/>
        <w:rPr>
          <w:rFonts w:hint="eastAsia" w:asciiTheme="minorEastAsia" w:hAnsiTheme="minorEastAsia" w:eastAsiaTheme="minorEastAsia"/>
          <w:color w:val="auto"/>
          <w:highlight w:val="none"/>
        </w:rPr>
      </w:pPr>
    </w:p>
    <w:sectPr>
      <w:pgSz w:w="11906" w:h="16838"/>
      <w:pgMar w:top="1440" w:right="1080" w:bottom="1440" w:left="1080" w:header="850" w:footer="850" w:gutter="0"/>
      <w:pgNumType w:start="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04B36C7-926C-4D67-BA43-E97B05929D6E}"/>
  </w:font>
  <w:font w:name="黑体">
    <w:panose1 w:val="02010609060101010101"/>
    <w:charset w:val="86"/>
    <w:family w:val="auto"/>
    <w:pitch w:val="default"/>
    <w:sig w:usb0="800002BF" w:usb1="38CF7CFA" w:usb2="00000016" w:usb3="00000000" w:csb0="00040001" w:csb1="00000000"/>
    <w:embedRegular r:id="rId2" w:fontKey="{EA1B7232-0B66-4D23-AA20-2F7F0E8F276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3" w:fontKey="{13B581DE-50F0-4828-BBC6-3E4CD86AF4F4}"/>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KNL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方正楷体_GBK">
    <w:panose1 w:val="02000000000000000000"/>
    <w:charset w:val="86"/>
    <w:family w:val="auto"/>
    <w:pitch w:val="default"/>
    <w:sig w:usb0="800002BF" w:usb1="38CF7CFA" w:usb2="00000016" w:usb3="00000000" w:csb0="00040000" w:csb1="00000000"/>
    <w:embedRegular r:id="rId4" w:fontKey="{9256E66D-60B8-435B-990C-E733C7852418}"/>
  </w:font>
  <w:font w:name="Romantic">
    <w:panose1 w:val="00000400000000000000"/>
    <w:charset w:val="00"/>
    <w:family w:val="auto"/>
    <w:pitch w:val="default"/>
    <w:sig w:usb0="00000000" w:usb1="00000000" w:usb2="00000000" w:usb3="00000000" w:csb0="00000000" w:csb1="00000000"/>
    <w:embedRegular r:id="rId5" w:fontKey="{79879A27-69D1-4D37-A56C-6456C134D8B7}"/>
  </w:font>
  <w:font w:name="WPSEMBED2">
    <w:panose1 w:val="00000400000000000000"/>
    <w:charset w:val="00"/>
    <w:family w:val="auto"/>
    <w:pitch w:val="default"/>
    <w:sig w:usb0="00000000" w:usb1="00000000" w:usb2="00000000" w:usb3="00000000" w:csb0="00000000" w:csb1="00000000"/>
  </w:font>
  <w:font w:name="WPSEMBED1">
    <w:panose1 w:val="02000000000000000000"/>
    <w:charset w:val="86"/>
    <w:family w:val="auto"/>
    <w:pitch w:val="default"/>
    <w:sig w:usb0="800002BF" w:usb1="38C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25158638"/>
    </w:sdtPr>
    <w:sdtContent>
      <w:p w14:paraId="5EABF165">
        <w:pPr>
          <w:pStyle w:val="30"/>
          <w:jc w:val="center"/>
        </w:pPr>
        <w:r>
          <w:fldChar w:fldCharType="begin"/>
        </w:r>
        <w:r>
          <w:instrText xml:space="preserve">PAGE   \* MERGEFORMAT</w:instrText>
        </w:r>
        <w:r>
          <w:fldChar w:fldCharType="separate"/>
        </w:r>
        <w:r>
          <w:rPr>
            <w:lang w:val="zh-CN"/>
          </w:rPr>
          <w:t>28</w:t>
        </w:r>
        <w:r>
          <w:fldChar w:fldCharType="end"/>
        </w:r>
      </w:p>
    </w:sdtContent>
  </w:sdt>
  <w:p w14:paraId="45C16D51">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52004">
    <w:pPr>
      <w:pStyle w:val="31"/>
      <w:jc w:val="both"/>
    </w:pPr>
    <w:r>
      <w:rPr>
        <w:rFonts w:hint="eastAsia"/>
        <w:sz w:val="16"/>
        <w:szCs w:val="16"/>
      </w:rPr>
      <w:t>江苏全过程项目管理有限公司</w:t>
    </w: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CD14F">
    <w:pPr>
      <w:pStyle w:val="31"/>
      <w:jc w:val="both"/>
      <w:rPr>
        <w:sz w:val="16"/>
        <w:szCs w:val="16"/>
      </w:rPr>
    </w:pPr>
    <w:r>
      <w:rPr>
        <w:rFonts w:hint="eastAsia"/>
        <w:sz w:val="16"/>
        <w:szCs w:val="16"/>
      </w:rPr>
      <w:t>江苏全过程项目管理有限公司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413BFD"/>
    <w:multiLevelType w:val="multilevel"/>
    <w:tmpl w:val="95413BF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Thousand"/>
      <w:pStyle w:val="253"/>
      <w:lvlText w:val="%1"/>
      <w:lvlJc w:val="left"/>
      <w:pPr>
        <w:ind w:left="425" w:hanging="425"/>
      </w:pPr>
      <w:rPr>
        <w:rFonts w:hint="eastAsia" w:ascii="Arial Unicode MS" w:hAnsi="Arial Unicode MS" w:eastAsia="微软雅黑"/>
        <w:b/>
        <w:i w:val="0"/>
        <w:lang w:val="en-US"/>
      </w:rPr>
    </w:lvl>
    <w:lvl w:ilvl="1" w:tentative="0">
      <w:start w:val="1"/>
      <w:numFmt w:val="decimal"/>
      <w:pStyle w:val="273"/>
      <w:isLgl/>
      <w:lvlText w:val="%1.%2"/>
      <w:lvlJc w:val="left"/>
      <w:pPr>
        <w:ind w:left="425" w:hanging="425"/>
      </w:pPr>
      <w:rPr>
        <w:rFonts w:hint="eastAsia" w:ascii="Arial Unicode MS" w:hAnsi="Arial Unicode MS" w:eastAsia="微软雅黑"/>
        <w:b/>
        <w:i w:val="0"/>
      </w:rPr>
    </w:lvl>
    <w:lvl w:ilvl="2" w:tentative="0">
      <w:start w:val="1"/>
      <w:numFmt w:val="decimal"/>
      <w:pStyle w:val="287"/>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2">
    <w:nsid w:val="D2EAFB13"/>
    <w:multiLevelType w:val="multilevel"/>
    <w:tmpl w:val="D2EAFB1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pStyle w:val="3"/>
      <w:suff w:val="nothing"/>
      <w:lvlText w:val="第%1章"/>
      <w:lvlJc w:val="left"/>
      <w:pPr>
        <w:ind w:left="567"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2"/>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4">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76"/>
      <w:lvlText w:val="%6."/>
      <w:lvlJc w:val="left"/>
      <w:pPr>
        <w:tabs>
          <w:tab w:val="left" w:pos="4320"/>
        </w:tabs>
        <w:ind w:left="4320" w:hanging="360"/>
      </w:pPr>
    </w:lvl>
    <w:lvl w:ilvl="6" w:tentative="0">
      <w:start w:val="1"/>
      <w:numFmt w:val="decimal"/>
      <w:pStyle w:val="377"/>
      <w:lvlText w:val="%7."/>
      <w:lvlJc w:val="left"/>
      <w:pPr>
        <w:tabs>
          <w:tab w:val="left" w:pos="5040"/>
        </w:tabs>
        <w:ind w:left="5040" w:hanging="360"/>
      </w:pPr>
    </w:lvl>
    <w:lvl w:ilvl="7" w:tentative="0">
      <w:start w:val="1"/>
      <w:numFmt w:val="decimal"/>
      <w:pStyle w:val="378"/>
      <w:lvlText w:val="%8."/>
      <w:lvlJc w:val="left"/>
      <w:pPr>
        <w:tabs>
          <w:tab w:val="left" w:pos="5760"/>
        </w:tabs>
        <w:ind w:left="5760" w:hanging="360"/>
      </w:pPr>
    </w:lvl>
    <w:lvl w:ilvl="8" w:tentative="0">
      <w:start w:val="1"/>
      <w:numFmt w:val="decimal"/>
      <w:pStyle w:val="379"/>
      <w:lvlText w:val="%9."/>
      <w:lvlJc w:val="left"/>
      <w:pPr>
        <w:tabs>
          <w:tab w:val="left" w:pos="6480"/>
        </w:tabs>
        <w:ind w:left="6480" w:hanging="36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B3C62"/>
    <w:rsid w:val="019A18FE"/>
    <w:rsid w:val="01E22955"/>
    <w:rsid w:val="02971E77"/>
    <w:rsid w:val="05E34401"/>
    <w:rsid w:val="05FE5AF9"/>
    <w:rsid w:val="07B25430"/>
    <w:rsid w:val="08726230"/>
    <w:rsid w:val="0EF645A0"/>
    <w:rsid w:val="0FE91A0F"/>
    <w:rsid w:val="105E064F"/>
    <w:rsid w:val="11531836"/>
    <w:rsid w:val="13D34EB0"/>
    <w:rsid w:val="14587163"/>
    <w:rsid w:val="18BC7C9D"/>
    <w:rsid w:val="1B3077C4"/>
    <w:rsid w:val="1FE3647B"/>
    <w:rsid w:val="21397D59"/>
    <w:rsid w:val="223B678D"/>
    <w:rsid w:val="2288155B"/>
    <w:rsid w:val="238A35AF"/>
    <w:rsid w:val="26D720FB"/>
    <w:rsid w:val="28893310"/>
    <w:rsid w:val="2E344345"/>
    <w:rsid w:val="2E630784"/>
    <w:rsid w:val="2E8F402B"/>
    <w:rsid w:val="30085575"/>
    <w:rsid w:val="31D8282A"/>
    <w:rsid w:val="33087B48"/>
    <w:rsid w:val="37256F21"/>
    <w:rsid w:val="37EB6977"/>
    <w:rsid w:val="38A00F55"/>
    <w:rsid w:val="390037A2"/>
    <w:rsid w:val="3CC845BF"/>
    <w:rsid w:val="3D882149"/>
    <w:rsid w:val="3EBE3EE3"/>
    <w:rsid w:val="3F94464C"/>
    <w:rsid w:val="417E5BAB"/>
    <w:rsid w:val="452151CC"/>
    <w:rsid w:val="4A065CFD"/>
    <w:rsid w:val="4D6009FB"/>
    <w:rsid w:val="4FCD042A"/>
    <w:rsid w:val="51346287"/>
    <w:rsid w:val="538A03E0"/>
    <w:rsid w:val="58C3426C"/>
    <w:rsid w:val="5A6951F3"/>
    <w:rsid w:val="5B4672E2"/>
    <w:rsid w:val="5B586E84"/>
    <w:rsid w:val="626D784A"/>
    <w:rsid w:val="62DA6C60"/>
    <w:rsid w:val="65736F26"/>
    <w:rsid w:val="68311949"/>
    <w:rsid w:val="6A7505D9"/>
    <w:rsid w:val="6BAA11C7"/>
    <w:rsid w:val="6C8E2897"/>
    <w:rsid w:val="71017ADB"/>
    <w:rsid w:val="717B788E"/>
    <w:rsid w:val="72832248"/>
    <w:rsid w:val="784262F5"/>
    <w:rsid w:val="79041CF6"/>
    <w:rsid w:val="7A6A0DAE"/>
    <w:rsid w:val="7B446F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rPr>
  </w:style>
  <w:style w:type="paragraph" w:styleId="3">
    <w:name w:val="heading 1"/>
    <w:basedOn w:val="1"/>
    <w:next w:val="1"/>
    <w:link w:val="362"/>
    <w:qFormat/>
    <w:uiPriority w:val="0"/>
    <w:pPr>
      <w:keepNext/>
      <w:keepLines/>
      <w:numPr>
        <w:ilvl w:val="0"/>
        <w:numId w:val="1"/>
      </w:numPr>
      <w:spacing w:before="340" w:after="330" w:line="578" w:lineRule="auto"/>
      <w:jc w:val="center"/>
      <w:outlineLvl w:val="0"/>
    </w:pPr>
    <w:rPr>
      <w:b/>
      <w:bCs/>
      <w:sz w:val="32"/>
      <w:szCs w:val="44"/>
    </w:rPr>
  </w:style>
  <w:style w:type="paragraph" w:styleId="4">
    <w:name w:val="heading 2"/>
    <w:basedOn w:val="1"/>
    <w:next w:val="1"/>
    <w:link w:val="299"/>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333"/>
    <w:qFormat/>
    <w:uiPriority w:val="0"/>
    <w:pPr>
      <w:keepNext/>
      <w:keepLines/>
      <w:numPr>
        <w:ilvl w:val="2"/>
        <w:numId w:val="1"/>
      </w:numPr>
      <w:spacing w:before="260" w:after="260" w:line="416" w:lineRule="auto"/>
      <w:outlineLvl w:val="2"/>
    </w:pPr>
    <w:rPr>
      <w:b/>
      <w:bCs/>
      <w:sz w:val="32"/>
      <w:szCs w:val="32"/>
    </w:rPr>
  </w:style>
  <w:style w:type="paragraph" w:styleId="2">
    <w:name w:val="heading 4"/>
    <w:basedOn w:val="1"/>
    <w:next w:val="1"/>
    <w:link w:val="367"/>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323"/>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11"/>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361"/>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347"/>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327"/>
    <w:qFormat/>
    <w:uiPriority w:val="0"/>
    <w:pPr>
      <w:keepNext/>
      <w:keepLines/>
      <w:numPr>
        <w:ilvl w:val="8"/>
        <w:numId w:val="1"/>
      </w:numPr>
      <w:spacing w:before="240" w:after="64" w:line="320" w:lineRule="auto"/>
      <w:outlineLvl w:val="8"/>
    </w:pPr>
    <w:rPr>
      <w:rFonts w:ascii="Cambria" w:hAnsi="Cambria"/>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pPr>
    <w:rPr>
      <w:rFonts w:ascii="Calibri" w:hAnsi="Calibri"/>
      <w:szCs w:val="22"/>
    </w:rPr>
  </w:style>
  <w:style w:type="paragraph" w:styleId="13">
    <w:name w:val="Normal Indent"/>
    <w:basedOn w:val="1"/>
    <w:link w:val="380"/>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318"/>
    <w:qFormat/>
    <w:uiPriority w:val="0"/>
    <w:rPr>
      <w:rFonts w:ascii="宋体"/>
      <w:sz w:val="18"/>
      <w:szCs w:val="18"/>
    </w:rPr>
  </w:style>
  <w:style w:type="paragraph" w:styleId="16">
    <w:name w:val="annotation text"/>
    <w:basedOn w:val="1"/>
    <w:link w:val="339"/>
    <w:qFormat/>
    <w:uiPriority w:val="99"/>
    <w:pPr>
      <w:jc w:val="left"/>
    </w:pPr>
  </w:style>
  <w:style w:type="paragraph" w:styleId="17">
    <w:name w:val="Body Text 3"/>
    <w:basedOn w:val="1"/>
    <w:link w:val="357"/>
    <w:qFormat/>
    <w:uiPriority w:val="0"/>
    <w:rPr>
      <w:rFonts w:ascii="宋体"/>
      <w:sz w:val="24"/>
      <w:szCs w:val="20"/>
    </w:rPr>
  </w:style>
  <w:style w:type="paragraph" w:styleId="18">
    <w:name w:val="Body Text"/>
    <w:basedOn w:val="1"/>
    <w:link w:val="346"/>
    <w:qFormat/>
    <w:uiPriority w:val="0"/>
    <w:pPr>
      <w:jc w:val="center"/>
    </w:pPr>
    <w:rPr>
      <w:rFonts w:eastAsia="幼圆"/>
      <w:b/>
      <w:bCs/>
      <w:sz w:val="44"/>
    </w:rPr>
  </w:style>
  <w:style w:type="paragraph" w:styleId="19">
    <w:name w:val="Body Text Indent"/>
    <w:basedOn w:val="1"/>
    <w:next w:val="1"/>
    <w:link w:val="307"/>
    <w:qFormat/>
    <w:uiPriority w:val="0"/>
    <w:pPr>
      <w:spacing w:after="120"/>
      <w:ind w:left="420"/>
    </w:pPr>
  </w:style>
  <w:style w:type="paragraph" w:styleId="20">
    <w:name w:val="Block Text"/>
    <w:basedOn w:val="1"/>
    <w:qFormat/>
    <w:uiPriority w:val="0"/>
    <w:pPr>
      <w:ind w:left="-216" w:leftChars="-104" w:right="2" w:rightChars="1" w:hanging="2"/>
      <w:jc w:val="center"/>
    </w:pPr>
    <w:rPr>
      <w:rFonts w:ascii="楷体_GB2312" w:hAnsi="Times New Roman" w:eastAsia="楷体_GB2312"/>
      <w:sz w:val="24"/>
      <w:szCs w:val="24"/>
    </w:rPr>
  </w:style>
  <w:style w:type="paragraph" w:styleId="21">
    <w:name w:val="index 4"/>
    <w:basedOn w:val="1"/>
    <w:next w:val="1"/>
    <w:qFormat/>
    <w:uiPriority w:val="0"/>
    <w:pPr>
      <w:ind w:left="600"/>
    </w:pPr>
    <w:rPr>
      <w:rFonts w:ascii="Calibri" w:hAnsi="Calibri"/>
    </w:rPr>
  </w:style>
  <w:style w:type="paragraph" w:styleId="22">
    <w:name w:val="toc 5"/>
    <w:basedOn w:val="1"/>
    <w:next w:val="1"/>
    <w:unhideWhenUsed/>
    <w:qFormat/>
    <w:uiPriority w:val="39"/>
    <w:pPr>
      <w:ind w:left="1680"/>
    </w:pPr>
    <w:rPr>
      <w:rFonts w:ascii="Calibri" w:hAnsi="Calibri"/>
      <w:szCs w:val="22"/>
    </w:rPr>
  </w:style>
  <w:style w:type="paragraph" w:styleId="23">
    <w:name w:val="toc 3"/>
    <w:basedOn w:val="1"/>
    <w:next w:val="1"/>
    <w:qFormat/>
    <w:uiPriority w:val="39"/>
    <w:pPr>
      <w:ind w:left="840"/>
    </w:pPr>
    <w:rPr>
      <w:rFonts w:ascii="Calibri" w:hAnsi="Calibri"/>
      <w:szCs w:val="22"/>
    </w:rPr>
  </w:style>
  <w:style w:type="paragraph" w:styleId="24">
    <w:name w:val="Plain Text"/>
    <w:basedOn w:val="1"/>
    <w:link w:val="312"/>
    <w:qFormat/>
    <w:uiPriority w:val="0"/>
    <w:rPr>
      <w:rFonts w:ascii="Ari"/>
      <w:sz w:val="20"/>
      <w:szCs w:val="20"/>
    </w:rPr>
  </w:style>
  <w:style w:type="paragraph" w:styleId="25">
    <w:name w:val="toc 8"/>
    <w:basedOn w:val="1"/>
    <w:next w:val="1"/>
    <w:unhideWhenUsed/>
    <w:qFormat/>
    <w:uiPriority w:val="39"/>
    <w:pPr>
      <w:ind w:left="2940"/>
    </w:pPr>
    <w:rPr>
      <w:rFonts w:ascii="Calibri" w:hAnsi="Calibri"/>
      <w:szCs w:val="22"/>
    </w:rPr>
  </w:style>
  <w:style w:type="paragraph" w:styleId="26">
    <w:name w:val="Date"/>
    <w:basedOn w:val="1"/>
    <w:next w:val="1"/>
    <w:link w:val="319"/>
    <w:unhideWhenUsed/>
    <w:qFormat/>
    <w:uiPriority w:val="0"/>
  </w:style>
  <w:style w:type="paragraph" w:styleId="27">
    <w:name w:val="Body Text Indent 2"/>
    <w:basedOn w:val="1"/>
    <w:link w:val="338"/>
    <w:unhideWhenUsed/>
    <w:qFormat/>
    <w:uiPriority w:val="99"/>
    <w:pPr>
      <w:spacing w:line="420" w:lineRule="exact"/>
      <w:ind w:firstLine="525"/>
    </w:pPr>
    <w:rPr>
      <w:rFonts w:ascii="宋体"/>
      <w:sz w:val="20"/>
      <w:szCs w:val="20"/>
    </w:rPr>
  </w:style>
  <w:style w:type="paragraph" w:styleId="28">
    <w:name w:val="endnote text"/>
    <w:basedOn w:val="1"/>
    <w:link w:val="233"/>
    <w:semiHidden/>
    <w:unhideWhenUsed/>
    <w:qFormat/>
    <w:uiPriority w:val="99"/>
    <w:rPr>
      <w:sz w:val="20"/>
    </w:rPr>
  </w:style>
  <w:style w:type="paragraph" w:styleId="29">
    <w:name w:val="Balloon Text"/>
    <w:basedOn w:val="1"/>
    <w:link w:val="360"/>
    <w:qFormat/>
    <w:uiPriority w:val="0"/>
    <w:rPr>
      <w:sz w:val="18"/>
      <w:szCs w:val="18"/>
    </w:rPr>
  </w:style>
  <w:style w:type="paragraph" w:styleId="30">
    <w:name w:val="footer"/>
    <w:basedOn w:val="1"/>
    <w:link w:val="351"/>
    <w:qFormat/>
    <w:uiPriority w:val="99"/>
    <w:pPr>
      <w:tabs>
        <w:tab w:val="center" w:pos="4153"/>
        <w:tab w:val="right" w:pos="8306"/>
      </w:tabs>
      <w:jc w:val="left"/>
    </w:pPr>
    <w:rPr>
      <w:sz w:val="18"/>
      <w:szCs w:val="18"/>
    </w:rPr>
  </w:style>
  <w:style w:type="paragraph" w:styleId="31">
    <w:name w:val="header"/>
    <w:basedOn w:val="1"/>
    <w:link w:val="310"/>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pPr>
    <w:rPr>
      <w:rFonts w:ascii="Calibri" w:hAnsi="Calibri"/>
      <w:szCs w:val="22"/>
    </w:rPr>
  </w:style>
  <w:style w:type="paragraph" w:styleId="34">
    <w:name w:val="Subtitle"/>
    <w:basedOn w:val="1"/>
    <w:next w:val="1"/>
    <w:link w:val="335"/>
    <w:qFormat/>
    <w:uiPriority w:val="0"/>
    <w:pPr>
      <w:spacing w:before="240" w:after="60" w:line="312" w:lineRule="auto"/>
      <w:jc w:val="center"/>
      <w:outlineLvl w:val="1"/>
    </w:pPr>
    <w:rPr>
      <w:rFonts w:ascii="Cambria" w:hAnsi="Cambria"/>
      <w:b/>
      <w:bCs/>
      <w:sz w:val="32"/>
      <w:szCs w:val="32"/>
    </w:rPr>
  </w:style>
  <w:style w:type="paragraph" w:styleId="35">
    <w:name w:val="footnote text"/>
    <w:basedOn w:val="1"/>
    <w:link w:val="232"/>
    <w:semiHidden/>
    <w:unhideWhenUsed/>
    <w:qFormat/>
    <w:uiPriority w:val="99"/>
    <w:pPr>
      <w:spacing w:after="40"/>
    </w:pPr>
    <w:rPr>
      <w:sz w:val="18"/>
    </w:rPr>
  </w:style>
  <w:style w:type="paragraph" w:styleId="36">
    <w:name w:val="toc 6"/>
    <w:basedOn w:val="1"/>
    <w:next w:val="1"/>
    <w:unhideWhenUsed/>
    <w:qFormat/>
    <w:uiPriority w:val="39"/>
    <w:pPr>
      <w:ind w:left="2100"/>
    </w:pPr>
    <w:rPr>
      <w:rFonts w:ascii="Calibri" w:hAnsi="Calibri"/>
      <w:szCs w:val="22"/>
    </w:rPr>
  </w:style>
  <w:style w:type="paragraph" w:styleId="37">
    <w:name w:val="Body Text Indent 3"/>
    <w:basedOn w:val="1"/>
    <w:link w:val="358"/>
    <w:qFormat/>
    <w:uiPriority w:val="0"/>
    <w:pPr>
      <w:spacing w:after="120"/>
      <w:ind w:left="420"/>
    </w:pPr>
    <w:rPr>
      <w:sz w:val="16"/>
      <w:szCs w:val="20"/>
    </w:rPr>
  </w:style>
  <w:style w:type="paragraph" w:styleId="38">
    <w:name w:val="table of figures"/>
    <w:basedOn w:val="1"/>
    <w:next w:val="1"/>
    <w:unhideWhenUsed/>
    <w:qFormat/>
    <w:uiPriority w:val="99"/>
  </w:style>
  <w:style w:type="paragraph" w:styleId="39">
    <w:name w:val="toc 2"/>
    <w:basedOn w:val="1"/>
    <w:next w:val="1"/>
    <w:qFormat/>
    <w:uiPriority w:val="39"/>
    <w:pPr>
      <w:ind w:left="420"/>
    </w:pPr>
    <w:rPr>
      <w:rFonts w:ascii="Calibri" w:hAnsi="Calibri"/>
      <w:szCs w:val="22"/>
    </w:rPr>
  </w:style>
  <w:style w:type="paragraph" w:styleId="40">
    <w:name w:val="toc 9"/>
    <w:basedOn w:val="1"/>
    <w:next w:val="1"/>
    <w:unhideWhenUsed/>
    <w:qFormat/>
    <w:uiPriority w:val="39"/>
    <w:pPr>
      <w:ind w:left="3360"/>
    </w:pPr>
    <w:rPr>
      <w:rFonts w:ascii="Calibri" w:hAnsi="Calibri"/>
      <w:szCs w:val="22"/>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2">
    <w:name w:val="Normal (Web)"/>
    <w:basedOn w:val="1"/>
    <w:qFormat/>
    <w:uiPriority w:val="99"/>
    <w:pPr>
      <w:widowControl/>
      <w:spacing w:before="100" w:beforeAutospacing="1" w:after="100" w:afterAutospacing="1"/>
      <w:jc w:val="left"/>
    </w:pPr>
    <w:rPr>
      <w:rFonts w:ascii="宋体" w:hAnsi="宋体" w:cs="宋体"/>
      <w:sz w:val="24"/>
    </w:rPr>
  </w:style>
  <w:style w:type="paragraph" w:styleId="43">
    <w:name w:val="index 1"/>
    <w:basedOn w:val="1"/>
    <w:next w:val="1"/>
    <w:qFormat/>
    <w:uiPriority w:val="0"/>
    <w:pPr>
      <w:spacing w:line="220" w:lineRule="exact"/>
      <w:jc w:val="center"/>
    </w:pPr>
    <w:rPr>
      <w:rFonts w:ascii="仿宋_GB2312" w:hAnsi="Calibri" w:eastAsia="仿宋_GB2312"/>
      <w:szCs w:val="22"/>
    </w:rPr>
  </w:style>
  <w:style w:type="paragraph" w:styleId="44">
    <w:name w:val="Title"/>
    <w:basedOn w:val="1"/>
    <w:next w:val="1"/>
    <w:link w:val="315"/>
    <w:qFormat/>
    <w:uiPriority w:val="0"/>
    <w:pPr>
      <w:spacing w:before="240" w:after="60" w:line="420" w:lineRule="atLeast"/>
      <w:jc w:val="center"/>
      <w:outlineLvl w:val="0"/>
    </w:pPr>
    <w:rPr>
      <w:rFonts w:ascii="Arial" w:hAnsi="Arial"/>
      <w:b/>
      <w:sz w:val="32"/>
      <w:szCs w:val="20"/>
    </w:rPr>
  </w:style>
  <w:style w:type="paragraph" w:styleId="45">
    <w:name w:val="annotation subject"/>
    <w:basedOn w:val="16"/>
    <w:next w:val="16"/>
    <w:link w:val="349"/>
    <w:qFormat/>
    <w:uiPriority w:val="0"/>
    <w:rPr>
      <w:b/>
      <w:bCs/>
    </w:rPr>
  </w:style>
  <w:style w:type="paragraph" w:styleId="46">
    <w:name w:val="Body Text First Indent"/>
    <w:basedOn w:val="18"/>
    <w:link w:val="371"/>
    <w:semiHidden/>
    <w:unhideWhenUsed/>
    <w:qFormat/>
    <w:uiPriority w:val="0"/>
    <w:pPr>
      <w:spacing w:after="120"/>
      <w:ind w:firstLine="420"/>
      <w:jc w:val="both"/>
    </w:pPr>
    <w:rPr>
      <w:rFonts w:eastAsia="宋体"/>
      <w:b w:val="0"/>
      <w:bCs w:val="0"/>
      <w:sz w:val="21"/>
    </w:rPr>
  </w:style>
  <w:style w:type="paragraph" w:styleId="47">
    <w:name w:val="Body Text First Indent 2"/>
    <w:basedOn w:val="19"/>
    <w:qFormat/>
    <w:uiPriority w:val="0"/>
    <w:pPr>
      <w:ind w:firstLine="420"/>
    </w:pPr>
    <w:rPr>
      <w:rFonts w:ascii="等线" w:eastAsia="等线"/>
      <w:szCs w:val="22"/>
    </w:rPr>
  </w:style>
  <w:style w:type="table" w:styleId="49">
    <w:name w:val="Table Grid"/>
    <w:basedOn w:val="48"/>
    <w:qFormat/>
    <w:uiPriority w:val="39"/>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rFonts w:cs="Times New Roman"/>
      <w:b/>
    </w:rPr>
  </w:style>
  <w:style w:type="character" w:styleId="52">
    <w:name w:val="endnote reference"/>
    <w:basedOn w:val="50"/>
    <w:semiHidden/>
    <w:unhideWhenUsed/>
    <w:qFormat/>
    <w:uiPriority w:val="99"/>
    <w:rPr>
      <w:vertAlign w:val="superscript"/>
    </w:rPr>
  </w:style>
  <w:style w:type="character" w:styleId="53">
    <w:name w:val="page number"/>
    <w:qFormat/>
    <w:uiPriority w:val="0"/>
    <w:rPr>
      <w:rFonts w:eastAsia="宋体"/>
      <w:b/>
      <w:spacing w:val="0"/>
      <w:sz w:val="24"/>
      <w:szCs w:val="24"/>
      <w:lang w:val="en-US" w:eastAsia="zh-CN" w:bidi="ar-SA"/>
    </w:rPr>
  </w:style>
  <w:style w:type="character" w:styleId="54">
    <w:name w:val="FollowedHyperlink"/>
    <w:qFormat/>
    <w:uiPriority w:val="0"/>
    <w:rPr>
      <w:color w:val="800080"/>
      <w:u w:val="single"/>
    </w:rPr>
  </w:style>
  <w:style w:type="character" w:styleId="55">
    <w:name w:val="Emphasis"/>
    <w:qFormat/>
    <w:uiPriority w:val="0"/>
    <w:rPr>
      <w:color w:val="CC0000"/>
    </w:rPr>
  </w:style>
  <w:style w:type="character" w:styleId="56">
    <w:name w:val="Hyperlink"/>
    <w:qFormat/>
    <w:uiPriority w:val="99"/>
    <w:rPr>
      <w:color w:val="0000FF"/>
      <w:u w:val="single"/>
    </w:rPr>
  </w:style>
  <w:style w:type="character" w:styleId="57">
    <w:name w:val="annotation reference"/>
    <w:qFormat/>
    <w:uiPriority w:val="99"/>
    <w:rPr>
      <w:sz w:val="21"/>
      <w:szCs w:val="21"/>
    </w:rPr>
  </w:style>
  <w:style w:type="character" w:styleId="58">
    <w:name w:val="HTML Cite"/>
    <w:qFormat/>
    <w:uiPriority w:val="0"/>
    <w:rPr>
      <w:color w:val="008000"/>
    </w:rPr>
  </w:style>
  <w:style w:type="character" w:styleId="59">
    <w:name w:val="footnote reference"/>
    <w:basedOn w:val="50"/>
    <w:unhideWhenUsed/>
    <w:qFormat/>
    <w:uiPriority w:val="99"/>
    <w:rPr>
      <w:vertAlign w:val="superscript"/>
    </w:rPr>
  </w:style>
  <w:style w:type="paragraph" w:customStyle="1" w:styleId="60">
    <w:name w:val="段"/>
    <w:qFormat/>
    <w:uiPriority w:val="0"/>
    <w:pPr>
      <w:widowControl w:val="0"/>
      <w:ind w:firstLine="200"/>
      <w:jc w:val="both"/>
    </w:pPr>
    <w:rPr>
      <w:rFonts w:hint="default" w:ascii="宋体" w:hAnsi="宋体" w:eastAsia="等线" w:cs="宋体"/>
      <w:color w:val="000000"/>
      <w:sz w:val="21"/>
      <w:szCs w:val="21"/>
    </w:rPr>
  </w:style>
  <w:style w:type="paragraph" w:styleId="61">
    <w:name w:val="List Paragraph"/>
    <w:basedOn w:val="1"/>
    <w:qFormat/>
    <w:uiPriority w:val="34"/>
    <w:pPr>
      <w:ind w:firstLine="420"/>
    </w:pPr>
  </w:style>
  <w:style w:type="table" w:customStyle="1" w:styleId="62">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1">
    <w:name w:val="TOC Heading"/>
    <w:unhideWhenUsed/>
    <w:qFormat/>
    <w:uiPriority w:val="39"/>
    <w:rPr>
      <w:rFonts w:hint="default" w:ascii="Times New Roman" w:hAnsi="Times New Roman" w:eastAsia="宋体" w:cs="Times New Roman"/>
    </w:rPr>
  </w:style>
  <w:style w:type="paragraph" w:customStyle="1" w:styleId="82">
    <w:name w:val="首行缩进"/>
    <w:basedOn w:val="1"/>
    <w:qFormat/>
    <w:uiPriority w:val="0"/>
    <w:pPr>
      <w:spacing w:line="360" w:lineRule="auto"/>
      <w:ind w:firstLine="420"/>
    </w:pPr>
    <w:rPr>
      <w:sz w:val="20"/>
    </w:rPr>
  </w:style>
  <w:style w:type="character" w:customStyle="1" w:styleId="83">
    <w:name w:val="Quote Char"/>
    <w:qFormat/>
    <w:uiPriority w:val="29"/>
    <w:rPr>
      <w:i/>
    </w:rPr>
  </w:style>
  <w:style w:type="character" w:customStyle="1" w:styleId="84">
    <w:name w:val="Intense Quote Char"/>
    <w:qFormat/>
    <w:uiPriority w:val="30"/>
    <w:rPr>
      <w:i/>
    </w:rPr>
  </w:style>
  <w:style w:type="character" w:customStyle="1" w:styleId="85">
    <w:name w:val="Footnote Text Char"/>
    <w:qFormat/>
    <w:uiPriority w:val="99"/>
    <w:rPr>
      <w:sz w:val="18"/>
    </w:rPr>
  </w:style>
  <w:style w:type="character" w:customStyle="1" w:styleId="86">
    <w:name w:val="Endnote Text Char"/>
    <w:qFormat/>
    <w:uiPriority w:val="99"/>
    <w:rPr>
      <w:sz w:val="20"/>
    </w:rPr>
  </w:style>
  <w:style w:type="paragraph" w:customStyle="1" w:styleId="87">
    <w:name w:val="列表段落1"/>
    <w:basedOn w:val="1"/>
    <w:qFormat/>
    <w:uiPriority w:val="99"/>
    <w:pPr>
      <w:ind w:firstLine="420"/>
    </w:pPr>
    <w:rPr>
      <w:szCs w:val="20"/>
    </w:rPr>
  </w:style>
  <w:style w:type="character" w:customStyle="1" w:styleId="88">
    <w:name w:val="Heading 1 Char"/>
    <w:basedOn w:val="50"/>
    <w:qFormat/>
    <w:uiPriority w:val="9"/>
    <w:rPr>
      <w:rFonts w:ascii="Arial" w:hAnsi="Arial" w:eastAsia="Arial" w:cs="Arial"/>
      <w:sz w:val="40"/>
      <w:szCs w:val="40"/>
    </w:rPr>
  </w:style>
  <w:style w:type="character" w:customStyle="1" w:styleId="89">
    <w:name w:val="Heading 2 Char"/>
    <w:basedOn w:val="50"/>
    <w:qFormat/>
    <w:uiPriority w:val="9"/>
    <w:rPr>
      <w:rFonts w:ascii="Arial" w:hAnsi="Arial" w:eastAsia="Arial" w:cs="Arial"/>
      <w:sz w:val="34"/>
    </w:rPr>
  </w:style>
  <w:style w:type="character" w:customStyle="1" w:styleId="90">
    <w:name w:val="Heading 3 Char"/>
    <w:basedOn w:val="50"/>
    <w:qFormat/>
    <w:uiPriority w:val="9"/>
    <w:rPr>
      <w:rFonts w:ascii="Arial" w:hAnsi="Arial" w:eastAsia="Arial" w:cs="Arial"/>
      <w:sz w:val="30"/>
      <w:szCs w:val="30"/>
    </w:rPr>
  </w:style>
  <w:style w:type="character" w:customStyle="1" w:styleId="91">
    <w:name w:val="Heading 4 Char"/>
    <w:basedOn w:val="50"/>
    <w:qFormat/>
    <w:uiPriority w:val="9"/>
    <w:rPr>
      <w:rFonts w:ascii="Arial" w:hAnsi="Arial" w:eastAsia="Arial" w:cs="Arial"/>
      <w:b/>
      <w:bCs/>
      <w:sz w:val="26"/>
      <w:szCs w:val="26"/>
    </w:rPr>
  </w:style>
  <w:style w:type="character" w:customStyle="1" w:styleId="92">
    <w:name w:val="Heading 5 Char"/>
    <w:basedOn w:val="50"/>
    <w:qFormat/>
    <w:uiPriority w:val="9"/>
    <w:rPr>
      <w:rFonts w:ascii="Arial" w:hAnsi="Arial" w:eastAsia="Arial" w:cs="Arial"/>
      <w:b/>
      <w:bCs/>
      <w:sz w:val="24"/>
      <w:szCs w:val="24"/>
    </w:rPr>
  </w:style>
  <w:style w:type="character" w:customStyle="1" w:styleId="93">
    <w:name w:val="Heading 6 Char"/>
    <w:basedOn w:val="50"/>
    <w:qFormat/>
    <w:uiPriority w:val="9"/>
    <w:rPr>
      <w:rFonts w:ascii="Arial" w:hAnsi="Arial" w:eastAsia="Arial" w:cs="Arial"/>
      <w:b/>
      <w:bCs/>
      <w:sz w:val="22"/>
      <w:szCs w:val="22"/>
    </w:rPr>
  </w:style>
  <w:style w:type="character" w:customStyle="1" w:styleId="94">
    <w:name w:val="Heading 7 Char"/>
    <w:basedOn w:val="50"/>
    <w:qFormat/>
    <w:uiPriority w:val="9"/>
    <w:rPr>
      <w:rFonts w:ascii="Arial" w:hAnsi="Arial" w:eastAsia="Arial" w:cs="Arial"/>
      <w:b/>
      <w:bCs/>
      <w:i/>
      <w:iCs/>
      <w:sz w:val="22"/>
      <w:szCs w:val="22"/>
    </w:rPr>
  </w:style>
  <w:style w:type="character" w:customStyle="1" w:styleId="95">
    <w:name w:val="Heading 8 Char"/>
    <w:basedOn w:val="50"/>
    <w:qFormat/>
    <w:uiPriority w:val="9"/>
    <w:rPr>
      <w:rFonts w:ascii="Arial" w:hAnsi="Arial" w:eastAsia="Arial" w:cs="Arial"/>
      <w:i/>
      <w:iCs/>
      <w:sz w:val="22"/>
      <w:szCs w:val="22"/>
    </w:rPr>
  </w:style>
  <w:style w:type="character" w:customStyle="1" w:styleId="96">
    <w:name w:val="Heading 9 Char"/>
    <w:basedOn w:val="50"/>
    <w:qFormat/>
    <w:uiPriority w:val="9"/>
    <w:rPr>
      <w:rFonts w:ascii="Arial" w:hAnsi="Arial" w:eastAsia="Arial" w:cs="Arial"/>
      <w:i/>
      <w:iCs/>
      <w:sz w:val="21"/>
      <w:szCs w:val="21"/>
    </w:rPr>
  </w:style>
  <w:style w:type="paragraph" w:styleId="97">
    <w:name w:val="No Spacing"/>
    <w:qFormat/>
    <w:uiPriority w:val="1"/>
    <w:rPr>
      <w:rFonts w:hint="default" w:ascii="Times New Roman" w:hAnsi="Times New Roman" w:eastAsia="宋体" w:cs="Times New Roman"/>
    </w:rPr>
  </w:style>
  <w:style w:type="character" w:customStyle="1" w:styleId="98">
    <w:name w:val="Title Char"/>
    <w:basedOn w:val="50"/>
    <w:qFormat/>
    <w:uiPriority w:val="10"/>
    <w:rPr>
      <w:sz w:val="48"/>
      <w:szCs w:val="48"/>
    </w:rPr>
  </w:style>
  <w:style w:type="character" w:customStyle="1" w:styleId="99">
    <w:name w:val="Subtitle Char"/>
    <w:basedOn w:val="50"/>
    <w:qFormat/>
    <w:uiPriority w:val="11"/>
    <w:rPr>
      <w:sz w:val="24"/>
      <w:szCs w:val="24"/>
    </w:rPr>
  </w:style>
  <w:style w:type="paragraph" w:styleId="100">
    <w:name w:val="Quote"/>
    <w:basedOn w:val="1"/>
    <w:next w:val="1"/>
    <w:link w:val="101"/>
    <w:qFormat/>
    <w:uiPriority w:val="29"/>
    <w:pPr>
      <w:ind w:left="720" w:right="720"/>
    </w:pPr>
    <w:rPr>
      <w:i/>
    </w:rPr>
  </w:style>
  <w:style w:type="character" w:customStyle="1" w:styleId="101">
    <w:name w:val="引用 字符"/>
    <w:link w:val="100"/>
    <w:qFormat/>
    <w:uiPriority w:val="29"/>
    <w:rPr>
      <w:i/>
    </w:rPr>
  </w:style>
  <w:style w:type="paragraph" w:styleId="102">
    <w:name w:val="Intense Quote"/>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字符"/>
    <w:link w:val="102"/>
    <w:qFormat/>
    <w:uiPriority w:val="30"/>
    <w:rPr>
      <w:i/>
    </w:rPr>
  </w:style>
  <w:style w:type="character" w:customStyle="1" w:styleId="104">
    <w:name w:val="Header Char"/>
    <w:basedOn w:val="50"/>
    <w:qFormat/>
    <w:uiPriority w:val="99"/>
  </w:style>
  <w:style w:type="character" w:customStyle="1" w:styleId="105">
    <w:name w:val="Footer Char"/>
    <w:basedOn w:val="50"/>
    <w:qFormat/>
    <w:uiPriority w:val="99"/>
  </w:style>
  <w:style w:type="character" w:customStyle="1" w:styleId="106">
    <w:name w:val="Caption Char"/>
    <w:qFormat/>
    <w:uiPriority w:val="99"/>
  </w:style>
  <w:style w:type="table" w:customStyle="1" w:styleId="107">
    <w:name w:val="Table Grid Light"/>
    <w:basedOn w:val="4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8">
    <w:name w:val="无格式表格 11"/>
    <w:basedOn w:val="4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9">
    <w:name w:val="无格式表格 21"/>
    <w:basedOn w:val="4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0">
    <w:name w:val="无格式表格 31"/>
    <w:basedOn w:val="4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无格式表格 41"/>
    <w:basedOn w:val="4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51"/>
    <w:basedOn w:val="4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网格表 1 浅色1"/>
    <w:basedOn w:val="4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4">
    <w:name w:val="Grid Table 1 Light - Accent 1"/>
    <w:basedOn w:val="4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5">
    <w:name w:val="Grid Table 1 Light - Accent 2"/>
    <w:basedOn w:val="4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6">
    <w:name w:val="Grid Table 1 Light - Accent 3"/>
    <w:basedOn w:val="4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7">
    <w:name w:val="Grid Table 1 Light - Accent 4"/>
    <w:basedOn w:val="4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8">
    <w:name w:val="Grid Table 1 Light - Accent 5"/>
    <w:basedOn w:val="4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9">
    <w:name w:val="Grid Table 1 Light - Accent 6"/>
    <w:basedOn w:val="4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0">
    <w:name w:val="网格表 21"/>
    <w:basedOn w:val="4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2 - Accent 1"/>
    <w:basedOn w:val="4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2">
    <w:name w:val="Grid Table 2 - Accent 2"/>
    <w:basedOn w:val="4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2 - Accent 3"/>
    <w:basedOn w:val="4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2 - Accent 4"/>
    <w:basedOn w:val="4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2 - Accent 5"/>
    <w:basedOn w:val="4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2 - Accent 6"/>
    <w:basedOn w:val="4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网格表 31"/>
    <w:basedOn w:val="4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3 - Accent 1"/>
    <w:basedOn w:val="4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3 - Accent 2"/>
    <w:basedOn w:val="4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3 - Accent 3"/>
    <w:basedOn w:val="4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3 - Accent 4"/>
    <w:basedOn w:val="4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3 - Accent 5"/>
    <w:basedOn w:val="4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3 - Accent 6"/>
    <w:basedOn w:val="4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网格表 41"/>
    <w:basedOn w:val="4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4 - Accent 1"/>
    <w:basedOn w:val="48"/>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6">
    <w:name w:val="Grid Table 4 - Accent 2"/>
    <w:basedOn w:val="48"/>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7">
    <w:name w:val="Grid Table 4 - Accent 3"/>
    <w:basedOn w:val="48"/>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8">
    <w:name w:val="Grid Table 4 - Accent 4"/>
    <w:basedOn w:val="48"/>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9">
    <w:name w:val="Grid Table 4 - Accent 5"/>
    <w:basedOn w:val="48"/>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0">
    <w:name w:val="Grid Table 4 - Accent 6"/>
    <w:basedOn w:val="48"/>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1">
    <w:name w:val="网格表 5 深色1"/>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2">
    <w:name w:val="Grid Table 5 Dark- Accent 1"/>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3">
    <w:name w:val="Grid Table 5 Dark - Accent 2"/>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4">
    <w:name w:val="Grid Table 5 Dark - Accent 3"/>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5">
    <w:name w:val="Grid Table 5 Dark- Accent 4"/>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6">
    <w:name w:val="Grid Table 5 Dark - Accent 5"/>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7">
    <w:name w:val="Grid Table 5 Dark - Accent 6"/>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8">
    <w:name w:val="网格表 6 彩色1"/>
    <w:basedOn w:val="4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6 Colorful - Accent 1"/>
    <w:basedOn w:val="48"/>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6 Colorful - Accent 2"/>
    <w:basedOn w:val="4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6 Colorful - Accent 3"/>
    <w:basedOn w:val="48"/>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6 Colorful - Accent 4"/>
    <w:basedOn w:val="4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6 Colorful - Accent 5"/>
    <w:basedOn w:val="48"/>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6 Colorful - Accent 6"/>
    <w:basedOn w:val="48"/>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5">
    <w:name w:val="网格表 7 彩色1"/>
    <w:basedOn w:val="4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Grid Table 7 Colorful - Accent 1"/>
    <w:basedOn w:val="48"/>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7">
    <w:name w:val="Grid Table 7 Colorful - Accent 2"/>
    <w:basedOn w:val="48"/>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Grid Table 7 Colorful - Accent 3"/>
    <w:basedOn w:val="48"/>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9">
    <w:name w:val="Grid Table 7 Colorful - Accent 4"/>
    <w:basedOn w:val="48"/>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Grid Table 7 Colorful - Accent 5"/>
    <w:basedOn w:val="48"/>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1">
    <w:name w:val="Grid Table 7 Colorful - Accent 6"/>
    <w:basedOn w:val="48"/>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2">
    <w:name w:val="清单表 1 浅色1"/>
    <w:basedOn w:val="4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3">
    <w:name w:val="List Table 1 Light - Accent 1"/>
    <w:basedOn w:val="48"/>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4">
    <w:name w:val="List Table 1 Light - Accent 2"/>
    <w:basedOn w:val="48"/>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5">
    <w:name w:val="List Table 1 Light - Accent 3"/>
    <w:basedOn w:val="48"/>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6">
    <w:name w:val="List Table 1 Light - Accent 4"/>
    <w:basedOn w:val="48"/>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7">
    <w:name w:val="List Table 1 Light - Accent 5"/>
    <w:basedOn w:val="48"/>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8">
    <w:name w:val="List Table 1 Light - Accent 6"/>
    <w:basedOn w:val="48"/>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9">
    <w:name w:val="清单表 21"/>
    <w:basedOn w:val="4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2 - Accent 1"/>
    <w:basedOn w:val="48"/>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2 - Accent 2"/>
    <w:basedOn w:val="48"/>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2 - Accent 3"/>
    <w:basedOn w:val="48"/>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2 - Accent 4"/>
    <w:basedOn w:val="48"/>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2 - Accent 5"/>
    <w:basedOn w:val="48"/>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2 - Accent 6"/>
    <w:basedOn w:val="48"/>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清单表 31"/>
    <w:basedOn w:val="4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7">
    <w:name w:val="List Table 3 - Accent 1"/>
    <w:basedOn w:val="48"/>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8">
    <w:name w:val="List Table 3 - Accent 2"/>
    <w:basedOn w:val="4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9">
    <w:name w:val="List Table 3 - Accent 3"/>
    <w:basedOn w:val="48"/>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0">
    <w:name w:val="List Table 3 - Accent 4"/>
    <w:basedOn w:val="4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1">
    <w:name w:val="List Table 3 - Accent 5"/>
    <w:basedOn w:val="48"/>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2">
    <w:name w:val="List Table 3 - Accent 6"/>
    <w:basedOn w:val="48"/>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3">
    <w:name w:val="清单表 41"/>
    <w:basedOn w:val="4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4">
    <w:name w:val="List Table 4 - Accent 1"/>
    <w:basedOn w:val="48"/>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5">
    <w:name w:val="List Table 4 - Accent 2"/>
    <w:basedOn w:val="48"/>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6">
    <w:name w:val="List Table 4 - Accent 3"/>
    <w:basedOn w:val="48"/>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7">
    <w:name w:val="List Table 4 - Accent 4"/>
    <w:basedOn w:val="48"/>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8">
    <w:name w:val="List Table 4 - Accent 5"/>
    <w:basedOn w:val="48"/>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9">
    <w:name w:val="List Table 4 - Accent 6"/>
    <w:basedOn w:val="48"/>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0">
    <w:name w:val="清单表 5 深色1"/>
    <w:basedOn w:val="4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1">
    <w:name w:val="List Table 5 Dark - Accent 1"/>
    <w:basedOn w:val="48"/>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2">
    <w:name w:val="List Table 5 Dark - Accent 2"/>
    <w:basedOn w:val="48"/>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3">
    <w:name w:val="List Table 5 Dark - Accent 3"/>
    <w:basedOn w:val="48"/>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4">
    <w:name w:val="List Table 5 Dark - Accent 4"/>
    <w:basedOn w:val="48"/>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5">
    <w:name w:val="List Table 5 Dark - Accent 5"/>
    <w:basedOn w:val="48"/>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6">
    <w:name w:val="List Table 5 Dark - Accent 6"/>
    <w:basedOn w:val="48"/>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7">
    <w:name w:val="清单表 6 彩色1"/>
    <w:basedOn w:val="4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8">
    <w:name w:val="List Table 6 Colorful - Accent 1"/>
    <w:basedOn w:val="48"/>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9">
    <w:name w:val="List Table 6 Colorful - Accent 2"/>
    <w:basedOn w:val="48"/>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0">
    <w:name w:val="List Table 6 Colorful - Accent 3"/>
    <w:basedOn w:val="48"/>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1">
    <w:name w:val="List Table 6 Colorful - Accent 4"/>
    <w:basedOn w:val="48"/>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2">
    <w:name w:val="List Table 6 Colorful - Accent 5"/>
    <w:basedOn w:val="48"/>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3">
    <w:name w:val="List Table 6 Colorful - Accent 6"/>
    <w:basedOn w:val="48"/>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4">
    <w:name w:val="清单表 7 彩色1"/>
    <w:basedOn w:val="4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5">
    <w:name w:val="List Table 7 Colorful - Accent 1"/>
    <w:basedOn w:val="48"/>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6">
    <w:name w:val="List Table 7 Colorful - Accent 2"/>
    <w:basedOn w:val="48"/>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7">
    <w:name w:val="List Table 7 Colorful - Accent 3"/>
    <w:basedOn w:val="48"/>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8">
    <w:name w:val="List Table 7 Colorful - Accent 4"/>
    <w:basedOn w:val="48"/>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9">
    <w:name w:val="List Table 7 Colorful - Accent 5"/>
    <w:basedOn w:val="48"/>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0">
    <w:name w:val="List Table 7 Colorful - Accent 6"/>
    <w:basedOn w:val="48"/>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1">
    <w:name w:val="Lined - Accent"/>
    <w:basedOn w:val="4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Lined - Accent 1"/>
    <w:basedOn w:val="48"/>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3">
    <w:name w:val="Lined - Accent 2"/>
    <w:basedOn w:val="48"/>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4">
    <w:name w:val="Lined - Accent 3"/>
    <w:basedOn w:val="48"/>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5">
    <w:name w:val="Lined - Accent 4"/>
    <w:basedOn w:val="48"/>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6">
    <w:name w:val="Lined - Accent 5"/>
    <w:basedOn w:val="48"/>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7">
    <w:name w:val="Lined - Accent 6"/>
    <w:basedOn w:val="48"/>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8">
    <w:name w:val="Bordered &amp; Lined - Accent"/>
    <w:basedOn w:val="4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Bordered &amp; Lined - Accent 1"/>
    <w:basedOn w:val="48"/>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0">
    <w:name w:val="Bordered &amp; Lined - Accent 2"/>
    <w:basedOn w:val="48"/>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1">
    <w:name w:val="Bordered &amp; Lined - Accent 3"/>
    <w:basedOn w:val="48"/>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2">
    <w:name w:val="Bordered &amp; Lined - Accent 4"/>
    <w:basedOn w:val="48"/>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3">
    <w:name w:val="Bordered &amp; Lined - Accent 5"/>
    <w:basedOn w:val="48"/>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4">
    <w:name w:val="Bordered &amp; Lined - Accent 6"/>
    <w:basedOn w:val="48"/>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5">
    <w:name w:val="Bordered"/>
    <w:basedOn w:val="4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6">
    <w:name w:val="Bordered - Accent 1"/>
    <w:basedOn w:val="4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7">
    <w:name w:val="Bordered - Accent 2"/>
    <w:basedOn w:val="4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8">
    <w:name w:val="Bordered - Accent 3"/>
    <w:basedOn w:val="4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9">
    <w:name w:val="Bordered - Accent 4"/>
    <w:basedOn w:val="4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0">
    <w:name w:val="Bordered - Accent 5"/>
    <w:basedOn w:val="4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1">
    <w:name w:val="Bordered - Accent 6"/>
    <w:basedOn w:val="4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2">
    <w:name w:val="脚注文本 字符"/>
    <w:link w:val="35"/>
    <w:qFormat/>
    <w:uiPriority w:val="99"/>
    <w:rPr>
      <w:sz w:val="18"/>
    </w:rPr>
  </w:style>
  <w:style w:type="character" w:customStyle="1" w:styleId="233">
    <w:name w:val="尾注文本 字符"/>
    <w:link w:val="28"/>
    <w:qFormat/>
    <w:uiPriority w:val="99"/>
    <w:rPr>
      <w:sz w:val="20"/>
    </w:rPr>
  </w:style>
  <w:style w:type="paragraph" w:customStyle="1" w:styleId="234">
    <w:name w:val="TOC 标题1"/>
    <w:unhideWhenUsed/>
    <w:qFormat/>
    <w:uiPriority w:val="39"/>
    <w:rPr>
      <w:rFonts w:hint="default" w:ascii="Times New Roman" w:hAnsi="Times New Roman" w:eastAsia="宋体" w:cs="Times New Roman"/>
    </w:rPr>
  </w:style>
  <w:style w:type="paragraph" w:customStyle="1" w:styleId="235">
    <w:name w:val="列出段落1"/>
    <w:basedOn w:val="1"/>
    <w:qFormat/>
    <w:uiPriority w:val="0"/>
    <w:pPr>
      <w:ind w:firstLine="420"/>
    </w:pPr>
  </w:style>
  <w:style w:type="paragraph" w:customStyle="1" w:styleId="236">
    <w:name w:val="标题 3_0"/>
    <w:basedOn w:val="237"/>
    <w:next w:val="237"/>
    <w:link w:val="298"/>
    <w:qFormat/>
    <w:uiPriority w:val="0"/>
    <w:pPr>
      <w:keepNext/>
      <w:keepLines/>
      <w:spacing w:before="260" w:after="260" w:line="416" w:lineRule="auto"/>
      <w:outlineLvl w:val="2"/>
    </w:pPr>
    <w:rPr>
      <w:b/>
      <w:bCs/>
      <w:sz w:val="32"/>
      <w:szCs w:val="32"/>
    </w:rPr>
  </w:style>
  <w:style w:type="paragraph" w:customStyle="1" w:styleId="237">
    <w:name w:val="正文_0"/>
    <w:qFormat/>
    <w:uiPriority w:val="0"/>
    <w:pPr>
      <w:widowControl w:val="0"/>
      <w:jc w:val="both"/>
    </w:pPr>
    <w:rPr>
      <w:rFonts w:hint="default" w:ascii="Times New Roman" w:hAnsi="Times New Roman" w:eastAsia="宋体" w:cs="Times New Roman"/>
      <w:sz w:val="21"/>
      <w:szCs w:val="24"/>
    </w:rPr>
  </w:style>
  <w:style w:type="paragraph" w:customStyle="1" w:styleId="238">
    <w:name w:val="引用1"/>
    <w:basedOn w:val="1"/>
    <w:next w:val="1"/>
    <w:link w:val="303"/>
    <w:qFormat/>
    <w:uiPriority w:val="0"/>
    <w:rPr>
      <w:i/>
      <w:iCs/>
      <w:color w:val="000000"/>
      <w:sz w:val="20"/>
      <w:szCs w:val="20"/>
    </w:rPr>
  </w:style>
  <w:style w:type="paragraph" w:customStyle="1" w:styleId="239">
    <w:name w:val="标题 1_0"/>
    <w:basedOn w:val="237"/>
    <w:next w:val="237"/>
    <w:link w:val="304"/>
    <w:qFormat/>
    <w:uiPriority w:val="0"/>
    <w:pPr>
      <w:keepNext/>
      <w:keepLines/>
      <w:spacing w:before="340" w:after="330" w:line="578" w:lineRule="auto"/>
      <w:outlineLvl w:val="0"/>
    </w:pPr>
    <w:rPr>
      <w:b/>
      <w:bCs/>
      <w:sz w:val="44"/>
      <w:szCs w:val="44"/>
    </w:rPr>
  </w:style>
  <w:style w:type="paragraph" w:customStyle="1" w:styleId="240">
    <w:name w:val="标题 4_0"/>
    <w:basedOn w:val="237"/>
    <w:next w:val="237"/>
    <w:link w:val="309"/>
    <w:qFormat/>
    <w:uiPriority w:val="0"/>
    <w:pPr>
      <w:keepNext/>
      <w:keepLines/>
      <w:spacing w:before="280" w:after="290" w:line="376" w:lineRule="auto"/>
      <w:outlineLvl w:val="3"/>
    </w:pPr>
    <w:rPr>
      <w:rFonts w:ascii="Arial" w:hAnsi="Arial" w:eastAsia="黑体"/>
      <w:b/>
      <w:bCs/>
      <w:sz w:val="28"/>
      <w:szCs w:val="28"/>
    </w:rPr>
  </w:style>
  <w:style w:type="paragraph" w:customStyle="1" w:styleId="241">
    <w:name w:val="标题5"/>
    <w:basedOn w:val="5"/>
    <w:link w:val="316"/>
    <w:qFormat/>
    <w:uiPriority w:val="0"/>
    <w:pPr>
      <w:numPr>
        <w:numId w:val="0"/>
      </w:numPr>
      <w:spacing w:line="413" w:lineRule="auto"/>
    </w:pPr>
    <w:rPr>
      <w:rFonts w:ascii="Arial" w:hAnsi="Arial"/>
      <w:sz w:val="24"/>
    </w:rPr>
  </w:style>
  <w:style w:type="paragraph" w:customStyle="1" w:styleId="242">
    <w:name w:val="明显引用1"/>
    <w:basedOn w:val="1"/>
    <w:next w:val="1"/>
    <w:link w:val="322"/>
    <w:qFormat/>
    <w:uiPriority w:val="0"/>
    <w:pPr>
      <w:pBdr>
        <w:bottom w:val="single" w:color="4F81BD" w:sz="4" w:space="4"/>
      </w:pBdr>
      <w:spacing w:before="200" w:after="280"/>
      <w:ind w:left="936" w:right="936"/>
    </w:pPr>
    <w:rPr>
      <w:b/>
      <w:bCs/>
      <w:i/>
      <w:iCs/>
      <w:color w:val="4F81BD"/>
      <w:sz w:val="20"/>
      <w:szCs w:val="20"/>
    </w:rPr>
  </w:style>
  <w:style w:type="paragraph" w:customStyle="1" w:styleId="243">
    <w:name w:val="正文文本_0"/>
    <w:basedOn w:val="237"/>
    <w:link w:val="334"/>
    <w:qFormat/>
    <w:uiPriority w:val="0"/>
    <w:pPr>
      <w:spacing w:after="120"/>
    </w:pPr>
    <w:rPr>
      <w:sz w:val="20"/>
    </w:rPr>
  </w:style>
  <w:style w:type="paragraph" w:customStyle="1" w:styleId="244">
    <w:name w:val="标题 5_0"/>
    <w:basedOn w:val="237"/>
    <w:next w:val="237"/>
    <w:link w:val="337"/>
    <w:qFormat/>
    <w:uiPriority w:val="0"/>
    <w:pPr>
      <w:keepNext/>
      <w:keepLines/>
      <w:spacing w:before="280" w:after="290" w:line="372" w:lineRule="auto"/>
      <w:outlineLvl w:val="4"/>
    </w:pPr>
    <w:rPr>
      <w:rFonts w:ascii="Calibri" w:hAnsi="Calibri"/>
      <w:b/>
      <w:bCs/>
      <w:sz w:val="28"/>
      <w:szCs w:val="28"/>
    </w:rPr>
  </w:style>
  <w:style w:type="paragraph" w:customStyle="1" w:styleId="245">
    <w:name w:val="标题4"/>
    <w:basedOn w:val="4"/>
    <w:next w:val="21"/>
    <w:link w:val="352"/>
    <w:qFormat/>
    <w:uiPriority w:val="0"/>
    <w:pPr>
      <w:numPr>
        <w:numId w:val="0"/>
      </w:numPr>
      <w:spacing w:line="413" w:lineRule="auto"/>
    </w:pPr>
    <w:rPr>
      <w:rFonts w:ascii="Arial" w:hAnsi="Arial"/>
      <w:sz w:val="24"/>
    </w:rPr>
  </w:style>
  <w:style w:type="paragraph" w:customStyle="1" w:styleId="246">
    <w:name w:val="标题 2_0"/>
    <w:basedOn w:val="237"/>
    <w:next w:val="237"/>
    <w:link w:val="364"/>
    <w:unhideWhenUsed/>
    <w:qFormat/>
    <w:uiPriority w:val="0"/>
    <w:pPr>
      <w:keepNext/>
      <w:keepLines/>
      <w:spacing w:before="260" w:after="260" w:line="416" w:lineRule="auto"/>
      <w:outlineLvl w:val="1"/>
    </w:pPr>
    <w:rPr>
      <w:rFonts w:ascii="Cambria" w:hAnsi="Cambria"/>
      <w:b/>
      <w:bCs/>
      <w:sz w:val="32"/>
      <w:szCs w:val="32"/>
    </w:rPr>
  </w:style>
  <w:style w:type="paragraph" w:customStyle="1" w:styleId="247">
    <w:name w:val="List Paragraph1"/>
    <w:basedOn w:val="1"/>
    <w:link w:val="368"/>
    <w:qFormat/>
    <w:uiPriority w:val="99"/>
    <w:pPr>
      <w:ind w:firstLine="420"/>
    </w:pPr>
  </w:style>
  <w:style w:type="paragraph" w:customStyle="1" w:styleId="248">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249">
    <w:name w:val="_Style 34"/>
    <w:next w:val="1"/>
    <w:qFormat/>
    <w:uiPriority w:val="0"/>
    <w:pPr>
      <w:widowControl w:val="0"/>
      <w:jc w:val="both"/>
    </w:pPr>
    <w:rPr>
      <w:rFonts w:hint="default" w:ascii="Times New Roman" w:hAnsi="Times New Roman" w:eastAsia="宋体" w:cs="Times New Roman"/>
      <w:sz w:val="21"/>
    </w:rPr>
  </w:style>
  <w:style w:type="paragraph" w:customStyle="1" w:styleId="250">
    <w:name w:val="正文_3"/>
    <w:qFormat/>
    <w:uiPriority w:val="0"/>
    <w:pPr>
      <w:widowControl w:val="0"/>
      <w:jc w:val="both"/>
    </w:pPr>
    <w:rPr>
      <w:rFonts w:hint="default" w:ascii="Times New Roman" w:hAnsi="Times New Roman" w:eastAsia="宋体" w:cs="Times New Roman"/>
      <w:sz w:val="21"/>
      <w:szCs w:val="22"/>
    </w:rPr>
  </w:style>
  <w:style w:type="paragraph" w:customStyle="1" w:styleId="251">
    <w:name w:val="_Style 36"/>
    <w:next w:val="1"/>
    <w:qFormat/>
    <w:uiPriority w:val="0"/>
    <w:pPr>
      <w:widowControl w:val="0"/>
      <w:jc w:val="both"/>
    </w:pPr>
    <w:rPr>
      <w:rFonts w:hint="default" w:ascii="Times New Roman" w:hAnsi="Times New Roman" w:eastAsia="宋体" w:cs="Times New Roman"/>
      <w:sz w:val="21"/>
    </w:rPr>
  </w:style>
  <w:style w:type="paragraph" w:customStyle="1" w:styleId="252">
    <w:name w:val="空半行"/>
    <w:basedOn w:val="1"/>
    <w:qFormat/>
    <w:uiPriority w:val="0"/>
    <w:pPr>
      <w:spacing w:line="120" w:lineRule="exact"/>
    </w:pPr>
    <w:rPr>
      <w:rFonts w:ascii="Calibri" w:hAnsi="Calibri" w:eastAsia="仿宋_GB2312"/>
      <w:color w:val="FFFFFF"/>
      <w:sz w:val="30"/>
      <w:szCs w:val="22"/>
    </w:rPr>
  </w:style>
  <w:style w:type="paragraph" w:customStyle="1" w:styleId="253">
    <w:name w:val="1方案格式1"/>
    <w:basedOn w:val="3"/>
    <w:qFormat/>
    <w:uiPriority w:val="0"/>
    <w:pPr>
      <w:numPr>
        <w:numId w:val="2"/>
      </w:numPr>
      <w:tabs>
        <w:tab w:val="left" w:pos="360"/>
      </w:tabs>
      <w:spacing w:line="360" w:lineRule="auto"/>
      <w:ind w:left="0" w:firstLine="0"/>
    </w:pPr>
    <w:rPr>
      <w:rFonts w:eastAsia="微软雅黑"/>
      <w:bCs w:val="0"/>
      <w:sz w:val="48"/>
    </w:rPr>
  </w:style>
  <w:style w:type="paragraph" w:customStyle="1" w:styleId="254">
    <w:name w:val="格式３"/>
    <w:basedOn w:val="1"/>
    <w:qFormat/>
    <w:uiPriority w:val="0"/>
    <w:pPr>
      <w:spacing w:line="420" w:lineRule="exact"/>
      <w:ind w:left="600" w:hanging="600"/>
    </w:pPr>
    <w:rPr>
      <w:rFonts w:ascii="宋体" w:hAnsi="宋体"/>
      <w:color w:val="000000"/>
      <w:sz w:val="24"/>
      <w:szCs w:val="20"/>
    </w:rPr>
  </w:style>
  <w:style w:type="paragraph" w:customStyle="1" w:styleId="255">
    <w:name w:val="正文1"/>
    <w:qFormat/>
    <w:uiPriority w:val="0"/>
    <w:pPr>
      <w:widowControl w:val="0"/>
      <w:jc w:val="both"/>
    </w:pPr>
    <w:rPr>
      <w:rFonts w:hint="default" w:ascii="Calibri" w:hAnsi="Calibri" w:eastAsia="宋体" w:cs="Times New Roman"/>
    </w:rPr>
  </w:style>
  <w:style w:type="paragraph" w:customStyle="1" w:styleId="256">
    <w:name w:val="列出段落111"/>
    <w:basedOn w:val="1"/>
    <w:qFormat/>
    <w:uiPriority w:val="99"/>
    <w:pPr>
      <w:widowControl/>
      <w:ind w:left="720"/>
      <w:contextualSpacing/>
      <w:jc w:val="left"/>
    </w:pPr>
    <w:rPr>
      <w:rFonts w:ascii="Arial" w:hAnsi="Arial" w:eastAsia="黑体"/>
      <w:sz w:val="24"/>
      <w:lang w:eastAsia="en-US"/>
    </w:rPr>
  </w:style>
  <w:style w:type="paragraph" w:customStyle="1" w:styleId="257">
    <w:name w:val="正文空2字"/>
    <w:basedOn w:val="1"/>
    <w:qFormat/>
    <w:uiPriority w:val="0"/>
    <w:pPr>
      <w:spacing w:line="360" w:lineRule="auto"/>
      <w:ind w:firstLine="200"/>
    </w:pPr>
    <w:rPr>
      <w:sz w:val="24"/>
      <w:lang w:bidi="en-US"/>
    </w:rPr>
  </w:style>
  <w:style w:type="paragraph" w:customStyle="1" w:styleId="258">
    <w:name w:val="正文_0_0_0"/>
    <w:qFormat/>
    <w:uiPriority w:val="0"/>
    <w:pPr>
      <w:widowControl w:val="0"/>
      <w:jc w:val="both"/>
    </w:pPr>
    <w:rPr>
      <w:rFonts w:hint="default" w:ascii="Times New Roman" w:hAnsi="Times New Roman" w:eastAsia="宋体" w:cs="Times New Roman"/>
    </w:rPr>
  </w:style>
  <w:style w:type="paragraph" w:customStyle="1" w:styleId="259">
    <w:name w:val="目录 5_0"/>
    <w:basedOn w:val="237"/>
    <w:next w:val="237"/>
    <w:qFormat/>
    <w:uiPriority w:val="39"/>
    <w:pPr>
      <w:ind w:left="1680"/>
    </w:pPr>
    <w:rPr>
      <w:rFonts w:ascii="Calibri" w:hAnsi="Calibri"/>
    </w:rPr>
  </w:style>
  <w:style w:type="paragraph" w:customStyle="1" w:styleId="260">
    <w:name w:val="修订1"/>
    <w:qFormat/>
    <w:uiPriority w:val="0"/>
    <w:rPr>
      <w:rFonts w:hint="default" w:ascii="Times New Roman" w:hAnsi="Times New Roman" w:eastAsia="宋体" w:cs="Times New Roman"/>
      <w:sz w:val="21"/>
      <w:szCs w:val="24"/>
    </w:rPr>
  </w:style>
  <w:style w:type="paragraph" w:customStyle="1" w:styleId="261">
    <w:name w:val="标题 11"/>
    <w:basedOn w:val="255"/>
    <w:next w:val="255"/>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262">
    <w:name w:val="正文 + 行距: 固定值 20 磅"/>
    <w:basedOn w:val="1"/>
    <w:qFormat/>
    <w:uiPriority w:val="0"/>
    <w:pPr>
      <w:spacing w:line="400" w:lineRule="exact"/>
      <w:ind w:firstLine="716"/>
    </w:pPr>
    <w:rPr>
      <w:rFonts w:ascii="Calibri" w:hAnsi="Calibri"/>
      <w:szCs w:val="22"/>
    </w:rPr>
  </w:style>
  <w:style w:type="paragraph" w:customStyle="1" w:styleId="263">
    <w:name w:val="TOC 标题11"/>
    <w:basedOn w:val="3"/>
    <w:next w:val="1"/>
    <w:qFormat/>
    <w:uiPriority w:val="0"/>
    <w:pPr>
      <w:widowControl/>
      <w:numPr>
        <w:ilvl w:val="0"/>
        <w:numId w:val="0"/>
      </w:numPr>
      <w:spacing w:before="480" w:after="0" w:line="276" w:lineRule="auto"/>
      <w:jc w:val="left"/>
      <w:outlineLvl w:val="9"/>
    </w:pPr>
    <w:rPr>
      <w:rFonts w:ascii="Cambria" w:hAnsi="Cambria"/>
      <w:color w:val="365F91"/>
      <w:sz w:val="28"/>
      <w:szCs w:val="28"/>
    </w:rPr>
  </w:style>
  <w:style w:type="paragraph" w:customStyle="1" w:styleId="264">
    <w:name w:val="表格文字"/>
    <w:basedOn w:val="1"/>
    <w:link w:val="369"/>
    <w:qFormat/>
    <w:uiPriority w:val="0"/>
    <w:pPr>
      <w:spacing w:line="420" w:lineRule="atLeast"/>
      <w:jc w:val="left"/>
    </w:pPr>
    <w:rPr>
      <w:rFonts w:ascii="Calibri" w:hAnsi="Calibri"/>
      <w:szCs w:val="22"/>
    </w:rPr>
  </w:style>
  <w:style w:type="paragraph" w:customStyle="1" w:styleId="265">
    <w:name w:val="flNote"/>
    <w:basedOn w:val="1"/>
    <w:qFormat/>
    <w:uiPriority w:val="0"/>
    <w:pPr>
      <w:spacing w:before="320" w:after="160" w:line="360" w:lineRule="atLeast"/>
      <w:jc w:val="center"/>
    </w:pPr>
    <w:rPr>
      <w:rFonts w:ascii="Arial" w:hAnsi="Calibri" w:eastAsia="黑体"/>
      <w:sz w:val="30"/>
      <w:szCs w:val="22"/>
    </w:rPr>
  </w:style>
  <w:style w:type="paragraph" w:customStyle="1" w:styleId="266">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267">
    <w:name w:val="表格"/>
    <w:basedOn w:val="1"/>
    <w:qFormat/>
    <w:uiPriority w:val="0"/>
    <w:pPr>
      <w:jc w:val="center"/>
    </w:pPr>
    <w:rPr>
      <w:rFonts w:ascii="华文细黑" w:hAnsi="华文细黑"/>
      <w:szCs w:val="22"/>
    </w:rPr>
  </w:style>
  <w:style w:type="paragraph" w:customStyle="1" w:styleId="268">
    <w:name w:val="Char"/>
    <w:basedOn w:val="1"/>
    <w:qFormat/>
    <w:uiPriority w:val="0"/>
    <w:pPr>
      <w:widowControl/>
      <w:spacing w:after="160" w:line="240" w:lineRule="exact"/>
      <w:jc w:val="left"/>
    </w:pPr>
    <w:rPr>
      <w:rFonts w:ascii="Verdana" w:hAnsi="Verdana"/>
      <w:sz w:val="20"/>
      <w:szCs w:val="20"/>
      <w:lang w:eastAsia="en-US"/>
    </w:rPr>
  </w:style>
  <w:style w:type="paragraph" w:customStyle="1" w:styleId="269">
    <w:name w:val="Default"/>
    <w:qFormat/>
    <w:uiPriority w:val="0"/>
    <w:pPr>
      <w:widowControl w:val="0"/>
    </w:pPr>
    <w:rPr>
      <w:rFonts w:hint="default" w:ascii="宋体" w:hAnsi="Times New Roman" w:eastAsia="宋体" w:cs="宋体"/>
      <w:color w:val="000000"/>
      <w:sz w:val="24"/>
      <w:szCs w:val="24"/>
    </w:rPr>
  </w:style>
  <w:style w:type="paragraph" w:customStyle="1" w:styleId="270">
    <w:name w:val="列出段落2"/>
    <w:basedOn w:val="1"/>
    <w:qFormat/>
    <w:uiPriority w:val="99"/>
    <w:pPr>
      <w:ind w:firstLine="420"/>
    </w:pPr>
  </w:style>
  <w:style w:type="paragraph" w:customStyle="1" w:styleId="271">
    <w:name w:val="6'"/>
    <w:basedOn w:val="1"/>
    <w:qFormat/>
    <w:uiPriority w:val="0"/>
    <w:pPr>
      <w:spacing w:line="320" w:lineRule="exact"/>
      <w:jc w:val="center"/>
    </w:pPr>
    <w:rPr>
      <w:rFonts w:ascii="Calibri" w:hAnsi="Calibri"/>
      <w:spacing w:val="20"/>
      <w:szCs w:val="22"/>
    </w:rPr>
  </w:style>
  <w:style w:type="paragraph" w:customStyle="1" w:styleId="272">
    <w:name w:val="Char Char Char Char Char Char Char"/>
    <w:basedOn w:val="1"/>
    <w:qFormat/>
    <w:uiPriority w:val="0"/>
    <w:pPr>
      <w:spacing w:line="360" w:lineRule="auto"/>
    </w:pPr>
    <w:rPr>
      <w:sz w:val="24"/>
      <w:szCs w:val="20"/>
    </w:rPr>
  </w:style>
  <w:style w:type="paragraph" w:customStyle="1" w:styleId="273">
    <w:name w:val="2方案格式2"/>
    <w:basedOn w:val="253"/>
    <w:qFormat/>
    <w:uiPriority w:val="0"/>
    <w:pPr>
      <w:numPr>
        <w:ilvl w:val="1"/>
      </w:numPr>
      <w:spacing w:line="240" w:lineRule="auto"/>
      <w:outlineLvl w:val="1"/>
    </w:pPr>
    <w:rPr>
      <w:sz w:val="44"/>
    </w:rPr>
  </w:style>
  <w:style w:type="paragraph" w:customStyle="1" w:styleId="274">
    <w:name w:val="无间隔1"/>
    <w:qFormat/>
    <w:uiPriority w:val="0"/>
    <w:pPr>
      <w:widowControl w:val="0"/>
      <w:jc w:val="both"/>
    </w:pPr>
    <w:rPr>
      <w:rFonts w:hint="default" w:ascii="Calibri" w:hAnsi="Calibri" w:eastAsia="宋体" w:cs="Times New Roman"/>
      <w:sz w:val="21"/>
      <w:szCs w:val="22"/>
    </w:rPr>
  </w:style>
  <w:style w:type="paragraph" w:customStyle="1" w:styleId="275">
    <w:name w:val="文档正文"/>
    <w:basedOn w:val="1"/>
    <w:qFormat/>
    <w:uiPriority w:val="0"/>
    <w:pPr>
      <w:spacing w:line="480" w:lineRule="atLeast"/>
      <w:ind w:firstLine="567"/>
    </w:pPr>
    <w:rPr>
      <w:rFonts w:ascii="Ari" w:eastAsia="Ari"/>
      <w:sz w:val="28"/>
      <w:szCs w:val="20"/>
    </w:rPr>
  </w:style>
  <w:style w:type="paragraph" w:customStyle="1" w:styleId="276">
    <w:name w:val="txt"/>
    <w:basedOn w:val="1"/>
    <w:qFormat/>
    <w:uiPriority w:val="0"/>
    <w:pPr>
      <w:widowControl/>
      <w:spacing w:before="100" w:beforeAutospacing="1" w:after="100" w:afterAutospacing="1"/>
      <w:jc w:val="left"/>
    </w:pPr>
    <w:rPr>
      <w:rFonts w:ascii="宋体" w:hAnsi="宋体" w:cs="宋体"/>
      <w:sz w:val="24"/>
    </w:rPr>
  </w:style>
  <w:style w:type="paragraph" w:customStyle="1" w:styleId="277">
    <w:name w:val="目录 4_0"/>
    <w:basedOn w:val="237"/>
    <w:next w:val="237"/>
    <w:qFormat/>
    <w:uiPriority w:val="39"/>
    <w:pPr>
      <w:ind w:left="1260"/>
    </w:pPr>
    <w:rPr>
      <w:rFonts w:ascii="Calibri" w:hAnsi="Calibri"/>
    </w:rPr>
  </w:style>
  <w:style w:type="paragraph" w:customStyle="1" w:styleId="278">
    <w:name w:val="目录 3_0"/>
    <w:basedOn w:val="237"/>
    <w:next w:val="237"/>
    <w:qFormat/>
    <w:uiPriority w:val="39"/>
    <w:pPr>
      <w:ind w:left="840"/>
    </w:pPr>
    <w:rPr>
      <w:rFonts w:ascii="Calibri" w:hAnsi="Calibri"/>
    </w:rPr>
  </w:style>
  <w:style w:type="paragraph" w:customStyle="1" w:styleId="279">
    <w:name w:val="样式 标题 1 + 黑体 三号 非加粗 居中 段前: 6 磅 段后: 6 磅 行距: 固定值 20 磅"/>
    <w:basedOn w:val="3"/>
    <w:qFormat/>
    <w:uiPriority w:val="0"/>
    <w:pPr>
      <w:numPr>
        <w:ilvl w:val="0"/>
        <w:numId w:val="0"/>
      </w:numPr>
      <w:spacing w:before="120" w:after="120" w:line="400" w:lineRule="exact"/>
    </w:pPr>
    <w:rPr>
      <w:rFonts w:ascii="黑体" w:hAnsi="黑体" w:eastAsia="黑体"/>
      <w:b w:val="0"/>
      <w:bCs w:val="0"/>
      <w:szCs w:val="20"/>
    </w:rPr>
  </w:style>
  <w:style w:type="paragraph" w:customStyle="1" w:styleId="280">
    <w:name w:val="1"/>
    <w:basedOn w:val="1"/>
    <w:next w:val="1"/>
    <w:qFormat/>
    <w:uiPriority w:val="0"/>
    <w:rPr>
      <w:rFonts w:ascii="Calibri" w:hAnsi="Calibri"/>
      <w:szCs w:val="22"/>
    </w:rPr>
  </w:style>
  <w:style w:type="paragraph" w:customStyle="1" w:styleId="281">
    <w:name w:val="Blockquote_0"/>
    <w:basedOn w:val="237"/>
    <w:qFormat/>
    <w:uiPriority w:val="0"/>
    <w:pPr>
      <w:spacing w:before="100" w:after="100"/>
      <w:ind w:left="360" w:right="360"/>
      <w:jc w:val="left"/>
    </w:pPr>
    <w:rPr>
      <w:rFonts w:ascii="Calibri" w:hAnsi="Calibri" w:eastAsia="Times New Roman"/>
      <w:sz w:val="24"/>
      <w:szCs w:val="20"/>
    </w:rPr>
  </w:style>
  <w:style w:type="paragraph" w:customStyle="1" w:styleId="282">
    <w:name w:val="列出段落11"/>
    <w:basedOn w:val="1"/>
    <w:qFormat/>
    <w:uiPriority w:val="0"/>
    <w:pPr>
      <w:widowControl/>
      <w:ind w:left="720"/>
      <w:contextualSpacing/>
      <w:jc w:val="left"/>
    </w:pPr>
    <w:rPr>
      <w:rFonts w:ascii="Arial" w:hAnsi="Arial" w:eastAsia="黑体"/>
      <w:sz w:val="24"/>
      <w:lang w:eastAsia="en-US"/>
    </w:rPr>
  </w:style>
  <w:style w:type="paragraph" w:customStyle="1" w:styleId="283">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284">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285">
    <w:name w:val="p0"/>
    <w:basedOn w:val="1"/>
    <w:qFormat/>
    <w:uiPriority w:val="0"/>
    <w:pPr>
      <w:widowControl/>
    </w:pPr>
    <w:rPr>
      <w:b/>
      <w:bCs/>
      <w:sz w:val="24"/>
    </w:rPr>
  </w:style>
  <w:style w:type="paragraph" w:customStyle="1" w:styleId="286">
    <w:name w:val="Blockquote"/>
    <w:basedOn w:val="1"/>
    <w:qFormat/>
    <w:uiPriority w:val="0"/>
    <w:pPr>
      <w:spacing w:before="100" w:after="100"/>
      <w:ind w:left="360" w:right="360"/>
      <w:jc w:val="left"/>
    </w:pPr>
    <w:rPr>
      <w:rFonts w:ascii="Calibri" w:hAnsi="Calibri"/>
      <w:sz w:val="24"/>
      <w:szCs w:val="22"/>
    </w:rPr>
  </w:style>
  <w:style w:type="paragraph" w:customStyle="1" w:styleId="287">
    <w:name w:val="3方案格式3"/>
    <w:basedOn w:val="273"/>
    <w:qFormat/>
    <w:uiPriority w:val="0"/>
    <w:pPr>
      <w:numPr>
        <w:ilvl w:val="2"/>
      </w:numPr>
      <w:outlineLvl w:val="2"/>
    </w:pPr>
    <w:rPr>
      <w:sz w:val="32"/>
    </w:rPr>
  </w:style>
  <w:style w:type="paragraph" w:customStyle="1" w:styleId="288">
    <w:name w:val="样式 标题 2 + Times New Roman 四号 非加粗 段前: 5 磅 段后: 0 磅 行距: 固定值 20..."/>
    <w:basedOn w:val="4"/>
    <w:qFormat/>
    <w:uiPriority w:val="0"/>
    <w:pPr>
      <w:numPr>
        <w:numId w:val="0"/>
      </w:numPr>
      <w:spacing w:before="100" w:after="0" w:line="400" w:lineRule="exact"/>
    </w:pPr>
    <w:rPr>
      <w:rFonts w:ascii="Times New Roman" w:hAnsi="Times New Roman" w:eastAsia="黑体"/>
      <w:b w:val="0"/>
      <w:bCs w:val="0"/>
      <w:sz w:val="28"/>
      <w:szCs w:val="20"/>
    </w:rPr>
  </w:style>
  <w:style w:type="paragraph" w:customStyle="1" w:styleId="289">
    <w:name w:val="标题2"/>
    <w:basedOn w:val="4"/>
    <w:next w:val="18"/>
    <w:qFormat/>
    <w:uiPriority w:val="0"/>
    <w:pPr>
      <w:spacing w:before="156" w:after="156" w:line="360" w:lineRule="auto"/>
    </w:pPr>
    <w:rPr>
      <w:bCs w:val="0"/>
      <w:sz w:val="24"/>
    </w:rPr>
  </w:style>
  <w:style w:type="paragraph" w:customStyle="1" w:styleId="290">
    <w:name w:val="普通正文"/>
    <w:basedOn w:val="1"/>
    <w:qFormat/>
    <w:uiPriority w:val="0"/>
    <w:pPr>
      <w:spacing w:before="120" w:after="120" w:line="360" w:lineRule="auto"/>
      <w:ind w:firstLine="480"/>
      <w:jc w:val="left"/>
    </w:pPr>
    <w:rPr>
      <w:rFonts w:ascii="Arial" w:hAnsi="Arial"/>
      <w:sz w:val="24"/>
    </w:rPr>
  </w:style>
  <w:style w:type="paragraph" w:customStyle="1" w:styleId="291">
    <w:name w:val="正文11"/>
    <w:qFormat/>
    <w:uiPriority w:val="0"/>
    <w:rPr>
      <w:rFonts w:hint="default" w:ascii="Calibri" w:hAnsi="Calibri" w:eastAsia="宋体" w:cs="Calibri"/>
      <w:sz w:val="24"/>
      <w:szCs w:val="24"/>
    </w:rPr>
  </w:style>
  <w:style w:type="paragraph" w:customStyle="1" w:styleId="292">
    <w:name w:val="正文2"/>
    <w:basedOn w:val="1"/>
    <w:qFormat/>
    <w:uiPriority w:val="0"/>
    <w:rPr>
      <w:rFonts w:eastAsia="微软雅黑"/>
      <w:sz w:val="24"/>
    </w:rPr>
  </w:style>
  <w:style w:type="paragraph" w:customStyle="1" w:styleId="293">
    <w:name w:val="列出段落3"/>
    <w:basedOn w:val="1"/>
    <w:qFormat/>
    <w:uiPriority w:val="0"/>
    <w:pPr>
      <w:widowControl/>
      <w:spacing w:after="200"/>
      <w:ind w:firstLine="420"/>
      <w:jc w:val="left"/>
    </w:pPr>
    <w:rPr>
      <w:rFonts w:ascii="Tahoma" w:hAnsi="Tahoma" w:eastAsia="微软雅黑"/>
      <w:sz w:val="22"/>
      <w:szCs w:val="22"/>
    </w:rPr>
  </w:style>
  <w:style w:type="paragraph" w:customStyle="1" w:styleId="294">
    <w:name w:val="纯文本2"/>
    <w:basedOn w:val="1"/>
    <w:qFormat/>
    <w:uiPriority w:val="0"/>
    <w:pPr>
      <w:jc w:val="left"/>
    </w:pPr>
    <w:rPr>
      <w:rFonts w:hint="eastAsia" w:ascii="宋体" w:hAnsi="宋体" w:cs="Courier New"/>
      <w:sz w:val="24"/>
      <w:szCs w:val="20"/>
    </w:rPr>
  </w:style>
  <w:style w:type="paragraph" w:customStyle="1" w:styleId="295">
    <w:name w:val="trs_editor"/>
    <w:basedOn w:val="1"/>
    <w:qFormat/>
    <w:uiPriority w:val="0"/>
    <w:pPr>
      <w:widowControl/>
      <w:spacing w:before="100" w:beforeAutospacing="1" w:after="100" w:afterAutospacing="1"/>
      <w:jc w:val="left"/>
    </w:pPr>
    <w:rPr>
      <w:rFonts w:ascii="宋体" w:hAnsi="宋体" w:cs="宋体"/>
      <w:sz w:val="24"/>
    </w:rPr>
  </w:style>
  <w:style w:type="character" w:customStyle="1" w:styleId="296">
    <w:name w:val="明显强调1"/>
    <w:qFormat/>
    <w:uiPriority w:val="0"/>
    <w:rPr>
      <w:b/>
      <w:bCs/>
      <w:i/>
      <w:iCs/>
      <w:color w:val="4F81BD"/>
    </w:rPr>
  </w:style>
  <w:style w:type="character" w:customStyle="1" w:styleId="297">
    <w:name w:val="批注文字 Char2"/>
    <w:qFormat/>
    <w:uiPriority w:val="0"/>
    <w:rPr>
      <w:sz w:val="21"/>
    </w:rPr>
  </w:style>
  <w:style w:type="character" w:customStyle="1" w:styleId="298">
    <w:name w:val="标题 3 Char_0"/>
    <w:link w:val="236"/>
    <w:qFormat/>
    <w:uiPriority w:val="0"/>
    <w:rPr>
      <w:b/>
      <w:bCs/>
      <w:sz w:val="32"/>
      <w:szCs w:val="32"/>
    </w:rPr>
  </w:style>
  <w:style w:type="character" w:customStyle="1" w:styleId="299">
    <w:name w:val="标题 2 字符"/>
    <w:link w:val="4"/>
    <w:qFormat/>
    <w:uiPriority w:val="0"/>
    <w:rPr>
      <w:rFonts w:ascii="Cambria" w:hAnsi="Cambria"/>
      <w:b/>
      <w:bCs/>
      <w:sz w:val="32"/>
      <w:szCs w:val="32"/>
    </w:rPr>
  </w:style>
  <w:style w:type="character" w:customStyle="1" w:styleId="300">
    <w:name w:val="正文文本 Char2"/>
    <w:semiHidden/>
    <w:qFormat/>
    <w:uiPriority w:val="99"/>
    <w:rPr>
      <w:rFonts w:ascii="Calibri" w:hAnsi="Calibri" w:eastAsia="宋体" w:cs="Times New Roman"/>
    </w:rPr>
  </w:style>
  <w:style w:type="character" w:customStyle="1" w:styleId="301">
    <w:name w:val="页脚 Char1"/>
    <w:semiHidden/>
    <w:qFormat/>
    <w:uiPriority w:val="99"/>
    <w:rPr>
      <w:rFonts w:ascii="Calibri" w:hAnsi="Calibri" w:eastAsia="宋体" w:cs="Times New Roman"/>
      <w:sz w:val="18"/>
      <w:szCs w:val="18"/>
    </w:rPr>
  </w:style>
  <w:style w:type="character" w:customStyle="1" w:styleId="302">
    <w:name w:val="明显引用 Char2"/>
    <w:qFormat/>
    <w:uiPriority w:val="99"/>
    <w:rPr>
      <w:b/>
      <w:bCs/>
      <w:i/>
      <w:iCs/>
      <w:color w:val="4F81BD"/>
      <w:sz w:val="21"/>
      <w:szCs w:val="24"/>
    </w:rPr>
  </w:style>
  <w:style w:type="character" w:customStyle="1" w:styleId="303">
    <w:name w:val="引用 Char"/>
    <w:link w:val="238"/>
    <w:qFormat/>
    <w:uiPriority w:val="0"/>
    <w:rPr>
      <w:i/>
      <w:iCs/>
      <w:color w:val="000000"/>
    </w:rPr>
  </w:style>
  <w:style w:type="character" w:customStyle="1" w:styleId="304">
    <w:name w:val="标题 1 Char_0"/>
    <w:link w:val="239"/>
    <w:qFormat/>
    <w:uiPriority w:val="0"/>
    <w:rPr>
      <w:b/>
      <w:bCs/>
      <w:sz w:val="44"/>
      <w:szCs w:val="44"/>
    </w:rPr>
  </w:style>
  <w:style w:type="character" w:customStyle="1" w:styleId="305">
    <w:name w:val="正文文本缩进 3 Char1"/>
    <w:semiHidden/>
    <w:qFormat/>
    <w:uiPriority w:val="99"/>
    <w:rPr>
      <w:sz w:val="16"/>
      <w:szCs w:val="16"/>
    </w:rPr>
  </w:style>
  <w:style w:type="character" w:customStyle="1" w:styleId="306">
    <w:name w:val="引用 Char1"/>
    <w:qFormat/>
    <w:uiPriority w:val="29"/>
    <w:rPr>
      <w:i/>
      <w:iCs/>
      <w:color w:val="000000"/>
      <w:sz w:val="21"/>
    </w:rPr>
  </w:style>
  <w:style w:type="character" w:customStyle="1" w:styleId="307">
    <w:name w:val="正文文本缩进 字符"/>
    <w:link w:val="19"/>
    <w:qFormat/>
    <w:uiPriority w:val="0"/>
    <w:rPr>
      <w:sz w:val="21"/>
      <w:szCs w:val="24"/>
    </w:rPr>
  </w:style>
  <w:style w:type="character" w:customStyle="1" w:styleId="308">
    <w:name w:val="font161"/>
    <w:qFormat/>
    <w:uiPriority w:val="0"/>
    <w:rPr>
      <w:b/>
      <w:sz w:val="32"/>
    </w:rPr>
  </w:style>
  <w:style w:type="character" w:customStyle="1" w:styleId="309">
    <w:name w:val="标题 4 Char_0"/>
    <w:link w:val="240"/>
    <w:qFormat/>
    <w:uiPriority w:val="0"/>
    <w:rPr>
      <w:rFonts w:ascii="Arial" w:hAnsi="Arial" w:eastAsia="黑体"/>
      <w:b/>
      <w:bCs/>
      <w:sz w:val="28"/>
      <w:szCs w:val="28"/>
    </w:rPr>
  </w:style>
  <w:style w:type="character" w:customStyle="1" w:styleId="310">
    <w:name w:val="页眉 字符"/>
    <w:link w:val="31"/>
    <w:qFormat/>
    <w:uiPriority w:val="99"/>
    <w:rPr>
      <w:sz w:val="18"/>
      <w:szCs w:val="18"/>
    </w:rPr>
  </w:style>
  <w:style w:type="character" w:customStyle="1" w:styleId="311">
    <w:name w:val="标题 6 字符"/>
    <w:link w:val="7"/>
    <w:qFormat/>
    <w:uiPriority w:val="0"/>
    <w:rPr>
      <w:rFonts w:ascii="Cambria" w:hAnsi="Cambria" w:eastAsia="宋体" w:cs="Times New Roman"/>
      <w:b/>
      <w:bCs/>
      <w:sz w:val="24"/>
      <w:szCs w:val="24"/>
    </w:rPr>
  </w:style>
  <w:style w:type="character" w:customStyle="1" w:styleId="312">
    <w:name w:val="纯文本 字符"/>
    <w:link w:val="24"/>
    <w:qFormat/>
    <w:uiPriority w:val="0"/>
    <w:rPr>
      <w:rFonts w:ascii="Ari"/>
      <w:lang w:val="en-US" w:eastAsia="zh-CN" w:bidi="ar-SA"/>
    </w:rPr>
  </w:style>
  <w:style w:type="character" w:customStyle="1" w:styleId="313">
    <w:name w:val="引用 Char2"/>
    <w:qFormat/>
    <w:uiPriority w:val="99"/>
    <w:rPr>
      <w:i/>
      <w:iCs/>
      <w:color w:val="000000"/>
      <w:sz w:val="21"/>
      <w:szCs w:val="24"/>
    </w:rPr>
  </w:style>
  <w:style w:type="character" w:customStyle="1" w:styleId="314">
    <w:name w:val="rvts11"/>
    <w:qFormat/>
    <w:uiPriority w:val="0"/>
    <w:rPr>
      <w:rFonts w:hint="default" w:ascii="KNLe" w:hAnsi="KNLe"/>
      <w:sz w:val="24"/>
      <w:szCs w:val="24"/>
      <w:u w:val="single"/>
    </w:rPr>
  </w:style>
  <w:style w:type="character" w:customStyle="1" w:styleId="315">
    <w:name w:val="标题 字符"/>
    <w:link w:val="44"/>
    <w:qFormat/>
    <w:uiPriority w:val="0"/>
    <w:rPr>
      <w:rFonts w:ascii="Arial" w:hAnsi="Arial"/>
      <w:b/>
      <w:sz w:val="32"/>
    </w:rPr>
  </w:style>
  <w:style w:type="character" w:customStyle="1" w:styleId="316">
    <w:name w:val="标题5 Char Char"/>
    <w:link w:val="241"/>
    <w:qFormat/>
    <w:uiPriority w:val="0"/>
    <w:rPr>
      <w:rFonts w:ascii="Arial" w:hAnsi="Arial"/>
      <w:b/>
      <w:bCs/>
      <w:sz w:val="24"/>
      <w:szCs w:val="32"/>
    </w:rPr>
  </w:style>
  <w:style w:type="character" w:customStyle="1" w:styleId="317">
    <w:name w:val="副标题 Char2"/>
    <w:qFormat/>
    <w:uiPriority w:val="11"/>
    <w:rPr>
      <w:rFonts w:ascii="Cambria" w:hAnsi="Cambria" w:cs="Times New Roman"/>
      <w:b/>
      <w:bCs/>
      <w:sz w:val="32"/>
      <w:szCs w:val="32"/>
    </w:rPr>
  </w:style>
  <w:style w:type="character" w:customStyle="1" w:styleId="318">
    <w:name w:val="文档结构图 字符"/>
    <w:link w:val="15"/>
    <w:qFormat/>
    <w:uiPriority w:val="0"/>
    <w:rPr>
      <w:rFonts w:ascii="宋体"/>
      <w:sz w:val="18"/>
      <w:szCs w:val="18"/>
    </w:rPr>
  </w:style>
  <w:style w:type="character" w:customStyle="1" w:styleId="319">
    <w:name w:val="日期 字符"/>
    <w:link w:val="26"/>
    <w:qFormat/>
    <w:uiPriority w:val="0"/>
    <w:rPr>
      <w:sz w:val="21"/>
      <w:szCs w:val="24"/>
    </w:rPr>
  </w:style>
  <w:style w:type="character" w:customStyle="1" w:styleId="320">
    <w:name w:val="批注主题 Char1"/>
    <w:qFormat/>
    <w:uiPriority w:val="0"/>
    <w:rPr>
      <w:b/>
      <w:bCs/>
      <w:sz w:val="21"/>
      <w:szCs w:val="22"/>
    </w:rPr>
  </w:style>
  <w:style w:type="character" w:customStyle="1" w:styleId="321">
    <w:name w:val="font31"/>
    <w:qFormat/>
    <w:uiPriority w:val="0"/>
    <w:rPr>
      <w:rFonts w:hint="eastAsia" w:ascii="宋体" w:hAnsi="宋体" w:eastAsia="宋体" w:cs="宋体"/>
      <w:color w:val="000000"/>
      <w:sz w:val="20"/>
      <w:szCs w:val="20"/>
      <w:u w:val="none"/>
    </w:rPr>
  </w:style>
  <w:style w:type="character" w:customStyle="1" w:styleId="322">
    <w:name w:val="明显引用 Char"/>
    <w:link w:val="242"/>
    <w:qFormat/>
    <w:uiPriority w:val="0"/>
    <w:rPr>
      <w:b/>
      <w:bCs/>
      <w:i/>
      <w:iCs/>
      <w:color w:val="4F81BD"/>
    </w:rPr>
  </w:style>
  <w:style w:type="character" w:customStyle="1" w:styleId="323">
    <w:name w:val="标题 5 字符"/>
    <w:link w:val="6"/>
    <w:qFormat/>
    <w:uiPriority w:val="0"/>
    <w:rPr>
      <w:b/>
      <w:bCs/>
      <w:sz w:val="28"/>
      <w:szCs w:val="28"/>
    </w:rPr>
  </w:style>
  <w:style w:type="character" w:customStyle="1" w:styleId="324">
    <w:name w:val="日期 Char1"/>
    <w:qFormat/>
    <w:uiPriority w:val="0"/>
    <w:rPr>
      <w:rFonts w:ascii="Calibri" w:hAnsi="Calibri" w:eastAsia="宋体" w:cs="Times New Roman"/>
    </w:rPr>
  </w:style>
  <w:style w:type="character" w:customStyle="1" w:styleId="325">
    <w:name w:val="批注框文本 Char1"/>
    <w:qFormat/>
    <w:uiPriority w:val="0"/>
    <w:rPr>
      <w:sz w:val="18"/>
      <w:szCs w:val="18"/>
    </w:rPr>
  </w:style>
  <w:style w:type="character" w:customStyle="1" w:styleId="326">
    <w:name w:val="标题 Char1"/>
    <w:qFormat/>
    <w:uiPriority w:val="10"/>
    <w:rPr>
      <w:rFonts w:ascii="Cambria" w:hAnsi="Cambria" w:eastAsia="宋体" w:cs="Times New Roman"/>
      <w:b/>
      <w:bCs/>
      <w:sz w:val="32"/>
      <w:szCs w:val="32"/>
    </w:rPr>
  </w:style>
  <w:style w:type="character" w:customStyle="1" w:styleId="327">
    <w:name w:val="标题 9 字符"/>
    <w:link w:val="10"/>
    <w:qFormat/>
    <w:uiPriority w:val="0"/>
    <w:rPr>
      <w:rFonts w:ascii="Cambria" w:hAnsi="Cambria" w:eastAsia="宋体" w:cs="Times New Roman"/>
      <w:sz w:val="21"/>
      <w:szCs w:val="21"/>
    </w:rPr>
  </w:style>
  <w:style w:type="character" w:customStyle="1" w:styleId="328">
    <w:name w:val="不明显参考1"/>
    <w:qFormat/>
    <w:uiPriority w:val="0"/>
    <w:rPr>
      <w:smallCaps/>
      <w:color w:val="C0504D"/>
      <w:u w:val="single"/>
    </w:rPr>
  </w:style>
  <w:style w:type="character" w:customStyle="1" w:styleId="329">
    <w:name w:val="批注文字 Char1"/>
    <w:qFormat/>
    <w:uiPriority w:val="0"/>
    <w:rPr>
      <w:rFonts w:ascii="Calibri" w:hAnsi="Calibri" w:eastAsia="宋体" w:cs="Times New Roman"/>
    </w:rPr>
  </w:style>
  <w:style w:type="character" w:customStyle="1" w:styleId="330">
    <w:name w:val="标题 Char2"/>
    <w:qFormat/>
    <w:uiPriority w:val="10"/>
    <w:rPr>
      <w:rFonts w:ascii="Cambria" w:hAnsi="Cambria" w:cs="Times New Roman"/>
      <w:b/>
      <w:bCs/>
      <w:sz w:val="32"/>
      <w:szCs w:val="32"/>
    </w:rPr>
  </w:style>
  <w:style w:type="character" w:customStyle="1" w:styleId="331">
    <w:name w:val="正文文本 3 Char1"/>
    <w:semiHidden/>
    <w:qFormat/>
    <w:uiPriority w:val="99"/>
    <w:rPr>
      <w:sz w:val="16"/>
      <w:szCs w:val="16"/>
    </w:rPr>
  </w:style>
  <w:style w:type="character" w:customStyle="1" w:styleId="332">
    <w:name w:val="批注主题 Char2"/>
    <w:qFormat/>
    <w:uiPriority w:val="0"/>
    <w:rPr>
      <w:b/>
      <w:bCs/>
      <w:sz w:val="21"/>
    </w:rPr>
  </w:style>
  <w:style w:type="character" w:customStyle="1" w:styleId="333">
    <w:name w:val="标题 3 字符"/>
    <w:link w:val="5"/>
    <w:qFormat/>
    <w:uiPriority w:val="0"/>
    <w:rPr>
      <w:b/>
      <w:bCs/>
      <w:sz w:val="32"/>
      <w:szCs w:val="32"/>
    </w:rPr>
  </w:style>
  <w:style w:type="character" w:customStyle="1" w:styleId="334">
    <w:name w:val="正文文本 Char_0"/>
    <w:link w:val="243"/>
    <w:qFormat/>
    <w:uiPriority w:val="0"/>
    <w:rPr>
      <w:szCs w:val="24"/>
    </w:rPr>
  </w:style>
  <w:style w:type="character" w:customStyle="1" w:styleId="335">
    <w:name w:val="副标题 字符"/>
    <w:link w:val="34"/>
    <w:qFormat/>
    <w:uiPriority w:val="0"/>
    <w:rPr>
      <w:rFonts w:ascii="Cambria" w:hAnsi="Cambria"/>
      <w:b/>
      <w:bCs/>
      <w:sz w:val="32"/>
      <w:szCs w:val="32"/>
    </w:rPr>
  </w:style>
  <w:style w:type="character" w:customStyle="1" w:styleId="336">
    <w:name w:val="bookmark"/>
    <w:basedOn w:val="50"/>
    <w:qFormat/>
    <w:uiPriority w:val="0"/>
  </w:style>
  <w:style w:type="character" w:customStyle="1" w:styleId="337">
    <w:name w:val="标题 5 Char_0"/>
    <w:link w:val="244"/>
    <w:qFormat/>
    <w:uiPriority w:val="0"/>
    <w:rPr>
      <w:rFonts w:ascii="Calibri" w:hAnsi="Calibri"/>
      <w:b/>
      <w:bCs/>
      <w:sz w:val="28"/>
      <w:szCs w:val="28"/>
    </w:rPr>
  </w:style>
  <w:style w:type="character" w:customStyle="1" w:styleId="338">
    <w:name w:val="正文文本缩进 2 字符"/>
    <w:link w:val="27"/>
    <w:qFormat/>
    <w:uiPriority w:val="99"/>
    <w:rPr>
      <w:rFonts w:ascii="宋体"/>
    </w:rPr>
  </w:style>
  <w:style w:type="character" w:customStyle="1" w:styleId="339">
    <w:name w:val="批注文字 字符"/>
    <w:link w:val="16"/>
    <w:qFormat/>
    <w:uiPriority w:val="99"/>
    <w:rPr>
      <w:sz w:val="21"/>
      <w:szCs w:val="24"/>
    </w:rPr>
  </w:style>
  <w:style w:type="character" w:customStyle="1" w:styleId="340">
    <w:name w:val="font11"/>
    <w:qFormat/>
    <w:uiPriority w:val="0"/>
    <w:rPr>
      <w:rFonts w:hint="eastAsia" w:ascii="宋体" w:hAnsi="宋体" w:eastAsia="宋体" w:cs="宋体"/>
      <w:color w:val="000000"/>
      <w:sz w:val="20"/>
      <w:szCs w:val="20"/>
      <w:u w:val="none"/>
    </w:rPr>
  </w:style>
  <w:style w:type="character" w:customStyle="1" w:styleId="341">
    <w:name w:val="明显参考1"/>
    <w:qFormat/>
    <w:uiPriority w:val="0"/>
    <w:rPr>
      <w:b/>
      <w:bCs/>
      <w:smallCaps/>
      <w:color w:val="C0504D"/>
      <w:spacing w:val="5"/>
      <w:u w:val="single"/>
    </w:rPr>
  </w:style>
  <w:style w:type="character" w:customStyle="1" w:styleId="342">
    <w:name w:val="超链接_0"/>
    <w:qFormat/>
    <w:uiPriority w:val="99"/>
    <w:rPr>
      <w:rFonts w:ascii="Calibri" w:hAnsi="Calibri"/>
      <w:color w:val="0000FF"/>
      <w:u w:val="single"/>
    </w:rPr>
  </w:style>
  <w:style w:type="character" w:customStyle="1" w:styleId="343">
    <w:name w:val="文档结构图 Char2"/>
    <w:semiHidden/>
    <w:qFormat/>
    <w:uiPriority w:val="99"/>
    <w:rPr>
      <w:rFonts w:ascii="宋体" w:hAnsi="Calibri" w:eastAsia="宋体" w:cs="Times New Roman"/>
      <w:sz w:val="18"/>
      <w:szCs w:val="18"/>
    </w:rPr>
  </w:style>
  <w:style w:type="character" w:customStyle="1" w:styleId="344">
    <w:name w:val="textcontents"/>
    <w:qFormat/>
    <w:uiPriority w:val="0"/>
    <w:rPr>
      <w:rFonts w:cs="Times New Roman"/>
    </w:rPr>
  </w:style>
  <w:style w:type="character" w:customStyle="1" w:styleId="345">
    <w:name w:val="标题 1 Char"/>
    <w:link w:val="3"/>
    <w:qFormat/>
    <w:uiPriority w:val="0"/>
    <w:rPr>
      <w:b/>
      <w:bCs/>
      <w:sz w:val="32"/>
      <w:szCs w:val="44"/>
    </w:rPr>
  </w:style>
  <w:style w:type="character" w:customStyle="1" w:styleId="346">
    <w:name w:val="正文文本 字符"/>
    <w:link w:val="18"/>
    <w:qFormat/>
    <w:uiPriority w:val="0"/>
    <w:rPr>
      <w:rFonts w:eastAsia="幼圆"/>
      <w:b/>
      <w:bCs/>
      <w:sz w:val="44"/>
      <w:szCs w:val="24"/>
    </w:rPr>
  </w:style>
  <w:style w:type="character" w:customStyle="1" w:styleId="347">
    <w:name w:val="标题 8 字符"/>
    <w:link w:val="9"/>
    <w:qFormat/>
    <w:uiPriority w:val="0"/>
    <w:rPr>
      <w:rFonts w:ascii="Cambria" w:hAnsi="Cambria" w:eastAsia="宋体" w:cs="Times New Roman"/>
      <w:sz w:val="24"/>
      <w:szCs w:val="24"/>
    </w:rPr>
  </w:style>
  <w:style w:type="character" w:customStyle="1" w:styleId="348">
    <w:name w:val="副标题 Char1"/>
    <w:qFormat/>
    <w:uiPriority w:val="11"/>
    <w:rPr>
      <w:rFonts w:ascii="Cambria" w:hAnsi="Cambria" w:cs="Times New Roman"/>
      <w:b/>
      <w:bCs/>
      <w:sz w:val="32"/>
      <w:szCs w:val="32"/>
    </w:rPr>
  </w:style>
  <w:style w:type="character" w:customStyle="1" w:styleId="349">
    <w:name w:val="批注主题 字符"/>
    <w:link w:val="45"/>
    <w:qFormat/>
    <w:uiPriority w:val="0"/>
    <w:rPr>
      <w:b/>
      <w:bCs/>
      <w:sz w:val="21"/>
      <w:szCs w:val="24"/>
    </w:rPr>
  </w:style>
  <w:style w:type="character" w:customStyle="1" w:styleId="350">
    <w:name w:val="书籍标题1"/>
    <w:qFormat/>
    <w:uiPriority w:val="0"/>
    <w:rPr>
      <w:b/>
      <w:bCs/>
      <w:smallCaps/>
      <w:spacing w:val="5"/>
    </w:rPr>
  </w:style>
  <w:style w:type="character" w:customStyle="1" w:styleId="351">
    <w:name w:val="页脚 字符"/>
    <w:link w:val="30"/>
    <w:qFormat/>
    <w:uiPriority w:val="99"/>
    <w:rPr>
      <w:sz w:val="18"/>
      <w:szCs w:val="18"/>
    </w:rPr>
  </w:style>
  <w:style w:type="character" w:customStyle="1" w:styleId="352">
    <w:name w:val="标题4 Char Char"/>
    <w:link w:val="245"/>
    <w:qFormat/>
    <w:uiPriority w:val="0"/>
    <w:rPr>
      <w:rFonts w:ascii="Arial" w:hAnsi="Arial"/>
      <w:b/>
      <w:bCs/>
      <w:sz w:val="24"/>
      <w:szCs w:val="32"/>
    </w:rPr>
  </w:style>
  <w:style w:type="character" w:customStyle="1" w:styleId="353">
    <w:name w:val="正文文本 Char1"/>
    <w:qFormat/>
    <w:uiPriority w:val="0"/>
    <w:rPr>
      <w:rFonts w:ascii="Calibri" w:hAnsi="Calibri" w:eastAsia="宋体" w:cs="Times New Roman"/>
    </w:rPr>
  </w:style>
  <w:style w:type="character" w:customStyle="1" w:styleId="354">
    <w:name w:val="明显引用 Char1"/>
    <w:qFormat/>
    <w:uiPriority w:val="30"/>
    <w:rPr>
      <w:b/>
      <w:bCs/>
      <w:i/>
      <w:iCs/>
      <w:color w:val="4F81BD"/>
      <w:sz w:val="21"/>
    </w:rPr>
  </w:style>
  <w:style w:type="character" w:customStyle="1" w:styleId="355">
    <w:name w:val="页眉 Char1"/>
    <w:semiHidden/>
    <w:qFormat/>
    <w:uiPriority w:val="99"/>
    <w:rPr>
      <w:rFonts w:ascii="Calibri" w:hAnsi="Calibri" w:eastAsia="宋体" w:cs="Times New Roman"/>
      <w:sz w:val="18"/>
      <w:szCs w:val="18"/>
    </w:rPr>
  </w:style>
  <w:style w:type="character" w:customStyle="1" w:styleId="356">
    <w:name w:val="不明显强调1"/>
    <w:qFormat/>
    <w:uiPriority w:val="0"/>
    <w:rPr>
      <w:i/>
      <w:iCs/>
      <w:color w:val="808080"/>
    </w:rPr>
  </w:style>
  <w:style w:type="character" w:customStyle="1" w:styleId="357">
    <w:name w:val="正文文本 3 字符"/>
    <w:link w:val="17"/>
    <w:qFormat/>
    <w:uiPriority w:val="0"/>
    <w:rPr>
      <w:rFonts w:ascii="宋体"/>
      <w:sz w:val="24"/>
    </w:rPr>
  </w:style>
  <w:style w:type="character" w:customStyle="1" w:styleId="358">
    <w:name w:val="正文文本缩进 3 字符"/>
    <w:link w:val="37"/>
    <w:qFormat/>
    <w:uiPriority w:val="0"/>
    <w:rPr>
      <w:sz w:val="16"/>
    </w:rPr>
  </w:style>
  <w:style w:type="character" w:customStyle="1" w:styleId="359">
    <w:name w:val="font21"/>
    <w:qFormat/>
    <w:uiPriority w:val="0"/>
    <w:rPr>
      <w:rFonts w:hint="eastAsia" w:ascii="宋体" w:hAnsi="宋体" w:eastAsia="宋体" w:cs="宋体"/>
      <w:color w:val="000000"/>
      <w:sz w:val="20"/>
      <w:szCs w:val="20"/>
      <w:u w:val="none"/>
    </w:rPr>
  </w:style>
  <w:style w:type="character" w:customStyle="1" w:styleId="360">
    <w:name w:val="批注框文本 字符"/>
    <w:link w:val="29"/>
    <w:qFormat/>
    <w:uiPriority w:val="0"/>
    <w:rPr>
      <w:sz w:val="18"/>
      <w:szCs w:val="18"/>
    </w:rPr>
  </w:style>
  <w:style w:type="character" w:customStyle="1" w:styleId="361">
    <w:name w:val="标题 7 字符"/>
    <w:link w:val="8"/>
    <w:qFormat/>
    <w:uiPriority w:val="0"/>
    <w:rPr>
      <w:b/>
      <w:bCs/>
      <w:sz w:val="24"/>
      <w:szCs w:val="24"/>
    </w:rPr>
  </w:style>
  <w:style w:type="character" w:customStyle="1" w:styleId="362">
    <w:name w:val="标题 1 字符"/>
    <w:link w:val="3"/>
    <w:qFormat/>
    <w:uiPriority w:val="0"/>
    <w:rPr>
      <w:rFonts w:ascii="Times New Roman" w:hAnsi="Times New Roman" w:eastAsia="宋体" w:cs="Times New Roman"/>
      <w:b/>
      <w:bCs/>
      <w:sz w:val="32"/>
      <w:szCs w:val="44"/>
    </w:rPr>
  </w:style>
  <w:style w:type="character" w:customStyle="1" w:styleId="363">
    <w:name w:val="文档结构图 Char1"/>
    <w:qFormat/>
    <w:uiPriority w:val="0"/>
    <w:rPr>
      <w:rFonts w:ascii="宋体" w:hAnsi="Calibri" w:eastAsia="宋体" w:cs="Times New Roman"/>
      <w:sz w:val="18"/>
      <w:szCs w:val="18"/>
    </w:rPr>
  </w:style>
  <w:style w:type="character" w:customStyle="1" w:styleId="364">
    <w:name w:val="标题 2 Char_0"/>
    <w:link w:val="246"/>
    <w:qFormat/>
    <w:uiPriority w:val="0"/>
    <w:rPr>
      <w:rFonts w:ascii="Cambria" w:hAnsi="Cambria"/>
      <w:b/>
      <w:bCs/>
      <w:sz w:val="32"/>
      <w:szCs w:val="32"/>
    </w:rPr>
  </w:style>
  <w:style w:type="character" w:customStyle="1" w:styleId="365">
    <w:name w:val="日期 Char2"/>
    <w:semiHidden/>
    <w:qFormat/>
    <w:uiPriority w:val="99"/>
    <w:rPr>
      <w:rFonts w:ascii="Calibri" w:hAnsi="Calibri" w:eastAsia="宋体" w:cs="Times New Roman"/>
    </w:rPr>
  </w:style>
  <w:style w:type="character" w:customStyle="1" w:styleId="366">
    <w:name w:val="批注框文本 Char2"/>
    <w:semiHidden/>
    <w:qFormat/>
    <w:uiPriority w:val="99"/>
    <w:rPr>
      <w:rFonts w:ascii="Calibri" w:hAnsi="Calibri" w:eastAsia="宋体" w:cs="Times New Roman"/>
      <w:sz w:val="18"/>
      <w:szCs w:val="18"/>
    </w:rPr>
  </w:style>
  <w:style w:type="character" w:customStyle="1" w:styleId="367">
    <w:name w:val="标题 4 字符"/>
    <w:link w:val="2"/>
    <w:qFormat/>
    <w:uiPriority w:val="0"/>
    <w:rPr>
      <w:rFonts w:ascii="Cambria" w:hAnsi="Cambria" w:eastAsia="宋体" w:cs="Times New Roman"/>
      <w:b/>
      <w:bCs/>
      <w:sz w:val="28"/>
      <w:szCs w:val="28"/>
    </w:rPr>
  </w:style>
  <w:style w:type="character" w:customStyle="1" w:styleId="368">
    <w:name w:val="列出段落 Char"/>
    <w:link w:val="247"/>
    <w:qFormat/>
    <w:uiPriority w:val="99"/>
    <w:rPr>
      <w:sz w:val="21"/>
      <w:szCs w:val="24"/>
    </w:rPr>
  </w:style>
  <w:style w:type="character" w:customStyle="1" w:styleId="369">
    <w:name w:val="表格文字 字符"/>
    <w:link w:val="264"/>
    <w:qFormat/>
    <w:uiPriority w:val="0"/>
    <w:rPr>
      <w:rFonts w:ascii="Calibri" w:hAnsi="Calibri" w:eastAsia="宋体" w:cs="Times New Roman"/>
      <w:sz w:val="21"/>
      <w:szCs w:val="22"/>
    </w:rPr>
  </w:style>
  <w:style w:type="paragraph" w:customStyle="1" w:styleId="370">
    <w:name w:val="修订2"/>
    <w:hidden/>
    <w:semiHidden/>
    <w:qFormat/>
    <w:uiPriority w:val="99"/>
    <w:rPr>
      <w:rFonts w:hint="default" w:ascii="Times New Roman" w:hAnsi="Times New Roman" w:eastAsia="宋体" w:cs="Times New Roman"/>
      <w:sz w:val="21"/>
      <w:szCs w:val="24"/>
    </w:rPr>
  </w:style>
  <w:style w:type="character" w:customStyle="1" w:styleId="371">
    <w:name w:val="正文文本首行缩进 字符"/>
    <w:basedOn w:val="346"/>
    <w:link w:val="46"/>
    <w:semiHidden/>
    <w:qFormat/>
    <w:uiPriority w:val="0"/>
    <w:rPr>
      <w:rFonts w:eastAsia="幼圆"/>
      <w:b w:val="0"/>
      <w:bCs w:val="0"/>
      <w:sz w:val="21"/>
      <w:szCs w:val="24"/>
    </w:rPr>
  </w:style>
  <w:style w:type="character" w:customStyle="1" w:styleId="372">
    <w:name w:val="未处理的提及1"/>
    <w:basedOn w:val="50"/>
    <w:semiHidden/>
    <w:unhideWhenUsed/>
    <w:qFormat/>
    <w:uiPriority w:val="99"/>
    <w:rPr>
      <w:color w:val="605E5C"/>
      <w:shd w:val="clear" w:color="auto" w:fill="E1DFDD"/>
    </w:rPr>
  </w:style>
  <w:style w:type="paragraph" w:customStyle="1" w:styleId="373">
    <w:name w:val="TOC 标题2"/>
    <w:basedOn w:val="3"/>
    <w:next w:val="1"/>
    <w:unhideWhenUsed/>
    <w:qFormat/>
    <w:uiPriority w:val="39"/>
    <w:pPr>
      <w:widowControl/>
      <w:numPr>
        <w:ilvl w:val="0"/>
        <w:numId w:val="0"/>
      </w:numPr>
      <w:spacing w:before="240" w:after="0" w:line="259" w:lineRule="auto"/>
      <w:jc w:val="left"/>
      <w:outlineLvl w:val="9"/>
    </w:pPr>
    <w:rPr>
      <w:rFonts w:asciiTheme="majorHAnsi" w:hAnsiTheme="majorHAnsi" w:eastAsiaTheme="majorEastAsia" w:cstheme="majorBidi"/>
      <w:b w:val="0"/>
      <w:bCs w:val="0"/>
      <w:color w:val="376092" w:themeColor="accent1" w:themeShade="BF"/>
      <w:szCs w:val="32"/>
    </w:rPr>
  </w:style>
  <w:style w:type="character" w:customStyle="1" w:styleId="374">
    <w:name w:val="未处理的提及2"/>
    <w:basedOn w:val="50"/>
    <w:semiHidden/>
    <w:unhideWhenUsed/>
    <w:qFormat/>
    <w:uiPriority w:val="99"/>
    <w:rPr>
      <w:color w:val="605E5C"/>
      <w:shd w:val="clear" w:color="auto" w:fill="E1DFDD"/>
    </w:rPr>
  </w:style>
  <w:style w:type="paragraph" w:customStyle="1" w:styleId="375">
    <w:name w:val="修订3"/>
    <w:hidden/>
    <w:unhideWhenUsed/>
    <w:qFormat/>
    <w:uiPriority w:val="99"/>
    <w:rPr>
      <w:rFonts w:hint="default" w:ascii="Times New Roman" w:hAnsi="Times New Roman" w:eastAsia="宋体" w:cs="Times New Roman"/>
      <w:sz w:val="21"/>
      <w:szCs w:val="24"/>
    </w:rPr>
  </w:style>
  <w:style w:type="paragraph" w:customStyle="1" w:styleId="376">
    <w:name w:val="标题 61"/>
    <w:basedOn w:val="1"/>
    <w:next w:val="1"/>
    <w:qFormat/>
    <w:uiPriority w:val="0"/>
    <w:pPr>
      <w:keepNext/>
      <w:keepLines/>
      <w:numPr>
        <w:ilvl w:val="5"/>
        <w:numId w:val="3"/>
      </w:numPr>
      <w:spacing w:before="240" w:after="64" w:line="320" w:lineRule="auto"/>
      <w:outlineLvl w:val="5"/>
    </w:pPr>
    <w:rPr>
      <w:rFonts w:ascii="Arial" w:hAnsi="Arial" w:eastAsia="黑体"/>
      <w:b/>
      <w:bCs/>
      <w:sz w:val="24"/>
    </w:rPr>
  </w:style>
  <w:style w:type="paragraph" w:customStyle="1" w:styleId="377">
    <w:name w:val="标题 71"/>
    <w:basedOn w:val="1"/>
    <w:next w:val="1"/>
    <w:qFormat/>
    <w:uiPriority w:val="0"/>
    <w:pPr>
      <w:keepNext/>
      <w:keepLines/>
      <w:numPr>
        <w:ilvl w:val="6"/>
        <w:numId w:val="3"/>
      </w:numPr>
      <w:spacing w:before="240" w:after="64" w:line="320" w:lineRule="auto"/>
      <w:outlineLvl w:val="6"/>
    </w:pPr>
    <w:rPr>
      <w:b/>
      <w:bCs/>
      <w:sz w:val="24"/>
    </w:rPr>
  </w:style>
  <w:style w:type="paragraph" w:customStyle="1" w:styleId="378">
    <w:name w:val="标题 81"/>
    <w:basedOn w:val="1"/>
    <w:next w:val="1"/>
    <w:qFormat/>
    <w:uiPriority w:val="0"/>
    <w:pPr>
      <w:keepNext/>
      <w:keepLines/>
      <w:numPr>
        <w:ilvl w:val="7"/>
        <w:numId w:val="3"/>
      </w:numPr>
      <w:spacing w:before="240" w:after="64" w:line="320" w:lineRule="auto"/>
      <w:outlineLvl w:val="7"/>
    </w:pPr>
    <w:rPr>
      <w:rFonts w:ascii="Arial" w:hAnsi="Arial" w:eastAsia="黑体"/>
      <w:sz w:val="24"/>
    </w:rPr>
  </w:style>
  <w:style w:type="paragraph" w:customStyle="1" w:styleId="379">
    <w:name w:val="标题 91"/>
    <w:basedOn w:val="1"/>
    <w:next w:val="1"/>
    <w:qFormat/>
    <w:uiPriority w:val="0"/>
    <w:pPr>
      <w:keepNext/>
      <w:keepLines/>
      <w:numPr>
        <w:ilvl w:val="8"/>
        <w:numId w:val="3"/>
      </w:numPr>
      <w:spacing w:before="240" w:after="64" w:line="320" w:lineRule="auto"/>
      <w:outlineLvl w:val="8"/>
    </w:pPr>
    <w:rPr>
      <w:rFonts w:ascii="Arial" w:hAnsi="Arial" w:eastAsia="黑体"/>
      <w:szCs w:val="21"/>
    </w:rPr>
  </w:style>
  <w:style w:type="character" w:customStyle="1" w:styleId="380">
    <w:name w:val="正文缩进 字符"/>
    <w:link w:val="13"/>
    <w:qFormat/>
    <w:uiPriority w:val="0"/>
    <w:rPr>
      <w:b/>
      <w:sz w:val="24"/>
    </w:rPr>
  </w:style>
  <w:style w:type="paragraph" w:customStyle="1" w:styleId="381">
    <w:name w:val="修订4"/>
    <w:hidden/>
    <w:unhideWhenUsed/>
    <w:qFormat/>
    <w:uiPriority w:val="99"/>
    <w:rPr>
      <w:rFonts w:hint="default" w:ascii="Times New Roman" w:hAnsi="Times New Roman" w:eastAsia="宋体" w:cs="Times New Roman"/>
      <w:sz w:val="21"/>
      <w:szCs w:val="24"/>
    </w:rPr>
  </w:style>
  <w:style w:type="paragraph" w:customStyle="1" w:styleId="382">
    <w:name w:val="一级条标题"/>
    <w:basedOn w:val="1"/>
    <w:next w:val="60"/>
    <w:qFormat/>
    <w:uiPriority w:val="0"/>
    <w:pPr>
      <w:widowControl/>
      <w:tabs>
        <w:tab w:val="left" w:pos="810"/>
        <w:tab w:val="left" w:pos="907"/>
        <w:tab w:val="left" w:pos="1265"/>
      </w:tabs>
      <w:ind w:left="907" w:hanging="907"/>
      <w:outlineLvl w:val="2"/>
    </w:pPr>
    <w:rPr>
      <w:rFonts w:ascii="黑体" w:hAnsi="宋体" w:eastAsia="黑体" w:cs="等线"/>
      <w:sz w:val="20"/>
      <w:szCs w:val="20"/>
    </w:rPr>
  </w:style>
  <w:style w:type="paragraph" w:customStyle="1" w:styleId="383">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384">
    <w:name w:val="Table Text"/>
    <w:basedOn w:val="1"/>
    <w:qFormat/>
    <w:uiPriority w:val="0"/>
    <w:rPr>
      <w:sz w:val="20"/>
      <w:szCs w:val="20"/>
      <w:lang w:eastAsia="en-US"/>
    </w:rPr>
  </w:style>
  <w:style w:type="table" w:customStyle="1" w:styleId="385">
    <w:name w:val="Table Normal"/>
    <w:qFormat/>
    <w:uiPriority w:val="2"/>
    <w:tblPr>
      <w:tblCellMar>
        <w:top w:w="0" w:type="dxa"/>
        <w:left w:w="0" w:type="dxa"/>
        <w:bottom w:w="0" w:type="dxa"/>
        <w:right w:w="0" w:type="dxa"/>
      </w:tblCellMar>
    </w:tblPr>
  </w:style>
  <w:style w:type="paragraph" w:customStyle="1" w:styleId="386">
    <w:name w:val="Table Paragraph"/>
    <w:basedOn w:val="1"/>
    <w:qFormat/>
    <w:uiPriority w:val="1"/>
  </w:style>
  <w:style w:type="paragraph" w:customStyle="1" w:styleId="38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32E89-3754-44AD-88B4-AA1766128D13}">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45</Pages>
  <Words>18708</Words>
  <Characters>19787</Characters>
  <TotalTime>26</TotalTime>
  <ScaleCrop>false</ScaleCrop>
  <LinksUpToDate>false</LinksUpToDate>
  <CharactersWithSpaces>20203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2025-06-18T09:02:00Z</dcterms:created>
  <dc:creator>Lenovo User</dc:creator>
  <cp:lastModifiedBy>Squall®</cp:lastModifiedBy>
  <dcterms:modified xsi:type="dcterms:W3CDTF">2026-03-05T01:43:00Z</dcterms:modified>
  <dc:title>公开招标文件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1CDA8C9A3AA8482E90F9839A0A6EA271_13</vt:lpwstr>
  </property>
  <property fmtid="{D5CDD505-2E9C-101B-9397-08002B2CF9AE}" pid="4" name="KSOTemplateDocerSaveRecord">
    <vt:lpwstr>eyJoZGlkIjoiZGFhY2Q4MzY1MTY0MGU3MmJkMGJjNDdmZTAxMDYyYzkiLCJ1c2VySWQiOiIzMTU2NTQzNiJ9</vt:lpwstr>
  </property>
</Properties>
</file>