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江阴市高中学位扩充项目（山观高中改造）智能化项目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：JSZC-320281-JZCG-G2026-0007</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二○二六年二月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outlineLvl w:val="0"/>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5"/>
        <w:spacing w:line="600" w:lineRule="exact"/>
        <w:tabs>
          <w:tab w:val="right" w:pos="9402" w:leader="dot"/>
        </w:tabs>
        <w:rPr>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"_Toc14198" </w:instrText>
      </w:r>
      <w:r>
        <w:fldChar w:fldCharType="separate"/>
      </w:r>
      <w:r>
        <w:rPr>
          <w:rFonts w:hint="eastAsia"/>
          <w:sz w:val="30"/>
          <w:szCs w:val="30"/>
        </w:rPr>
        <w:t xml:space="preserve">第一章　投标邀请</w:t>
      </w:r>
      <w:r>
        <w:rPr>
          <w:sz w:val="30"/>
          <w:szCs w:val="30"/>
        </w:rPr>
        <w:tab/>
      </w:r>
      <w:r>
        <w:rPr>
          <w:sz w:val="30"/>
          <w:szCs w:val="30"/>
        </w:rPr>
        <w:fldChar w:fldCharType="begin"/>
      </w:r>
      <w:r>
        <w:rPr>
          <w:sz w:val="30"/>
          <w:szCs w:val="30"/>
        </w:rPr>
        <w:instrText xml:space="preserve"> PAGEREF _Toc14198 \h </w:instrText>
      </w:r>
      <w:r>
        <w:rPr>
          <w:sz w:val="30"/>
          <w:szCs w:val="30"/>
        </w:rPr>
        <w:fldChar w:fldCharType="separate"/>
      </w:r>
      <w:r>
        <w:rPr>
          <w:sz w:val="30"/>
          <w:szCs w:val="30"/>
        </w:rPr>
        <w:t xml:space="preserve">3</w:t>
      </w:r>
      <w:r>
        <w:rPr>
          <w:sz w:val="30"/>
          <w:szCs w:val="30"/>
        </w:rPr>
        <w:fldChar w:fldCharType="end"/>
      </w:r>
      <w:r>
        <w:rPr>
          <w:sz w:val="30"/>
          <w:szCs w:val="30"/>
        </w:rPr>
        <w:fldChar w:fldCharType="end"/>
      </w:r>
      <w:r/>
    </w:p>
    <w:p>
      <w:pPr>
        <w:pStyle w:val="875"/>
        <w:spacing w:line="600" w:lineRule="exact"/>
        <w:tabs>
          <w:tab w:val="right" w:pos="9402" w:leader="dot"/>
        </w:tabs>
        <w:rPr>
          <w:sz w:val="30"/>
          <w:szCs w:val="30"/>
        </w:rPr>
      </w:pPr>
      <w:r>
        <w:fldChar w:fldCharType="begin"/>
      </w:r>
      <w:r>
        <w:instrText xml:space="preserve"> HYPERLINK \l "_Toc13482" </w:instrText>
      </w:r>
      <w:r>
        <w:fldChar w:fldCharType="separate"/>
      </w:r>
      <w:r>
        <w:rPr>
          <w:rFonts w:hint="eastAsia"/>
          <w:sz w:val="30"/>
          <w:szCs w:val="30"/>
        </w:rPr>
        <w:t xml:space="preserve">第二章　投标人须知</w:t>
      </w:r>
      <w:r>
        <w:rPr>
          <w:sz w:val="30"/>
          <w:szCs w:val="30"/>
        </w:rPr>
        <w:tab/>
      </w:r>
      <w:r>
        <w:rPr>
          <w:sz w:val="30"/>
          <w:szCs w:val="30"/>
        </w:rPr>
        <w:fldChar w:fldCharType="begin"/>
      </w:r>
      <w:r>
        <w:rPr>
          <w:sz w:val="30"/>
          <w:szCs w:val="30"/>
        </w:rPr>
        <w:instrText xml:space="preserve"> PAGEREF _Toc13482 \h </w:instrText>
      </w:r>
      <w:r>
        <w:rPr>
          <w:sz w:val="30"/>
          <w:szCs w:val="30"/>
        </w:rPr>
        <w:fldChar w:fldCharType="separate"/>
      </w:r>
      <w:r>
        <w:rPr>
          <w:sz w:val="30"/>
          <w:szCs w:val="30"/>
        </w:rPr>
        <w:t xml:space="preserve">6</w:t>
      </w:r>
      <w:r>
        <w:rPr>
          <w:sz w:val="30"/>
          <w:szCs w:val="30"/>
        </w:rPr>
        <w:fldChar w:fldCharType="end"/>
      </w:r>
      <w:r>
        <w:rPr>
          <w:sz w:val="30"/>
          <w:szCs w:val="30"/>
        </w:rPr>
        <w:fldChar w:fldCharType="end"/>
      </w:r>
      <w:r/>
    </w:p>
    <w:p>
      <w:pPr>
        <w:pStyle w:val="875"/>
        <w:spacing w:line="600" w:lineRule="exact"/>
        <w:tabs>
          <w:tab w:val="right" w:pos="9402" w:leader="dot"/>
        </w:tabs>
        <w:rPr>
          <w:sz w:val="30"/>
          <w:szCs w:val="30"/>
        </w:rPr>
      </w:pPr>
      <w:r>
        <w:fldChar w:fldCharType="begin"/>
      </w:r>
      <w:r>
        <w:instrText xml:space="preserve"> HYPERLINK \l "_Toc13413" </w:instrText>
      </w:r>
      <w:r>
        <w:fldChar w:fldCharType="separate"/>
      </w:r>
      <w:r>
        <w:rPr>
          <w:rFonts w:hint="eastAsia"/>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_Toc13413 \h </w:instrText>
      </w:r>
      <w:r>
        <w:rPr>
          <w:sz w:val="30"/>
          <w:szCs w:val="30"/>
        </w:rPr>
        <w:fldChar w:fldCharType="separate"/>
      </w:r>
      <w:r>
        <w:rPr>
          <w:sz w:val="30"/>
          <w:szCs w:val="30"/>
        </w:rPr>
        <w:t xml:space="preserve">18</w:t>
      </w:r>
      <w:r>
        <w:rPr>
          <w:sz w:val="30"/>
          <w:szCs w:val="30"/>
        </w:rPr>
        <w:fldChar w:fldCharType="end"/>
      </w:r>
      <w:r>
        <w:rPr>
          <w:sz w:val="30"/>
          <w:szCs w:val="30"/>
        </w:rPr>
        <w:fldChar w:fldCharType="end"/>
      </w:r>
      <w:r/>
    </w:p>
    <w:p>
      <w:pPr>
        <w:pStyle w:val="875"/>
        <w:spacing w:line="600" w:lineRule="exact"/>
        <w:tabs>
          <w:tab w:val="right" w:pos="9402" w:leader="dot"/>
        </w:tabs>
        <w:rPr>
          <w:sz w:val="30"/>
          <w:szCs w:val="30"/>
        </w:rPr>
      </w:pPr>
      <w:r>
        <w:fldChar w:fldCharType="begin"/>
      </w:r>
      <w:r>
        <w:instrText xml:space="preserve"> HYPERLINK \l "_Toc10076" </w:instrText>
      </w:r>
      <w:r>
        <w:fldChar w:fldCharType="separate"/>
      </w:r>
      <w:r>
        <w:rPr>
          <w:rFonts w:hint="eastAsia"/>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_Toc10076 \h </w:instrText>
      </w:r>
      <w:r>
        <w:rPr>
          <w:sz w:val="30"/>
          <w:szCs w:val="30"/>
        </w:rPr>
        <w:fldChar w:fldCharType="separate"/>
      </w:r>
      <w:r>
        <w:rPr>
          <w:sz w:val="30"/>
          <w:szCs w:val="30"/>
        </w:rPr>
        <w:t xml:space="preserve">71</w:t>
      </w:r>
      <w:r>
        <w:rPr>
          <w:sz w:val="30"/>
          <w:szCs w:val="30"/>
        </w:rPr>
        <w:fldChar w:fldCharType="end"/>
      </w:r>
      <w:r>
        <w:rPr>
          <w:sz w:val="30"/>
          <w:szCs w:val="30"/>
        </w:rPr>
        <w:fldChar w:fldCharType="end"/>
      </w:r>
      <w:r/>
    </w:p>
    <w:p>
      <w:pPr>
        <w:pStyle w:val="875"/>
        <w:spacing w:line="600" w:lineRule="exact"/>
        <w:tabs>
          <w:tab w:val="right" w:pos="9402" w:leader="dot"/>
        </w:tabs>
        <w:rPr>
          <w:sz w:val="30"/>
          <w:szCs w:val="30"/>
        </w:rPr>
      </w:pPr>
      <w:r>
        <w:fldChar w:fldCharType="begin"/>
      </w:r>
      <w:r>
        <w:instrText xml:space="preserve"> HYPERLINK \l "_Toc12146" </w:instrText>
      </w:r>
      <w:r>
        <w:fldChar w:fldCharType="separate"/>
      </w:r>
      <w:r>
        <w:rPr>
          <w:rFonts w:hint="eastAsia"/>
          <w:sz w:val="30"/>
          <w:szCs w:val="30"/>
        </w:rPr>
        <w:t xml:space="preserve">第五章　合同书（格式）</w:t>
      </w:r>
      <w:r>
        <w:rPr>
          <w:sz w:val="30"/>
          <w:szCs w:val="30"/>
        </w:rPr>
        <w:tab/>
      </w:r>
      <w:r>
        <w:rPr>
          <w:sz w:val="30"/>
          <w:szCs w:val="30"/>
        </w:rPr>
        <w:fldChar w:fldCharType="begin"/>
      </w:r>
      <w:r>
        <w:rPr>
          <w:sz w:val="30"/>
          <w:szCs w:val="30"/>
        </w:rPr>
        <w:instrText xml:space="preserve"> PAGEREF _Toc12146 \h </w:instrText>
      </w:r>
      <w:r>
        <w:rPr>
          <w:sz w:val="30"/>
          <w:szCs w:val="30"/>
        </w:rPr>
        <w:fldChar w:fldCharType="separate"/>
      </w:r>
      <w:r>
        <w:rPr>
          <w:sz w:val="30"/>
          <w:szCs w:val="30"/>
        </w:rPr>
        <w:t xml:space="preserve">74</w:t>
      </w:r>
      <w:r>
        <w:rPr>
          <w:sz w:val="30"/>
          <w:szCs w:val="30"/>
        </w:rPr>
        <w:fldChar w:fldCharType="end"/>
      </w:r>
      <w:r>
        <w:rPr>
          <w:sz w:val="30"/>
          <w:szCs w:val="30"/>
        </w:rPr>
        <w:fldChar w:fldCharType="end"/>
      </w:r>
      <w:r/>
    </w:p>
    <w:p>
      <w:pPr>
        <w:pStyle w:val="875"/>
        <w:spacing w:line="600" w:lineRule="exact"/>
        <w:tabs>
          <w:tab w:val="right" w:pos="9402" w:leader="dot"/>
        </w:tabs>
        <w:rPr>
          <w:b w:val="0"/>
          <w:bCs w:val="0"/>
          <w:caps w:val="0"/>
          <w:sz w:val="30"/>
          <w:szCs w:val="30"/>
        </w:rPr>
      </w:pPr>
      <w:r>
        <w:fldChar w:fldCharType="begin"/>
      </w:r>
      <w:r>
        <w:instrText xml:space="preserve"> HYPERLINK \l "_Toc3567" </w:instrText>
      </w:r>
      <w:r>
        <w:fldChar w:fldCharType="separate"/>
      </w:r>
      <w:r>
        <w:rPr>
          <w:rFonts w:hint="eastAsia"/>
          <w:sz w:val="30"/>
          <w:szCs w:val="30"/>
        </w:rPr>
        <w:t xml:space="preserve">第六章　投标文件的组成和格式</w:t>
      </w:r>
      <w:r>
        <w:rPr>
          <w:sz w:val="30"/>
          <w:szCs w:val="30"/>
        </w:rPr>
        <w:tab/>
      </w:r>
      <w:r>
        <w:rPr>
          <w:sz w:val="30"/>
          <w:szCs w:val="30"/>
        </w:rPr>
        <w:fldChar w:fldCharType="begin"/>
      </w:r>
      <w:r>
        <w:rPr>
          <w:sz w:val="30"/>
          <w:szCs w:val="30"/>
        </w:rPr>
        <w:instrText xml:space="preserve"> PAGEREF _Toc3567 \h </w:instrText>
      </w:r>
      <w:r>
        <w:rPr>
          <w:sz w:val="30"/>
          <w:szCs w:val="30"/>
        </w:rPr>
        <w:fldChar w:fldCharType="separate"/>
      </w:r>
      <w:r>
        <w:rPr>
          <w:sz w:val="30"/>
          <w:szCs w:val="30"/>
        </w:rPr>
        <w:t xml:space="preserve">79</w:t>
      </w:r>
      <w:r>
        <w:rPr>
          <w:sz w:val="30"/>
          <w:szCs w:val="30"/>
        </w:rPr>
        <w:fldChar w:fldCharType="end"/>
      </w:r>
      <w:r>
        <w:rPr>
          <w:sz w:val="30"/>
          <w:szCs w:val="30"/>
        </w:rPr>
        <w:fldChar w:fldCharType="end"/>
      </w:r>
      <w:r/>
    </w:p>
    <w:p>
      <w:pPr>
        <w:pStyle w:val="881"/>
        <w:spacing w:line="600" w:lineRule="exact"/>
        <w:rPr>
          <w:rFonts w:ascii="宋体" w:hAnsi="宋体" w:eastAsia="宋体" w:cs="Times New Roman"/>
          <w:szCs w:val="30"/>
        </w:rPr>
        <w:outlineLvl w:val="9"/>
      </w:pPr>
      <w:r>
        <w:rPr>
          <w:rFonts w:ascii="宋体" w:hAnsi="宋体" w:eastAsia="宋体" w:cs="Times New Roman"/>
          <w:szCs w:val="30"/>
        </w:rPr>
        <w:fldChar w:fldCharType="end"/>
      </w:r>
      <w:bookmarkStart w:id="4" w:name="_Toc166593357"/>
      <w:r/>
      <w:bookmarkStart w:id="5" w:name="_Toc166593155"/>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81"/>
        <w:outlineLvl w:val="9"/>
      </w:pPr>
      <w:r/>
      <w:bookmarkEnd w:id="4"/>
      <w:r/>
      <w:bookmarkEnd w:id="5"/>
      <w:r/>
      <w:r/>
    </w:p>
    <w:p>
      <w:pPr>
        <w:pStyle w:val="881"/>
      </w:pPr>
      <w:r/>
      <w:bookmarkStart w:id="6" w:name="_Toc14198"/>
      <w:r>
        <w:rPr>
          <w:rFonts w:hint="eastAsia"/>
        </w:rPr>
        <w:t xml:space="preserve">第一章　投标邀请</w:t>
      </w:r>
      <w:bookmarkEnd w:id="6"/>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江阴市高中学位扩充项目（山观高中改造）智能化项目</w:t>
      </w:r>
      <w:r>
        <w:rPr>
          <w:rFonts w:hint="eastAsia" w:ascii="宋体" w:hAnsi="宋体" w:eastAsia="宋体" w:cs="Times New Roman"/>
          <w:bCs/>
          <w:sz w:val="24"/>
          <w:szCs w:val="24"/>
        </w:rPr>
        <w:t xml:space="preserve">JSZC-320281-JZCG-G2026-0007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6-03-24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JSZC-320281-JZCG-G2026-0007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江阴市高中学位扩充项目（山观高中改造）智能化项目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344</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344万元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本项目为江阴市高中学位扩充项目（山观高中改造）智能化项目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03-24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cs="宋体"/>
          <w:spacing w:val="-5"/>
          <w:sz w:val="24"/>
        </w:rPr>
        <w:t xml:space="preserve">江阴市城市重点建设项目管理中心</w:t>
      </w:r>
      <w:r/>
    </w:p>
    <w:p>
      <w:pPr>
        <w:ind w:firstLine="480"/>
        <w:jc w:val="left"/>
        <w:spacing w:line="400" w:lineRule="exact"/>
        <w:rPr>
          <w:rFonts w:ascii="宋体" w:hAnsi="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ascii="宋体" w:hAnsi="宋体" w:cs="宋体"/>
          <w:spacing w:val="-12"/>
          <w:sz w:val="24"/>
        </w:rPr>
        <w:t xml:space="preserve">江阴市</w:t>
      </w:r>
      <w:r>
        <w:rPr>
          <w:rFonts w:hint="eastAsia" w:ascii="宋体" w:hAnsi="宋体" w:cs="宋体"/>
          <w:spacing w:val="-12"/>
          <w:sz w:val="24"/>
        </w:rPr>
        <w:t xml:space="preserve">大桥南路18号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项目联系人：陈女士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联系电话：0510-86070707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周先生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周先生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1"/>
        <w:outlineLvl w:val="9"/>
      </w:pPr>
      <w:r/>
      <w:r/>
    </w:p>
    <w:p>
      <w:pPr>
        <w:pStyle w:val="881"/>
      </w:pPr>
      <w:r/>
      <w:bookmarkStart w:id="9" w:name="_Toc13482"/>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（7）投标人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采购人收件人：陈女士  收件地址：江阴市大桥南路18号707  收件电话：13585053063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4、履约保证金的收取：合同签署时，中标方向采购单位缴纳履约保证金。中标方向采购单位缴纳的履约保证金不超过政府采购合同金额的10%。收取履约保证金的，采购人应当允许供应商自主选择以支票、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本次采购，江阴市政府采购中心为中标单位提供免费服务。 </w:t>
      </w:r>
      <w:r/>
    </w:p>
    <w:p>
      <w:pPr>
        <w:pStyle w:val="881"/>
        <w:jc w:val="both"/>
        <w:outlineLvl w:val="9"/>
      </w:pPr>
      <w:r/>
      <w:r/>
    </w:p>
    <w:p>
      <w:pPr>
        <w:pStyle w:val="881"/>
        <w:rPr>
          <w:rFonts w:ascii="楷体_GB2312" w:hAnsi="Times New Roman" w:eastAsia="楷体_GB2312"/>
          <w:b/>
          <w:sz w:val="28"/>
          <w:szCs w:val="28"/>
        </w:rPr>
      </w:pPr>
      <w:r/>
      <w:bookmarkStart w:id="10" w:name="_Toc13413"/>
      <w:r>
        <w:rPr>
          <w:rFonts w:hint="eastAsia"/>
        </w:rPr>
        <w:t xml:space="preserve">第三章　项目要求和有关说明</w:t>
      </w:r>
      <w:bookmarkEnd w:id="10"/>
      <w:r/>
      <w:r/>
    </w:p>
    <w:p>
      <w:pPr>
        <w:jc w:val="center"/>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w:t>
      </w:r>
      <w:r>
        <w:rPr>
          <w:rFonts w:hint="eastAsia" w:ascii="宋体" w:hAnsi="宋体" w:eastAsia="宋体" w:cs="Times New Roman"/>
          <w:b/>
          <w:sz w:val="24"/>
          <w:szCs w:val="24"/>
        </w:rPr>
        <w:t xml:space="preserve">以下除“</w:t>
      </w:r>
      <w:r>
        <w:rPr>
          <w:rFonts w:hint="eastAsia" w:ascii="宋体" w:hAnsi="宋体" w:eastAsia="宋体" w:cs="宋体"/>
          <w:b/>
          <w:bCs/>
          <w:sz w:val="24"/>
          <w:szCs w:val="24"/>
        </w:rPr>
        <w:t xml:space="preserve">技术参数要求</w:t>
      </w:r>
      <w:r>
        <w:rPr>
          <w:rFonts w:hint="eastAsia" w:ascii="宋体" w:hAnsi="宋体" w:eastAsia="宋体" w:cs="Times New Roman"/>
          <w:b/>
          <w:sz w:val="24"/>
          <w:szCs w:val="24"/>
        </w:rPr>
        <w:t xml:space="preserve">”外，其余均为实质性要求</w:t>
      </w:r>
      <w:r>
        <w:rPr>
          <w:rFonts w:hint="eastAsia" w:ascii="宋体" w:hAnsi="宋体" w:eastAsia="宋体" w:cs="Times New Roman"/>
          <w:b/>
          <w:bCs/>
          <w:sz w:val="24"/>
          <w:szCs w:val="28"/>
        </w:rPr>
        <w:t xml:space="preserve">）</w:t>
      </w:r>
      <w:r/>
    </w:p>
    <w:p>
      <w:pPr>
        <w:jc w:val="center"/>
        <w:spacing w:line="400" w:lineRule="exact"/>
        <w:rPr>
          <w:rFonts w:ascii="宋体" w:hAnsi="宋体"/>
          <w:b/>
          <w:bCs/>
          <w:sz w:val="24"/>
        </w:rPr>
      </w:pPr>
      <w:r>
        <w:rPr>
          <w:rFonts w:ascii="宋体" w:hAnsi="宋体"/>
          <w:b/>
          <w:bCs/>
          <w:sz w:val="24"/>
        </w:rPr>
      </w:r>
      <w:r/>
    </w:p>
    <w:p>
      <w:pPr>
        <w:spacing w:line="400" w:lineRule="exact"/>
        <w:tabs>
          <w:tab w:val="left" w:pos="6840" w:leader="none"/>
        </w:tabs>
        <w:rPr>
          <w:rFonts w:ascii="宋体" w:hAnsi="宋体" w:eastAsia="宋体" w:cs="Times New Roman"/>
          <w:sz w:val="24"/>
          <w:szCs w:val="24"/>
        </w:rPr>
        <w:outlineLvl w:val="0"/>
      </w:pPr>
      <w:r>
        <w:rPr>
          <w:rFonts w:hint="eastAsia" w:ascii="宋体" w:hAnsi="宋体" w:eastAsia="宋体" w:cs="宋体"/>
          <w:b/>
          <w:bCs/>
          <w:sz w:val="24"/>
          <w:szCs w:val="24"/>
        </w:rPr>
        <w:t xml:space="preserve">一、项目概况</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江阴市高中学位扩充项目（山观高中改造）智能化项目，位于江阴市龙山大街111号，龙泉路以南、龙山大街以北，山观高中现状校区用地内。</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学校创建于1958年，1997年被评为“江阴市重点高中”，2004年转评为“江苏省二星级高中”，2007年晋评为“江苏省三星级高中”。2013年8月，学校初、高中分设，在原高中区成立“江阴市山观高级中学”，2014年晋升为“江苏省四星级普通高中”。六十多年发展,学校已成为一所校园环境优美、教学设施先进、教师水平优良、教育质量过硬、在周边地区有一定影响力的现代化高中。</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为扩大优质教育资源的供给，提升教育教学质量，满足学生接受普通高中教育需求，江阴市山观高级中学拟于校区用地内，新建一栋四层实验综合楼，建筑面积约5083.52平方米，含物理、化学、生物实验室及智慧化设施。改造旧实验楼为教学楼，新增24个标准教室（20个普通教室和4个走班教室）和3个办公室，以满足一个年级20轨的需求。重点配套工程涵盖电力扩容、雨污分流、消防升级、危化品室安全系统、通风改造及智慧化建设（5G覆盖、物联平台、智能黑板等）、绿化改造等。旧楼改造涉及门窗更新、给排水系统优化、强弱电升级及教学设备配置。</w:t>
      </w:r>
      <w:r/>
    </w:p>
    <w:p>
      <w:pPr>
        <w:pStyle w:val="903"/>
        <w:ind w:firstLine="482"/>
        <w:jc w:val="both"/>
        <w:spacing w:line="400" w:lineRule="exact"/>
        <w:rPr>
          <w:rFonts w:ascii="宋体" w:hAnsi="宋体" w:eastAsia="宋体"/>
          <w:bCs/>
        </w:rPr>
      </w:pPr>
      <w:r>
        <w:rPr>
          <w:rFonts w:hint="eastAsia" w:ascii="宋体" w:hAnsi="宋体" w:eastAsia="宋体"/>
          <w:b/>
        </w:rPr>
        <w:t xml:space="preserve">本项目最高限价：344万元</w:t>
      </w:r>
      <w:r>
        <w:rPr>
          <w:rFonts w:hint="eastAsia" w:ascii="宋体" w:hAnsi="宋体" w:eastAsia="宋体"/>
          <w:bCs/>
        </w:rPr>
        <w:t xml:space="preserve">。</w:t>
      </w:r>
      <w:r/>
    </w:p>
    <w:p>
      <w:pPr>
        <w:pStyle w:val="903"/>
        <w:ind w:firstLine="482"/>
        <w:jc w:val="both"/>
        <w:spacing w:line="400" w:lineRule="exact"/>
        <w:rPr>
          <w:rFonts w:ascii="宋体" w:hAnsi="宋体" w:eastAsia="宋体"/>
          <w:b/>
        </w:rPr>
      </w:pPr>
      <w:r>
        <w:rPr>
          <w:rFonts w:hint="eastAsia" w:ascii="宋体" w:hAnsi="宋体" w:eastAsia="宋体"/>
          <w:b/>
        </w:rPr>
        <w:t xml:space="preserve">本项目标的所属行业：工业</w:t>
      </w:r>
      <w:r>
        <w:rPr>
          <w:rFonts w:hint="eastAsia" w:ascii="宋体" w:hAnsi="宋体" w:eastAsia="宋体"/>
          <w:bCs/>
        </w:rPr>
        <w:t xml:space="preserve">。</w:t>
      </w:r>
      <w:r/>
    </w:p>
    <w:p>
      <w:pPr>
        <w:ind w:firstLine="480"/>
        <w:spacing w:line="400" w:lineRule="exact"/>
        <w:tabs>
          <w:tab w:val="left" w:pos="6840" w:leader="none"/>
        </w:tabs>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6840" w:leader="none"/>
        </w:tabs>
        <w:rPr>
          <w:rFonts w:ascii="宋体" w:hAnsi="宋体" w:eastAsia="宋体" w:cs="Times New Roman"/>
          <w:sz w:val="24"/>
          <w:szCs w:val="24"/>
        </w:rPr>
        <w:outlineLvl w:val="0"/>
      </w:pPr>
      <w:r>
        <w:rPr>
          <w:rFonts w:hint="eastAsia" w:ascii="宋体" w:hAnsi="宋体" w:eastAsia="宋体" w:cs="宋体"/>
          <w:b/>
          <w:bCs/>
          <w:sz w:val="24"/>
          <w:szCs w:val="24"/>
        </w:rPr>
        <w:t xml:space="preserve">二、建设原则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本项目智能化系统建设将遵循智能化先进、功能齐全、性能稳定、节约成本的原则，使智能化系统融入学校在日常的实际综合应用管理中去，并综合考虑维护及操作因素，并将为今后的发展、扩建、改造等因素留有扩充的余地。</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本案的设计遵守以下原则：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（1）实用原则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以满足实际应用需求为原则，坚持先进，兼容传统，实现系统集成、系统互联、资源整合与信息共享。把实用性放在第一位，把系统建设成“实用工程”。</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（2）安全原则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网络环境下信息传输和数据存储注重安全，保障系统网络的安全可靠性，避免遭到恶意攻击和数据被非法提取的现象出现。</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（3）开放性原则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系统建设必须按照开放性和标准性原则设计；提供全套的技术资料和全面的技术培训，以满足系统与其它系统协同运行以及系统功能扩展的需求。</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（4）扩展性原则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技术选型除了考虑先进、实用，还必须考虑系统的扩展性，系统容量应该有可持续发展的考虑。</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（5）稳定性原则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从系统结构、技术措施、设备性能、系统管理、厂商技术支持及维修能力等方面保障系统的可靠性和稳定性。</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（6）易操作原则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强调以人为本的设计思想，适应多功能、外向型的需求，对于来自内外的各种信息进行收集、处理、存储、传输、检索、查询，为实际使用者和管理者提供有效的信息服务和充分的决策依据，为用户和管理人员提供安全、舒适、方便、快捷、高效、节约的生活和办公环境。</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（7）可维护性原则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系统应具备自检、故障诊断及故障弱化功能，在出现故障时，应能得到及时、快速的修复。</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（8）经济原则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在实现先进性和可靠性的前提下，以经济优化的设计达到较高的性价比。</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（9）先进性原则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系统的架构和技术均符合高新技术的发展趋势，在满足功能的前提下，能够在今后一定时间内保持系统的先进性。</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（10）标准性原则</w:t>
      </w:r>
      <w:r/>
    </w:p>
    <w:p>
      <w:pPr>
        <w:ind w:firstLine="480"/>
        <w:spacing w:line="400" w:lineRule="exact"/>
        <w:tabs>
          <w:tab w:val="left" w:pos="6840" w:leader="none"/>
        </w:tabs>
        <w:rPr>
          <w:rFonts w:ascii="宋体" w:hAnsi="宋体" w:eastAsia="宋体" w:cs="Times New Roman"/>
          <w:sz w:val="24"/>
          <w:szCs w:val="24"/>
        </w:rPr>
      </w:pPr>
      <w:r>
        <w:rPr>
          <w:rFonts w:hint="eastAsia" w:ascii="宋体" w:hAnsi="宋体" w:eastAsia="宋体" w:cs="Times New Roman"/>
          <w:sz w:val="24"/>
          <w:szCs w:val="24"/>
        </w:rPr>
        <w:t xml:space="preserve">系统的标准化程度越高、开放性越好，则系统的生命周期越长。控制协议、传输协议、接口协议、视音频编解码、视音频文件格式等需要符合相关国家标准或行业标准的规定。</w:t>
      </w:r>
      <w:r/>
    </w:p>
    <w:p>
      <w:pPr>
        <w:ind w:firstLine="480"/>
        <w:spacing w:line="400" w:lineRule="exact"/>
        <w:tabs>
          <w:tab w:val="left" w:pos="6840" w:leader="none"/>
        </w:tabs>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三、建设目标</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旨在通过全面的智能化改造，将校园打造成为集高效管理、优质教学、安全生活于一体的现代化智慧校园，实现教育资源的优化配置与共享，提升教育质量和学校竞争力，同时为学生、教职工提供一个更加便捷、安全、舒适的学习与工作环境。</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通过本次智能化改造，不仅短期内提升校园的整体运营效率和教学质量，更着眼于长远，构建一个可持续发展的智慧校园生态系统，为教育创新提供强大支撑，培养适应未来社会发展的高素质人才。</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项目建成后可更好地优化校园环境，提升学校的整体形象和品位，改善教学设施，提高教学效果和学生的学习体验；完善生活设施，提升学生的生活质量和幸福感；强化安全保障，确保校园的安全和稳定。</w:t>
      </w:r>
      <w:r/>
    </w:p>
    <w:p>
      <w:pPr>
        <w:contextualSpacing/>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四、项目采购清单</w:t>
      </w:r>
      <w:r/>
    </w:p>
    <w:tbl>
      <w:tblPr>
        <w:tblStyle w:val="860"/>
        <w:tblW w:w="10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21"/>
        <w:gridCol w:w="6217"/>
        <w:gridCol w:w="732"/>
        <w:gridCol w:w="725"/>
      </w:tblGrid>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shd w:val="clear" w:color="auto" w:fill="auto"/>
            <w:tcW w:w="1821" w:type="dxa"/>
            <w:vAlign w:val="center"/>
            <w:textDirection w:val="lrTb"/>
            <w:noWrap w:val="false"/>
          </w:tcPr>
          <w:p>
            <w:pPr>
              <w:jc w:val="center"/>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设备名称</w:t>
            </w:r>
            <w:r/>
          </w:p>
        </w:tc>
        <w:tc>
          <w:tcPr>
            <w:shd w:val="clear" w:color="auto" w:fill="auto"/>
            <w:tcW w:w="6217" w:type="dxa"/>
            <w:vAlign w:val="center"/>
            <w:textDirection w:val="lrTb"/>
            <w:noWrap w:val="false"/>
          </w:tcPr>
          <w:p>
            <w:pPr>
              <w:jc w:val="center"/>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c>
          <w:tcPr>
            <w:shd w:val="clear" w:color="auto" w:fill="auto"/>
            <w:tcW w:w="725" w:type="dxa"/>
            <w:vAlign w:val="center"/>
            <w:textDirection w:val="lrTb"/>
            <w:noWrap w:val="false"/>
          </w:tcPr>
          <w:p>
            <w:pPr>
              <w:jc w:val="center"/>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一、计算机及无线网络系统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48口接入交换机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24口接入交换机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16口接入交换机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24口POE交换机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16口POE交换机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千兆单模光模块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光模块-SFP-GE-单模模块-(1310nm,10km,LC)。</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光纤跳线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单模光纤跳线。</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面板AP</w:t>
            </w:r>
            <w:r/>
          </w:p>
        </w:tc>
        <w:tc>
          <w:tcPr>
            <w:shd w:val="clear" w:color="auto" w:fill="auto"/>
            <w:tcW w:w="6217" w:type="dxa"/>
            <w:vAlign w:val="center"/>
            <w:textDirection w:val="lrTb"/>
            <w:noWrap/>
          </w:tcPr>
          <w:p>
            <w:pP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放装AP</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无线控制器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AC授权</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无线控制器license授权,含192授权。</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Height w:val="23"/>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3200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网络整理</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原网络机房整理，无线网络重新整合规划。</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二、安全防范系统</w:t>
            </w:r>
            <w:r/>
          </w:p>
        </w:tc>
      </w:tr>
      <w:tr>
        <w:trPr>
          <w:jc w:val="center"/>
        </w:trPr>
        <w:tc>
          <w:tcPr>
            <w:gridSpan w:val="3"/>
            <w:shd w:val="clear" w:color="auto" w:fill="auto"/>
            <w:tcW w:w="8684"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1、网络监控系统</w:t>
            </w:r>
            <w:r/>
          </w:p>
        </w:tc>
        <w:tc>
          <w:tcPr>
            <w:shd w:val="clear" w:color="auto" w:fill="auto"/>
            <w:tcW w:w="732"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c>
          <w:tcPr>
            <w:shd w:val="clear" w:color="auto" w:fill="auto"/>
            <w:tcW w:w="725"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网络枪型摄像机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r>
      <w:tr>
        <w:trPr>
          <w:jc w:val="center"/>
          <w:trHeight w:val="2537"/>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枪型摄像机支架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压铸纯铝合金材质，表面做喷塑处理；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支架带出线孔，安装更加美观；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摄像机安装座表面有海绵垫，保证和摄像机底座结合更紧密；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摄像机安装座可旋转，方便摄像机角度调整；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材质：铝合金；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重量：满足最大承受重量为2KG；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角度：调整角度：水平：360°，垂直：-45°~45°。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网络半球摄像机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半球支架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半球壁装支架。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监控核心交换机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8口POE交换机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交换容量≥672Gbps,转发性能≥120Mpps；≥16个10/100/1000Base-T自适应以太网端口，≥4个1000BASE-XSFP端口；高度1U，固定接口交换机；整机最大路由地址表≥1K；整机最大ARP地址表≥1K；整机最大MAC地址表≥16K；支持</w:t>
            </w:r>
            <w:r>
              <w:rPr>
                <w:rFonts w:hint="eastAsia" w:ascii="宋体" w:hAnsi="宋体" w:eastAsia="宋体" w:cs="宋体"/>
                <w:color w:val="000000"/>
                <w:sz w:val="20"/>
                <w:szCs w:val="20"/>
                <w:lang w:bidi="ar"/>
              </w:rPr>
              <w:t xml:space="preserve">POE、POE+；支持BFDFORVRRP功能；支持RRPP（快速环网保护协议），环网故障恢复时间不超过50ms；支持CPU保护功能；支持IPv4静态路由、RIP、OSPF；支持IPv6静态路由、RIPng、OSPFv3；支持ERPS功能，收敛时间小于50ms；支持SAVI功能；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16口POE交换机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技术参数同“一、计算机及无线网络系统中的5、16口POE交换机”一致。</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24口POE交换机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技术参数同“一、计算机及无线网络系统中的4、24口POE交换机”一致。</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千兆单模光模块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光模块-SFP-GE-单模模块-(1310nm,10km,LC)。</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光纤跳线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单模光纤跳线。</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24盘位网络硬盘录像机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监控硬盘</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12T监控专用硬盘。</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综合管理平台</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视频通道接入授权</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路</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267</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46寸液晶拼接屏</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46英寸-气动前维护支架。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显示器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32英寸显示器，1080P，HDMI液晶屏，高清/直面黑色。</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HDMI高清线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配套HDMI高清线。</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超高清解码器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控制键盘</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管理电脑</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CPU:国产化自主可控处理器，主频≥2.7GHz、≥8核处理器8线程，二级缓存≥8MB；集成显卡/21.5英寸显示器。</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32英寸信息发布屏</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前维护壁挂支架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颜色：黑色；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材质：SPCC高强度钢（主体）；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安装孔位：(75~200)X(75~200)；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产品承重：25KG。</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发布软件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可用于制作单面屏节目、双面屏节目、屏幕墙节目、客流节目等并发布到信息发布终端，支持素材管理、节目制作、播放日程管理、发布管理、终端管理等功能。</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10500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门卫监控整合</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门卫室整理，原监控与现监控整合，监控画面规划，统一上墙，统一管理。</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3"/>
            <w:shd w:val="clear" w:color="auto" w:fill="auto"/>
            <w:tcW w:w="8684"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2、联网门禁系统</w:t>
            </w:r>
            <w:r/>
          </w:p>
        </w:tc>
        <w:tc>
          <w:tcPr>
            <w:shd w:val="clear" w:color="auto" w:fill="auto"/>
            <w:tcW w:w="732"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c>
          <w:tcPr>
            <w:shd w:val="clear" w:color="auto" w:fill="auto"/>
            <w:tcW w:w="725"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r>
      <w:tr>
        <w:trPr>
          <w:jc w:val="center"/>
          <w:trHeight w:val="567"/>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联网门禁读卡器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认证方式：刷卡；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读卡频率：13.56MHz；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可识别卡：IC卡(支持扇区加密)、CPU卡序列号(不含加密功能)；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按键方式：无；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通讯方式：RS485+Wiegand；</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工作电压：DC12V；</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功耗：≤2W；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安装方式：无底盒壁挂、86底盒、120底盒安装；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工作环境：室内，不防水。</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门禁电源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输入电压：100-240VAC；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输出电压：12VDC；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输出电流：4.17A；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输出功率：50W；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支持蓄电池接入（设备本身不含蓄电池）；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工作温度：-10℃-+50℃；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工作湿度：＜95%。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四门门禁控制器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管控门数：4门；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通讯方式：上行TCP/IP；</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可接读卡器：RS485读卡器*8、Wiegand读卡器*4；</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存储容量：10万张卡和30万记录存储；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门禁高级功能：支持多门互锁、跨主机反潜回、多重卡认证等；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输入接口：报警输入*4、门磁*4、开门按钮*4、Case输入*8、防拆*1；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输出接口：开门继电器*4、报警继电器*4；</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其他功能：带消防联动继电器接口、接蓄电池功能接口；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工作电压：DC12V（自带开关电源：220V输入，12V/100W输出）。</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出门按钮</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结构：塑料面板；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性能：最大耐电流1.25A，电压250V；</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输出：常开；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类型：适合埋入式电器盒使用；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尺寸：86*86mm。</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双门磁力锁</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锁体主体颜色为：氧化银；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最大静态直线拉力：280kg±10%*2；</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断电开锁，满足消防要求；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具有电锁状态指示灯（红灯为开锁状态，绿灯为上锁状态）；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支持锁状态侦测信号(门磁)输出：NO/NC/COM接点；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工作电压：12V/430mA*2或24V/215mA*2；</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锁体尺寸：长500*宽53*厚29(mm)；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吸板尺寸：长170*宽43*高13(mm)；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使用环境：室内（不防水）；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适用门型：木门、玻璃门、金属门、防火门。</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把</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单门磁力锁</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锁体主体颜色为：氧化银；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最大静态直线拉力：280kg±10%；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断电开锁，满足消防要求；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具有电锁状态指示灯（红灯为开锁状态，绿灯为上锁状态）；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支持锁状态侦测信号(门磁)输出：NO/NC/COM接点；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工作电压：12V/430mA或24V/215mA；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锁体尺寸：长238*宽53*厚29(mm)；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吸板尺寸：长170*宽43*高13(mm)；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使用环境：室内（不防水）；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适用门型：木门、玻璃门、金属门、防火门。</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把</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发卡器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发卡器。</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Height w:val="90"/>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IC卡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IC卡。</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张</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200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RVV2*1.5。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通讯线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RVV4*1.0。</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3"/>
            <w:shd w:val="clear" w:color="auto" w:fill="auto"/>
            <w:tcW w:w="8684"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3、报警系统</w:t>
            </w:r>
            <w:r/>
          </w:p>
        </w:tc>
        <w:tc>
          <w:tcPr>
            <w:shd w:val="clear" w:color="auto" w:fill="auto"/>
            <w:tcW w:w="732"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c>
          <w:tcPr>
            <w:shd w:val="clear" w:color="auto" w:fill="auto"/>
            <w:tcW w:w="725" w:type="dxa"/>
            <w:vAlign w:val="center"/>
            <w:textDirection w:val="lrTb"/>
            <w:noWrap w:val="false"/>
          </w:tcPr>
          <w:p>
            <w:pPr>
              <w:jc w:val="center"/>
              <w:spacing w:line="400" w:lineRule="exact"/>
              <w:rPr>
                <w:rFonts w:ascii="宋体" w:hAnsi="宋体" w:eastAsia="宋体" w:cs="宋体"/>
                <w:b/>
                <w:bCs/>
                <w:color w:val="000000"/>
                <w:sz w:val="20"/>
                <w:szCs w:val="20"/>
              </w:rPr>
            </w:pPr>
            <w:r>
              <w:rPr>
                <w:rFonts w:ascii="宋体" w:hAnsi="宋体" w:eastAsia="宋体" w:cs="宋体"/>
                <w:b/>
                <w:bCs/>
                <w:color w:val="000000"/>
                <w:sz w:val="20"/>
                <w:szCs w:val="20"/>
              </w:rPr>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双鉴红外探测器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声光报警器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【技术参数】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1.设备类型：声光警号（声光报警器）；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2.警灯颜色：红色；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3.报警音量：105dB；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4.硬件接口：红/黑线；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5.使用环境：室内/外（IP54室外防水）；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6.外壳材质：PC+ABS；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7.安装方式：壁挂；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8.工作电源：DC12V/220mA（宽压8-16VDC）；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9.工作温度：-20°C至60°C；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10.工作湿度：10%至90%；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【技术参数要求】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1.声光报警：提供警灯闪烁和报警音频输出，用于提示警情处置。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2.模式切换：支持关闭报警音频输出，仅提供警灯闪烁模式输出。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3.内置水平仪：可通过内置水平仪调节安装角度，方便调试安装。</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报警主机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控制键盘</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报警线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RVV4*0.5。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三、多媒体教学系统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86寸交互智能平板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推拉黑板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配套推拉黑板，定制。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OPS模块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1.PC模块可抽拉式插入整机，可实现无单独接线的插拔，采用按压式卡扣，无需工具就可快速拆卸电脑模块。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2.PC模块和整机的连接采用万兆级接口，传输速率≥10Gbps。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3.电脑模块CPU要求：主频≥2.0GHz，8核心十二线程；配置要求：不低于DDR48GB内存，256GBSSD硬盘；接口要求：≥1路HDMI，≥3路USB。</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展台</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集控管理平台</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有源音箱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红外对频无线话筒</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红外无线连接器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1.实现外部扩展红外无线对频，使红外对频角度更大。</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2.红外线（波长≥900nm），高灵敏度红外线发射管≥5颗。</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3.采用3.5mm插头,适用于同品牌扩声设备，长度≥3米。</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音箱线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有源音箱线缆。</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AI算力模块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1.AI算力模块最大外形尺寸≤230*220*30（mm）；采用双矩形把手设计，两个把手位置分别支持按压式卡锁装置，按压解锁，释放自动卡锁；支持双翼锁紧装置。</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2.AI算力模块前置面板支持2路PoEout接口；支持插入MicroSD卡接口，用于系统升级；支持独立复位按键；具有3.5mm圆孔接口，支持调试功能；具有2路LED状态指示灯。</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3.AI算力模块采用8核A53内核芯片，主频≥2.3GHz；后置面板支持40针接口。</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4.系统支持linux5.4，内存≥16GB，256GB存储，支持额外扩展512GB/1TBSSD存储。</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4K教师观察摄像机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麦克风</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1.阵列麦克风支持360°全指向拾音。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2.灵敏度-38dBFS，信噪比65dB(A)，频率响应50Hz-16kHz，采样率：32K采样，高清宽带音频。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3.拾音距离：≥3m，支持回声消除，噪声抑制，增益控制。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4.级联方式：PoE网线，支持2级级联（IEEE802.3at标准）。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5.接口要求：USB音频接口（Type-C），UAC1.0协议，音频数据通信，软件升级和参数配置。</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课堂智能反馈系统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四、移动录播系统</w:t>
            </w:r>
            <w:r/>
          </w:p>
        </w:tc>
      </w:tr>
      <w:tr>
        <w:trPr>
          <w:jc w:val="center"/>
          <w:trHeight w:val="90"/>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移动录播主机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移动导播系统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移动互动系统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视频处理系统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1.支持合成4KPGM画面，≥5个画面可调。</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2.支持多种类型视频信号接入，可接入网络视频信号、高速数字信号HDMI。</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3.支持通过rtsp协议接入第三方摄像机视频流。</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4.支持≥3种编码复杂度设置。</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5.支持≥2种码率控制方式设置。</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6.主机支持通过网络对接入摄像机的设备信息检索。</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7.支持接入POE摄像机。</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8.HDMI采集通道支持画面缩放，可完成3840×2160p图像采集。</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无线云台摄像机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云台摄像机图像处理系统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1.支持畸变矫正功能。</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2.支持H.264、H.265、MJPG编码协议。</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3.支持≥3中编码等级。</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4.支持≥10路RTSP同时拉流，拉流码率≥1080P@30fps。</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5.支持基于不同使用场景的摄像机模式选择，包括室内模式、室外模式和专业模式。</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6.支持音频混音，支持Micin和Linein同时输入音频。</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7.支持人员检测，当开启跟踪时，即可实现对人员的跟踪拍摄，无需借助其他定位摄像机。</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8.支持通过录播主机手动划定跟踪目标，摄像机可对目标进行单人跟踪。</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摄像机支架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专业大型三脚架，摄像机直播支架铝合金三角架。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无线麦克风</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无线麦克风音频处理系统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1.麦克风音频编码方式采用LC3plus。</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2.支持啸叫抑制算法，本地扩声时不产生啸叫现象。</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3.支持降噪功能设置。</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4.支持多通道输入混音。</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移动录播箱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1.采用高强度聚丙烯复合材料，箱体承重≥50KG。</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2.箱体可抗紫外线辐射，耐强力冲击。</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3.支持IP67防护等级。</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4.采用四个万向静音轮。</w:t>
            </w:r>
            <w:r/>
          </w:p>
          <w:p>
            <w:pPr>
              <w:jc w:val="left"/>
              <w:spacing w:line="400" w:lineRule="exact"/>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5.具备可伸缩拉杆，人体工学把手，采用包胶设计。</w:t>
            </w:r>
            <w:r/>
          </w:p>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6.内衬采用环保材料，无刺激性气味。</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资源管理平台</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五、公共广播系统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网络化智能寻呼站</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网络化分控寻呼软件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250W网络功放终端</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350W网络功放终端</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教室IP音箱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1.网络化终端处理器结合高保真扬声器整体化设计的网络化音箱。</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2.双网络接口冗余设计，可跨网段工作。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3.可挂接在网络到达的任何地方。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4.具有MP3解码播放功能。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5.支持最大48kHz采样率16bit数字音频码流解码。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6.内置2×15W数字功放，低功耗设置。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7.可播放来自系统主机的背景音乐、紧急寻呼、告警信号等。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8.具有一路辅助音频输入口，一路辅助音频输出口，一路话筒输入和一路EMC紧急输出口，1路短路输出（同时控制100V音频输入与本机音频信号的切换）。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9.本地输出音量及本地播放状态可控。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10.工作状态及信息变化数码显示。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11.可接受红外线遥控器的操控。</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实验楼教室音箱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1.工作电压70/100V，功率1.5-10W（多个配接端子），适应不同场合。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2.最大声压级达100±2dB，有效频率范围宽达160Hz-18kHz。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3.自备悬挂孔，安装方便。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4.优质工程塑料注塑成型，经久耐用，不变形，不褪色。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5.扬声器悬边阻尼处理，寿命长，灵敏度高（达92±2dB），声音清晰。</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壁挂音箱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1.工作电压70/100V，功率1.5-10W（多个配接端子），适应不同场合。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2.最大声压级达100±2dB，有效频率范围宽达160Hz-18kHz。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3.自备悬挂孔，安装方便。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4.优质工程塑料注塑成型，经久耐用，不变形，不褪色。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5.扬声器悬边阻尼处理，寿命长，灵敏度高（达92±2dB），声音清晰。</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1684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广播线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RVS2*1.5。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2554</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RVV2*1.5。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六、电子时钟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5G无线数字时钟</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1.自身计时精度：≤±0.05秒/天；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2.功耗：20W（3英寸红色数码管）；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3.接口方式：5G无线信号；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4.显示方式：时、分、秒；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5.尺寸：宽625mm*高140mm*厚38mm；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6.外壳采用铝合金一体成型工艺；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7.MTBF：≥80000小时；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8.环境温度-10℃～+65℃；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9.供电电源AC220V±20％50HZ±5％；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10.安装方式：单面壁挂式。</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RVV2*1.0。</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七、室外LED显示系统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P3户外全彩LED显示屏</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1.点间距：3.076mm；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2.像素点密度：105625点/㎡；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3.刷新频率：≥3840Hz；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4.屏体结构：壁挂式固定安装；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5.灰度等级：16384level。</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27.65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开关电源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安全保护：短路/过载保护；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散热性好：铝外壳散热；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高效率：效率超过88%。</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数据接收卡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单卡最大带载512×512像素；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最多支持24组RGB并行数据；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采用12个标准的HUB75接口。</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播控处理器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详见“主要设备详细技术参数要求”。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主信号线材料及铺设</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电源线、排线、防水胶圈等附件。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27.65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屏体内部电缆线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屏体内部电缆线。</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箱体</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箱体。</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27.65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结构制作及安装</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6.8m*4.72m。</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32.10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散热</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1.5P制冷。</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智能配电柜</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带漏电、避雷、远程上电等功能。</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八、综合布线系统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六类网络模块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规格：180度六类RJ45非屏蔽模块插座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标准：TIA/EIA568B.2-1及ISO/IEC11801:2002Ed2.0或国际通用标准，模块性能指标完全优于现行六类250MHZ标准，可提供高达350MHZ的可用带宽；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拔插寿命：≥1000次；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端接寿命：≥250次；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端子镀金厚度：≥50u；</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端接（压接）：免打模块设计，安装不需要任何打线工具。可卡接22～24AWG规格的芯线。</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单口面板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规格：86型，平面型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卡口类别：采用Keystone类型的模块卡口，兼容所有的铜缆/光纤/音视频模块。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端口数量：1口。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标签：面板带有透明标签盖板，可放入或更换标签。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颜色管理：面板可提供极地白色或米白色选择，并支持模块的色彩化管理。</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双口面板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规格：86型，平面型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卡口类别：采用Keystone类型的模块卡口，兼容所有的铜缆/光纤/音视频模块。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端口数量：2口。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标签：面板带有透明标签盖板，可放入或更换标签。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颜色管理：面板可提供极地白色或米白色选择，并支持模块的色彩化管理。</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86盒</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与面板配套。</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333</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规格：23AWG六类非屏蔽双绞线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标准：UL444,EIA/TIA568-B.2和ISO/IEC11801,IEC61156-5；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传输：100米范围内≥250MHz条件下的传输要求。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28200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4芯单模光缆</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规格：4芯单模光缆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光缆符合TIA/EIA-568B标准，满足ITUG.651、IEC793技术要求；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外皮与紧套光纤之间有多股纺纶丝，增加光纤强度。</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647</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6芯单模光缆</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规格：6芯单模光缆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光缆符合TIA/EIA-568B标准，满足ITUG.651、IEC793技术要求；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外皮与紧套光纤之间有多股纺纶丝，增加光纤强度。</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12芯单模光缆</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规格：12芯单模光缆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光缆符合TIA/EIA-568B标准，满足ITUG.651、IEC793技术要求；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外皮与紧套光纤之间有多股纺纶丝，增加光纤强度。</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24芯单模光缆</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规格：24芯单模光缆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光缆符合TIA/EIA-568B标准，满足ITUG.651、IEC793技术要求；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外皮与紧套光纤之间有多股纺纶丝，增加光纤强度。</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890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网络配线架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规格：24口模块化全兼容型网络配线架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标准：ISO/IEC11801，TIA/EIA-568-B.2；</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产品要求：配线架能直接安装在19英寸标准机架或机柜上，内置螺丝设计，配有加厚型后理线支架，保证弯曲半径和避免线缆挤压，带有便于扎带捆绑孔。</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配线架模块</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规格：180度六类RJ45非屏蔽模块插座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标准：TIA/EIA568B.2-1及ISO/IEC11801:2002Ed2.0或国际通用标准，模块性能指标完全优于现行六类250MHZ标准，可提供高达350MHZ的可用带宽；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拔插寿命：≥1000次；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端接寿命：≥250次；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端子镀金厚度：≥50u˝；</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端接（压接）：免打模块设计，安装不需要任何打线工具。可卡接22～24AWG规格的芯线。</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六类数据跳线(2米)</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规格：2米六类UTP4对标准RJ45至RJ45跳线，PVC护套，符合UL防火标准；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标准：符合ANSI/TIA/EIA568B.2-1、ISO/IEC11801第二版、EN50173-1第二版标准，跳线性能指标完全优于现行六类250MHZ标准，并超越所有六类部件的性能要求，可提供高达350MHZ的可用带宽；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跳线内部7*0.2多芯软线结构；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跳线100%原装出厂测试。</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规格：网络理线架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单面槽理线架按19英寸机架标准设计，适用于配线架及设备跳线的水平和垂直方向的线缆管理；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设计简洁、对于各种线缆提供灵活、有效和安全的管理，使布线系统整洁美观，提供24个管理环；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采用滑槽式封闭结构，全金属材质，管理跳线数≥50，满足跳线或交叉线弯曲半径的合理性。</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4口光纤熔接盒</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满配，含耦合器、尾纤。</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6口光纤熔接盒</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满配，含耦合器、尾纤。</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12口光配线架（满配耦合器）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规格：12口光纤配线架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采用机架式光纤配线架设计，满足现场对光纤设备的管理与端接；采用模块化设计，根据实际需求选配光纤适配器；单元结构为19英寸机箱，高度为1U，适合于标准机柜；安装壳体采用环氧静电喷塑，外形美观。要求提供光纤收容及整理空间，便于跳线及整理配有光缆绑扎配件整理水平进线。</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24口光配线架（满配耦合器）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规格：24口光纤配线架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采用机架式光纤配线架设计，满足现场对光纤设备的管理与端接；采用模块化设计，根据实际需求选配光纤适配器；单元结构为19英寸机箱，高度为1U，适合于标准机柜；安装壳体采用环氧静电喷塑，外形美观。要求提供光纤收容及整理空间，便于跳线及整理配有光缆绑扎配件整理水平进线。</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Height w:val="1766"/>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48口光配线架（满配耦合器）</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1.规格：ODF光纤配线架；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2.产品符合TIA/EIA、ANSI、GB/T3047.2标准；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3.模块化设计，可上下进缆，接地固定可靠；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4.机架采用优质钢板，整体静电喷塑，美观大方耐用；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5.机架顶部、底部均开有进缆孔。光缆固定、开剥装置可灵活安装，既可满足上走缆方式要求，又可满足下走缆方式要求。</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单芯单模光纤尾纤</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规格：单模单芯光纤尾纤，SC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由紧护套8字型9/125单模光纤加SC光纤接头压接头组成，采用工厂化压制，光纤头经电脑控制研磨，所有尾纤在出厂前都是端接好的并经过严格检测；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产品要求：符合TIA/EIA568-B，ISO/IEC11801标准；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物理要求：光纤尾纤最小弯曲半径为3.8cm，工作温度范围-20~70℃，接头材料为陶瓷。</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RVV2*1.5。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机柜(42U)</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1.规格：落地机柜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2.符合YD/T2319-2020标准；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3.全部选用SPCC优质冷轧钢板制作，表面脱脂、酸洗、防锈磷化、纯水清洗、喷塑处理、外型美观；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4.静态承重：800Kg；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5.防护等级:IP2X；</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6.机柜前后网孔门；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7.尺寸：600*600*2000mm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8.内部标准19英寸安装方式。</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机柜(32U)</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1.规格：落地机柜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2.符合YD/T2319-2020标准；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3.全部选用SPCC优质冷轧钢板制作，表面脱脂、酸洗、防锈磷化、纯水清洗、喷塑处理、外型美观；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4.静态承重：800Kg；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5.防护等级:IP2X；</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6.机柜前后网孔门；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7.尺寸：600*600*1600mm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8.内部标准19英寸安装方式。</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PDU防雷插座</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专用插座。</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弱电设备箱</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500*600mm，含电源插排。</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8路电话光端机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8路电话语音光端机。</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4路电话光端机</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4路电话语音光端机。</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光纤熔接</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光纤熔接。</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芯</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安装附件。</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技术服务费</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包含系统设备安装及调试、设备培训、5年质保及上门服务。</w:t>
            </w:r>
            <w:r/>
          </w:p>
        </w:tc>
        <w:tc>
          <w:tcPr>
            <w:shd w:val="clear" w:color="auto" w:fill="auto"/>
            <w:tcW w:w="732" w:type="dxa"/>
            <w:vAlign w:val="center"/>
            <w:textDirection w:val="lrTb"/>
            <w:noWrap/>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gridSpan w:val="5"/>
            <w:shd w:val="clear" w:color="auto" w:fill="auto"/>
            <w:tcW w:w="10141" w:type="dxa"/>
            <w:vAlign w:val="center"/>
            <w:textDirection w:val="lrTb"/>
            <w:noWrap w:val="false"/>
          </w:tcPr>
          <w:p>
            <w:pPr>
              <w:jc w:val="left"/>
              <w:spacing w:line="400" w:lineRule="exact"/>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九、综合管网系统</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金属水平桥架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200*100,包括所有组、配件。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金属垂直桥架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200*100,包括所有组、配件。</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桥架支架</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支架制作、安装。</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金属软管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穿线金属软管DN20。</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950</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进户管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PE50管。</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穿线管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JDG20，暗敷。</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1892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穿线管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JDG25，暗敷。</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穿线管</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PVC20/25。</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3136</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墙面开槽修补</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布线管墙、地面开槽，墙、地面修补。</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769</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弱电井</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600mm*600mm*700mm,砖砌，含井盖。</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地面开挖</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室外地面开挖开挖，修复。</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r>
      <w:tr>
        <w:trPr>
          <w:jc w:val="center"/>
        </w:trPr>
        <w:tc>
          <w:tcPr>
            <w:shd w:val="clear" w:color="auto" w:fill="auto"/>
            <w:tcW w:w="646"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W w:w="1821"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W w:w="6217" w:type="dxa"/>
            <w:vAlign w:val="center"/>
            <w:textDirection w:val="lrTb"/>
            <w:noWrap w:val="false"/>
          </w:tcPr>
          <w:p>
            <w:pPr>
              <w:jc w:val="left"/>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安装配件、预埋盒等。</w:t>
            </w:r>
            <w:r/>
          </w:p>
        </w:tc>
        <w:tc>
          <w:tcPr>
            <w:shd w:val="clear" w:color="auto" w:fill="auto"/>
            <w:tcW w:w="732"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W w:w="725" w:type="dxa"/>
            <w:vAlign w:val="center"/>
            <w:textDirection w:val="lrTb"/>
            <w:noWrap w:val="false"/>
          </w:tcPr>
          <w:p>
            <w:pPr>
              <w:jc w:val="center"/>
              <w:spacing w:line="400" w:lineRule="exact"/>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bl>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五、主要设备详细技术参数要求（打“★”项为重要技术参数）</w:t>
      </w:r>
      <w:r/>
    </w:p>
    <w:p>
      <w:pPr>
        <w:spacing w:line="400" w:lineRule="atLeast"/>
        <w:rPr>
          <w:rFonts w:ascii="宋体" w:hAnsi="宋体" w:eastAsia="宋体" w:cs="宋体"/>
          <w:b/>
          <w:bCs/>
          <w:sz w:val="24"/>
          <w:szCs w:val="24"/>
        </w:rPr>
      </w:pPr>
      <w:r>
        <w:rPr>
          <w:rFonts w:hint="eastAsia" w:ascii="宋体" w:hAnsi="宋体" w:eastAsia="宋体" w:cs="宋体"/>
          <w:b/>
          <w:bCs/>
          <w:sz w:val="24"/>
          <w:szCs w:val="24"/>
        </w:rPr>
        <w:t xml:space="preserve">一、计算机及无线网络系统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1、48口接入交换机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交换容量≥672Gbps,转发性能≥166Mpps；≥48个10/100/1000Base-T自适应以太网端口，≥4个1000BASE-XSFP端口；高度1U，固定接口交换机；整机最大路由地址表≥1K；整机最大ARP地址表≥1K；整机最大MA</w:t>
      </w:r>
      <w:r>
        <w:rPr>
          <w:rFonts w:hint="eastAsia" w:ascii="宋体" w:hAnsi="宋体" w:eastAsia="宋体" w:cs="宋体"/>
          <w:sz w:val="24"/>
          <w:szCs w:val="24"/>
        </w:rPr>
        <w:t xml:space="preserve">C地址表≥16K；支持BFDFORVRRP功能；支持RRPP（快速环网保护协议），环网故障恢复时间不超过50ms；支持CPU保护功能；支持IPv4静态路由、RIP、OSPF；支持IPv6静态路由、RIPng、OSPFv3；支持ERPS功能，收敛时间小于50ms；支持SAVI功能；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2、24口接入交换机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交换容量≥672Gbps,转发性能≥126Mpps；≥24个10/100/1000Base-T自适应以太网端口，≥4个1000BASE-XSFP端口；高度1U，固定接口交换机；整机最大路由地址表≥1K；整机最大ARP地址表≥1K；整机最大MA</w:t>
      </w:r>
      <w:r>
        <w:rPr>
          <w:rFonts w:hint="eastAsia" w:ascii="宋体" w:hAnsi="宋体" w:eastAsia="宋体" w:cs="宋体"/>
          <w:sz w:val="24"/>
          <w:szCs w:val="24"/>
        </w:rPr>
        <w:t xml:space="preserve">C地址表≥16K；支持BFDFORVRRP功能；支持RRPP（快速环网保护协议），环网故障恢复时间不超过50ms；支持CPU保护功能；支持IPv4静态路由、RIP、OSPF；支持IPv6静态路由、RIPng、OSPFv3；支持ERPS功能，收敛时间小于50ms；支持SAVI功能；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3、16口接入交换机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交换容量≥672Gbps,转发性能≥120Mpps；≥16个10/100/1000Base-T自适应以太网端口，≥4个1000BASE-XSFP端口；高度1U，固定接口交换机；整机最大路由地址表≥1K；整机最大ARP地址表≥1K；整机最大MA</w:t>
      </w:r>
      <w:r>
        <w:rPr>
          <w:rFonts w:hint="eastAsia" w:ascii="宋体" w:hAnsi="宋体" w:eastAsia="宋体" w:cs="宋体"/>
          <w:sz w:val="24"/>
          <w:szCs w:val="24"/>
        </w:rPr>
        <w:t xml:space="preserve">C地址表≥16K；支持BFDFORVRRP功能；支持RRPP（快速环网保护协议），环网故障恢复时间不超过50ms；支持CPU保护功能；支持IPv4静态路由、RIP、OSPF；支持IPv6静态路由、RIPng、OSPFv3；支持ERPS功能，收敛时间小于50ms；支持SAVI功能；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4、24口POE交换机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换容量≥672Gbps,转发性能≥126Mpps；≥24个10/100/1000Base-T自适应以太网端口，≥4个100/1000BASE-XSFP端口,支持4个GECombo口；高度1U，固定接口交换机；整机最大路由地址表≥1K；整机最大ARP地址表≥1K；整机最大MAC地址表≥16K；支持PO</w:t>
      </w:r>
      <w:r>
        <w:rPr>
          <w:rFonts w:hint="eastAsia" w:ascii="宋体" w:hAnsi="宋体" w:eastAsia="宋体" w:cs="宋体"/>
          <w:sz w:val="24"/>
          <w:szCs w:val="24"/>
        </w:rPr>
        <w:t xml:space="preserve">E、POE+；支持BFDFORVRRP功能；支持RRPP（快速环网保护协议），环网故障恢复时间不超过50ms；支持CPU保护功能；支持IPv4静态路由、RIP、OSPF；支持IPv6静态路由、RIPng、OSPFv3；支持ERPS功能，收敛时间小于50ms；支持SAVI功能；要求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5、16口POE交换机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交换容量≥672Gbps,转发性能≥120Mpps；≥16个10/100/1000Base-T自适应以太网端口，≥4个1000BASE-XSFP端口；高度1U，固定接口交换机；整机最大路由地址表≥1K；整机最大ARP地址表≥1K；整机最大MAC地址表≥16K；支持</w:t>
      </w:r>
      <w:r>
        <w:rPr>
          <w:rFonts w:hint="eastAsia" w:ascii="宋体" w:hAnsi="宋体" w:eastAsia="宋体" w:cs="宋体"/>
          <w:sz w:val="24"/>
          <w:szCs w:val="24"/>
        </w:rPr>
        <w:t xml:space="preserve">POE、POE+；支持BFDFORVRRP功能；支持RRPP（快速环网保护协议），环网故障恢复时间不超过50ms；支持CPU保护功能；支持IPv4静态路由、RIP、OSPF；支持IPv6静态路由、RIPng、OSPFv3；支持ERPS功能，收敛时间小于50ms；支持SAVI功能；支持安全启动，在系统启动过程中支持安全检测，防止对系统镜像进行修改和伪造数据；最大堆叠台数&gt;=9台；支持通过标准以太端口进行堆叠；支持完善的堆叠分裂检测机制，堆叠分裂后能自动完成MAC和IP地址的重配置，无需手动干预；支持远程堆叠。</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6、面板AP</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采用整机双频4流设计，可同时工作在802.11a/b/g/n/ac/a</w:t>
      </w:r>
      <w:r>
        <w:rPr>
          <w:rFonts w:hint="eastAsia" w:ascii="宋体" w:hAnsi="宋体" w:eastAsia="宋体" w:cs="宋体"/>
          <w:sz w:val="24"/>
          <w:szCs w:val="24"/>
        </w:rPr>
        <w:t xml:space="preserve">cwave2/ax模式；整机协商速率≥2.975Gbps，其中5G射频速率≥2.4Gbps，2.4G射频速率≥0.575Gbps；支持1个2.5G上行光口；1个10/100/1000Mbps下行电口；内置BLE5.1；支持WLAN上行链路检测功能，实时监测上行链路的可行性，当上行链路不可达时，将射频关闭，避免终端连接到不可用的网络。当上行链路恢复时，射频自动开启，无线终端可以正常接入；在自动功率调整基础上，支持检测信号覆盖黑洞功能，并对AP功率做出修正，保证处于特殊位置的终端接收到增强的AP信号，保证体验。</w:t>
      </w:r>
      <w:r/>
    </w:p>
    <w:p>
      <w:pPr>
        <w:numPr>
          <w:ilvl w:val="0"/>
          <w:numId w:val="2"/>
        </w:numPr>
        <w:spacing w:line="400" w:lineRule="atLeast"/>
        <w:rPr>
          <w:rFonts w:ascii="宋体" w:hAnsi="宋体" w:eastAsia="宋体" w:cs="宋体"/>
          <w:sz w:val="24"/>
          <w:szCs w:val="24"/>
        </w:rPr>
      </w:pPr>
      <w:r>
        <w:rPr>
          <w:rFonts w:hint="eastAsia" w:ascii="宋体" w:hAnsi="宋体" w:eastAsia="宋体" w:cs="宋体"/>
          <w:sz w:val="24"/>
          <w:szCs w:val="24"/>
        </w:rPr>
        <w:t xml:space="preserve">放装AP</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采用整机双频4流设计，可同时工作在802.11a/b/g/n/ac/acwave2/ax模式；整</w:t>
      </w:r>
      <w:r>
        <w:rPr>
          <w:rFonts w:hint="eastAsia" w:ascii="宋体" w:hAnsi="宋体" w:eastAsia="宋体" w:cs="宋体"/>
          <w:sz w:val="24"/>
          <w:szCs w:val="24"/>
        </w:rPr>
        <w:t xml:space="preserve">机协商速率≥2.975Gbps，其中5G射频速率≥2.4G，2.4G射频速率≥0.575G；固化接口数≥2个，包括1个2.5G光口，1个10M/100M/1000M电口；内置BLE5.1；满足壁挂、吸顶和面板安装方式；支持WLAN上行链路检测功能，实时监测上行链路的可行性，当上行链路不可达时，将射频关闭，避免终端连接到不可用的网络。当上行链路恢复时，射频自动开启，无线终端可以正常接入；在自动功率调整基础上，支持检测信号覆盖黑洞功能，并对AP功率做出修正，保证处于特殊位置的终端接收到增强的AP信号，保证体验。</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8、无线控制器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AP最大数量≥384；集中转发性能≥10Gbps；提供≥16个千兆GE端口，≥8个千兆SFP端口，以及≥2个万兆SFP+端口；满足双电源冗余供电；满足雷达检测SSID逃生功能：AC、AP满足SSID自主逃生，当AP射频检测到雷达信号时，会将本射频的SSID迁移到其他射频，保障关键业务正常</w:t>
      </w:r>
      <w:r>
        <w:rPr>
          <w:rFonts w:hint="eastAsia" w:ascii="宋体" w:hAnsi="宋体" w:eastAsia="宋体" w:cs="宋体"/>
          <w:sz w:val="24"/>
          <w:szCs w:val="24"/>
        </w:rPr>
        <w:t xml:space="preserve">通信；满足Portal在线用户与DHCP租约联动功能：AC满足根据DHCP租约信息联动Portal用户自动下线，可以提高DHCP地址池的利用率，降低Portal重复认证开销；满足802.1X用户分类计费功能：AC、AP满足精细化管理认证用户，无线控制器对接入用户（比如：802.1X认证）进行IPV4、IPv6分类分网段计费；平台支持分析网络问题，可识别9大类，31小类问题，包括接入类、认证类、IP地址类、漫游类、无线信号类、无法上网类、上网慢类、无线环境类、设备类问题，部分问题支持自动优化，并记录优化日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平台支持一键诊断功能，针对设备的多个指标进行诊断，对有问题的诊断项提供修复建议；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平台支持AP、终端连接分析，可查看连接记录，认证失败终端、上线失败终端的失败原因，支持深度解析功能，可查看终端上下线的详细报文交互，定位终端在上线失败原因。</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二、安全防范系统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1、网络枪型摄像机</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1.最高分辨率需达到2560×1440@25fps</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2.需要支持SmartIR，防止夜间红外过曝</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3.需要支持背光补偿，强光抑制，3D数字降噪，数字宽动态，适应不同使用环境</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4.需要支持开放型网络视频接口，ISAPI，SDK，GB28181协议，支持萤石平台接入</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5.需要配置1个内置麦克风</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6.支持智能补光，支持白光/红外双补光，红外光最远可达50m，白光最远可达30m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7.需要符合IP67防尘防水设计，可靠性高</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8.传感器类型需要满足：1/2.7"ProgressiveScanCMOS</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9.最低照度需要满足：彩色：0.005Lux</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10.宽动态需要满足：数字宽动态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11.红外波长范围需要满足：850nm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12.防补光过曝需要满足：支持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13.补光灯类型需要满足：智能补光，可切换白光灯、红外灯</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14.补光距离需要满足：红外光最远可达50m，白光最远可达30m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15.最大分辨率需要满足：2560×1440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16.视频压缩标准需要满足：主码流：H.265/H.264/Smart264/Smart265</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17.子码流需要满足：H.265/H.264</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18.音频需要满足：1个内置麦克风</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19.网络需要满足：1个RJ4510M/100M自适应以太网口</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20.启动及工作温湿度需要满足：-30℃~60℃，湿度小于95%（无凝结）</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21.存储温湿度需要满足：-30℃~60℃，湿度小于95%（无凝结）</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22.恢复出厂设置需要满足：支持客户端或浏览器恢复</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23.供电方式需要满足：DC：12V±25%，支持防反接保护</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24.PoE需要满足：IEEE802.3af，Class3</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25.电流及功耗需要满足：DC：12V，0.42A，最大功耗：5W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26.PoE需要满足：IEEE802.3af，CLASS3，最大功耗：6.5W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27.电源接口类型需要满足：Ø5.5mm圆口</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28.防护需要满足：IP67</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2、网络半球摄像机</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1.最高分辨率需要满足2560×1440@25fps，在该分辨率下可输出实时图像</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2.需要支持背光补偿，强光抑制，3D数字降噪，120dB宽动态，适应不同环境</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3.需要支持萤石平台接入</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4.采用高效阵列红外灯，使用寿命长，红外照射距离最远可达30m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5.需要支持最大512GBMicroSD/MicroSDHC/MicroSDXC卡本地存储</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6.需要支持1路报警输入，1路报警输出（报警输出最大支持DC12V，30mA），1路音频输入，1路音频输出</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7.符合IP67，IK10，可靠性高</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8.传感器类型需要满足：1/2.7 ProgressiveScanCMOS</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9.最低照度需要满足：彩色：0.005Lux</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10.调节角度需要满足：水平：0°~355°，垂直：0°~75°</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11.补光灯类型需要满足：红外灯</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12.补光距离需要满足：最远可达30m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13.红外波长范围需要满足：850nm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14.最大分辨率需要满足：2560×1440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15.视频压缩标准需要满足：主码流：H.265/H.264，支持超级智能编码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16.子码流需要满足：H.265/H.264</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17.网络需要满足：1个RJ4510M/100M自适应以太网口</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18.SD卡扩展需要满足：内置MicroSD/MicroSDHC/MicroSDXC插槽，最大支持512GB</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19.音频需要满足：1路输入（Linein），最大输入幅值：3.3Vpp，输入阻抗：4.7kΩ，接口类型：非平衡</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20.1路输出（Lineout），最大输出幅值需要满足：3.3Vpp，输出阻抗：100Ω，接口类型：非平衡</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21.报警需要满足：1路输入，1路输出（报警输出最大支持DC12V，30mA）</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22.复位需要满足：支持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23.电源输出需要满足：DC12V，100mA电源输出，建议用于拾音器供电</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24.恢复出厂设置需要满足：支持RESET按键，客户端或浏览器恢复</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25.启动和工作温湿度需要满足：-30℃~60°C，湿度小于95%（无凝结）</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26.电流及功耗需要满足：DC：12V，0.5A，最大功耗：6W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27.PoE需要满足：IEEE802.3af，CLASS3，最大功耗：7.5W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28.供电方式需要满足：DC：12V±25%，支持防反接保护</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29.PoE需要满足：IEEE802.3af，CLASS3</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30.电源接口类型需要满足：Ø5.5mm圆口</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31.防护需要满足：IP67，IK10</w:t>
      </w:r>
      <w:r/>
    </w:p>
    <w:p>
      <w:pPr>
        <w:spacing w:line="4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3、监控核心交换机</w:t>
      </w:r>
      <w:r/>
    </w:p>
    <w:p>
      <w:pPr>
        <w:ind w:firstLine="480"/>
        <w:spacing w:line="4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1.需要满足交换容量≥68Tbps，转发能力≥51200Mpps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2.需要满足全宽主控，机框不少于3个业务插槽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3.需要满足主控集成业务接口，支持选择配置6*100G+4*25G光接口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4.需要满足所有单板支持热插拔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5.需要支持主控板、风扇、电源冗余，主控板主备切换无丢包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6.需要满足单槽位40G端口密度≥12</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7.需要满足40G/100G混合板：8*40G+4*100G</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8.需要支持XGSPON板卡和10G EPON板卡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9.需要满足光电混合板：24千兆电+20千兆光+4万兆光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10.需要支持40G/100G混合板：8*40G+8*100G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11.需要支持FW防火墙和IPS防火墙业务卡；需要满足具备四虚一、统一管理(2 框、3 框或 4 框堆叠)10G、40G、100G 堆叠链路、故障双向收敛时间分别平均为 0ms/0ms的特性，支持 16 条 40G 堆叠链路，堆叠带宽能达到双向 1.28T，跨框转发平均时延 1.7us;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12.需要支持4K VLAN、PrivateVLAN、SuperVLAN及QinQ功能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13.需要支持DRNI跨设备链路聚合及DRNI升级功能，保证业务不中断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14.支持一虚多技术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通过该功能可以实现创建、删除、单板划入、单板划出交换机的特性，最大需要支持9个虚拟交换机</w:t>
      </w:r>
      <w:r/>
    </w:p>
    <w:p>
      <w:pPr>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15.★需要支持基于1588v2、802.1AS、st2059-2和aes67-2015协议的PTP功能；支持融合AC功能，无需额外配置单独硬件，在交换机上实现对AP的接入控制和管理，有线无线用户的统一认证管理；支持内置智能图形化管理功能，对于下联设备具备统一管理的功能。能够通过图形化界面对组内设备进行配置文件一键下发；对拓扑内的设备或设备组批量进行版本升级</w:t>
      </w:r>
      <w:r>
        <w:rPr>
          <w:rFonts w:hint="eastAsia" w:ascii="宋体" w:hAnsi="宋体" w:eastAsia="宋体" w:cs="宋体"/>
          <w:b/>
          <w:bCs/>
          <w:sz w:val="24"/>
          <w:szCs w:val="24"/>
        </w:rPr>
        <w:t xml:space="preserve">（</w:t>
      </w:r>
      <w:r>
        <w:rPr>
          <w:rFonts w:hint="eastAsia" w:ascii="宋体" w:hAnsi="宋体"/>
          <w:b/>
          <w:bCs/>
          <w:sz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16.支持MPLS L2VPN、VPLS、L3VPN、TE及MCE功能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17.支持VLL</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18.移动支持通过 APP 进行远程管理，并且可以修改交换机网络配置，交换机平台支持整体网络健康度监控，显示网络中所有设备、终端健康度实时评分及7天内评分趋势，支持网络中问题呈现，展示问题影响范围 。</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5、24盘位网络硬盘录像机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【技术参数要求（硬件规格）】</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1.存储接口需要满足：24个SATA接口，支持硬盘热插拔，可满配20TB硬盘</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2.视频接口需要满足：2×HDMI</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3.网络接口需要满足：4×RJ452.5Gbps电口</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4.报警接口需要满足：16路报警输入，8路报警输出</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5.串行接口需要满足：1路RS-232接口</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6.USB接口需要满足：2×USB2.0，4×USB3.0</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【技术参数要求（产品性能）】</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1.输入带宽需要满足：1280Mbps（开启RAID后带宽为800Mbps）</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2.输出带宽需要满足：1280Mbps（开启RAID后带宽为800Mbps）</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3.接入能力需要满足：200路H.264、H.265格式高清码流接入</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4.解码能力需要满足：最大支持16×1080P</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5.显示能力需要满足：最大支持双4K异源输出</w:t>
      </w:r>
      <w:r/>
    </w:p>
    <w:p>
      <w:pPr>
        <w:ind w:left="420"/>
        <w:spacing w:line="400" w:lineRule="atLeast"/>
        <w:rPr>
          <w:rFonts w:ascii="宋体" w:hAnsi="宋体" w:eastAsia="宋体" w:cs="宋体"/>
          <w:sz w:val="24"/>
          <w:szCs w:val="24"/>
        </w:rPr>
      </w:pPr>
      <w:r>
        <w:rPr>
          <w:rFonts w:hint="eastAsia" w:ascii="宋体" w:hAnsi="宋体" w:eastAsia="宋体" w:cs="宋体"/>
          <w:sz w:val="24"/>
          <w:szCs w:val="24"/>
        </w:rPr>
        <w:t xml:space="preserve">6.RAID模式需要满足：RAID0、RAID1、RAID5、RAID6、RAID10，支持全局热备盘</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6、综合管理平台</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系统基础包，提供业务应用依赖的基础资源信息及基础服务能力，包括系统基础信息管理、地图应用服务、事件联动应用服务。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系统基础信息管理：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基础信息管理提供了系统业务应用依赖的基础资源，包括安保用户管理、安保基础数据管理、安保区域管理、安保系统配置、物联设备管理，统一管理了组织、区域、人员、卡片、车辆和物联设备等资源，并提供人车、人卡的关联关系配置能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1.组织资源管理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1）支持组织基础信息的增删改查、导入、导出等功能；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2.区域资源管理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1）支持区域基础信息的增删改查、导入、导出等功能；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3.人员信息管理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1）支持人员信息的增删改查、导入、导出，包括人脸、指纹采集；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2）支持人员基础信息自定义扩展；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4.卡片信息管理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1）支持卡片基本信息的增删改查、导入、导出；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2)支持人员开卡、退卡、挂失、解挂、换卡及卡扇区加密；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5.车辆信息管理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1)支持车辆基本信息的增删改查、导入、导出；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6.设备信息管理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1)提供设备统一接入管理，包括：视频设备、出入口设备、门禁设备、梯控设备、可视对讲设备、食堂消费设备、寻车诱导设备、卡口设备、车载设备、报警设备等。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7.系统用户管理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1)支持账户基本信息和角色信息的增删改查；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2)支持配置不同角色权限，包括菜单权限、组织权限、区域权限、资源权限、功能控制权限；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3)支持用户组权限分配；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4)支持用户安全管理，可绑定用户mac地址及IP，可自行修改用户密码或者管理员重置密码；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5)支持从Windows域同步用户信息，用于域账户进行平台登录；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8.核心参数配置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1)支持首页菜单自定义展示设置；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2)支持所有设备统一校时；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3)提供账户安全设置，支持账户密码有效期设置。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图上监控：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图上监控应用以地图可视化模式为各类设备资源提供可视化展示及控制操作，在地图上可展示各类资源点的地理位置，通过接收资源点报警事件，实现报警信息可视化展示。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1.支持地图配置能力，包含在线（高德）、离线GIS地图（高德、自定义）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资源上图配置能力，实现资源的地图可视化展示及控制操作，资源类型包含监控点、报警输出、报警输入、门禁点、出入口、停车场、传感器、手持视频终端、园区卡口资源、防区、报警主机IO输出、消防设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3.支持事件可视化监控能力，实时展示报警事件，支持历史报警事件查询；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4.支持针对移动GPS设备的运行轨迹回放能力，如单兵设备；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事件联动：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事件联动提供系统报警事件接收、事件处理、事件联动、事件检索能力，提供场景化的事件联动应用（在“特定条件”下执行“特定动作”），报警事件产生时，可以通过多种方式、多种联动场景提醒安保人员，保障报警事件通知的及时性，包括多种联动方式：视频弹窗、视频上墙、录像联动、云台联动、短信联动、邮箱联动、IO联动、抓图联动、门禁反控联动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一、事件联动管理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1.支持事件联动规则配置管理，包括规则增删改查；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2.支持事件规则计划模板，包括全天候模式、工作日模式、周末模式及自定义模式；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多种报警事件配置联动，包括：14种触发事件类型（包含：视频事件、入侵报警事件、IO事件、门禁事件、停车场事件、可视对讲事件、行车监控事件、梯控事件、动环事件、紧急报警事件、人脸事件、卡口事件、消防事件、测温事件）和21种事件联动动作配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4.提供7种高级联动规则模版配置，支持配置满足在指定时间段存在多个触发事件类型而联动多个并发动作的场景。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二、事件检索管理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1.支持报警事件自定义时间存储，最长支持36个月存储；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2.支持多种维度检索报警事件，包括：区域、位置、事件源、事件等级、时间、状态等维度；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3.支持事件详情查看，包括抓图、录像等；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4.支持对报警事件进行标记、处理以及导出。</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7、视频通道接入授权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视频监控应用提供视频管理服务，支持编码设备通过设备网络SDK协议、Ehome协议、ISUP5.0协议、GB28181协议、ONVIF协议、设备网络SDK协议、萤石协议接入平台，实现视频预览、录像回放、视频上墙、视频事件监控服务能力，并且在网络带宽不足、有流量限制的网络环境下可以通过以图片替代视频的模式提供监控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1.视频预览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1)支持视频实时预览能力，实现预览窗口布局切换、预览画面自适应及全屏切换；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2)支持云台控制、实时抓图、紧急录像、即时回放、主子码流切换、声音开启\关闭、辅屏预览（1个辅屏）、对讲、广播、报警输出控制的能力；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3)支持智能规则展示的能力（如：针对热成像设备温度信息实时展示）；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4)支持资源视图管理能力，以视图形式管理监控点、视频预览轮巡等自定义资源组，其中视图类型包含公有视图和私有视图；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5)支持全景视频监控预览能力，支持球型鹰眼、全景摄像机的全景模式。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2.录像回放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1)支持录像计划管理能力，支持实时录像计划、录像回传计划；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2)支持录像回放能力，支持多画面同步回放和异步回放切换、超高倍速回放、分段回放、录像下载、录像剪辑、录像标签、录像锁定、录像抓图；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3.图片监控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1)支持视频预览与图片实时监控模式切换能力，实现图片监控模式；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2)支持图片查询回放能力，实现按监控点、时间段展示抓拍图片；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3)支持图片自动播放能力，支持图片自动播放速度可设置；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4)支持图片下载能力。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4.视频上墙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1)支持电视墙场景管理能力，实现场景窗口配置、场景切换计划配置以及轮巡计划的管理；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2)支持上墙控制能力，实现场景一键上墙、场景切换、电视墙切换、监控点上下墙、轮巡控制操作。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5.视频事件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1)支持视频事件布撤防能力，可按计划模版进行布防，事件类型包括移动侦测、视频丢失、视频遮挡、报警输入、报警输出。</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8、46寸液晶拼接屏</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1.需要满足46英寸#2.5mm拼缝#普亮液晶拼接屏</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2.需要满足直下式LED背光源，亮度均匀</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3.需要满足物理分辨率高达1920×1080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4.需要满足全高清显示，画面细腻，色彩丰富</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5.需要满足高清晰度、高亮度、高色域</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6.需要满足视角达178°，趋近于水平</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7.需要满足显示面积大、体积小、重量轻</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8.需要满足超窄边设计</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9.需要满足运行稳定，可24小时持续工作</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10.需要满足支持壁挂、落地、吊装等多种安装方式</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11.需要满足多种拼接方式，能适应各种使用场所</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12.需要满足金属外壳，防辐射、防磁场、防强电场干扰</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13.需要满足实时检测设备温度，过温自保护，防止面板灼烧</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14.需要满足显示尺寸：46inch</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15.需要满足背光源类型：D-LED</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16.需要满足物理拼缝：2.5mm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17.需要满足物理拼缝公差：±0.8mm</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18.需要满足物理分辨率：1920x1080@60Hz（向下兼容）</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19.需要满足亮度：500±10%cd/m²</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20.需要满足可视角：178°(水平)/178°(垂直)</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21.需要满足对比度：1200:1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22.需要满足音视频输入接口：HDMI×1,DVI×1,USB×1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23.需要满足音视频输出接口：无</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24.需要满足控制接口：RS-232IN×1,RS-232OUT×1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25.需要满足电源：100～240VAC，50/60Hz</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26.需要满足功耗：≤200W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27.需要满足待机功耗：≤0.5W</w:t>
      </w:r>
      <w:r/>
    </w:p>
    <w:p>
      <w:pPr>
        <w:spacing w:line="4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9、超高清解码器</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视频输入</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支持电脑、视频会议终端等视频输入信号源，支持2路1080P@50/60或1路4K@30，通过HDMI1.4本地输入，HDMI可内嵌音频。</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支持网络IPC、NVR等设备类型作为网络信号源输入。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视频输出</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支持HDMI1.4视频信号输出，支持4K分辨率（3840×2160@30Hz）超高清输出；支持对接LED显示系统，视频输出最大的LED带载能力为单口260W。</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支持两种音频输出方式：HDMI内嵌音频和外置音频输出。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视频编解码</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采用H.264/H.265编码标准，默认采用H.265，支持子码流及主码流编码。</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支持网络设备解码，支持H.264、H.265、Smart264、Smart265、MJPEG等主流码流格式，支持PS、TS、ES、RTP等主流封装格式，支持子码流及主码流切换。</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最大支持3200w分辨率解码，具有64个解码通道，支持32路200W或64路720P视频同时解码上墙。</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支持加密码流、多轨码流、智能码流解码；支持码流修改和切换；支持解码异常提示。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电视墙功能</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支持单面电视墙拼接、开窗、窗口跨屏漫游、场景轮巡和窗口轮巡功能，单屏支持4个1080P或2个4K图层，单窗口支持1/4/6/8/9/16/25/36窗口分屏功能，整机最大支持64个场景，整机支持256个平台预案轮巡组。</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支持RTP\RTSP协议进行网络源预览，可通过smartwall客户端进行桌面投屏上墙。</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支持电视墙界面对网络信号源云台八个方向、自动扫描、光圈、调焦、聚焦、调用预置点等操作。</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支持电视墙窗口开始/停止预览、开始/停止解码、开始/停止轮巡、打开/关闭声音、置顶、置底等操作。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1.解码分辨率：最高3200W像素；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2.视频解码能力：H.264/H.265：支持2路3200W，或2路2400W，或4路1200W，或8路800W，或10路600W，或16路400W，或32路1080P，或64路720P及以下分辨率实时解码；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3.MJPEG：4路1080P及以下分辨率实时解码；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4.单口画面分割数：1,2,4,6,8,9,12,16,25,36；</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5.音频输入接口：2路HDMI内嵌；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6.视频输入接口：2路HDMI1.4，最大支持4K（仅奇数口）；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7.视频输出分辨率：3840×2160@30Hz、2560×1440@30Hz、1920×1200@60Hz、1920×1080@60Hz、1920×1080@50Hz、1680×1050@60Hz、1600×1200@60Hz、1280×1024@60Hz、1280×720@60Hz、1280×720@50Hz、1024×768@60Hz；</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8.视频输出LED带载能力：单口带载260W，宽度144～4096，高度144～2160，宽度2对齐，高度2对齐；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9.视频输出接口类型：4路HDMI1.4，支持4K；</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10.机箱接口：RJ4510M/100M/1000Mbps自适应以太网接口*1；光口100base-FX/1000base-X*1，支持光电自适应；报警输入*8；报警输出*8；232接口*1（RJ45）；485接口*1；USB2.0接口*2；</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11.功耗：＜50W。</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需要支持不通过IP网络，通过红外遥控器实现解码图像切换、场景切换、屏幕亮度调节。需要满足智慧消防场景：支持接入带有温度报警、烟雾报警、障碍物报警的智慧消防相机，可对前端码流里面的智能信息进行解码并显示，并触发报警弹窗、联动报警输出。</w:t>
      </w:r>
      <w:r>
        <w:rPr>
          <w:rFonts w:hint="eastAsia" w:ascii="宋体" w:hAnsi="宋体" w:eastAsia="宋体" w:cs="宋体"/>
          <w:b/>
          <w:sz w:val="24"/>
          <w:szCs w:val="24"/>
        </w:rPr>
        <w:t xml:space="preserve">（</w:t>
      </w:r>
      <w:r>
        <w:rPr>
          <w:rFonts w:hint="eastAsia" w:ascii="宋体" w:hAnsi="宋体"/>
          <w:b/>
          <w:bCs/>
          <w:sz w:val="24"/>
        </w:rPr>
        <w:t xml:space="preserve">需提供第三方权威机构出具的检测报告扫描件</w:t>
      </w:r>
      <w:r>
        <w:rPr>
          <w:rFonts w:hint="eastAsia" w:ascii="宋体" w:hAnsi="宋体" w:eastAsia="宋体" w:cs="宋体"/>
          <w:b/>
          <w:sz w:val="24"/>
          <w:szCs w:val="24"/>
        </w:rPr>
        <w:t xml:space="preserve">）</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10、控制键盘</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1.需要支持以“区域”方式将电视墙划分区块，直观显示电视墙布局；</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2.需要支持开/关窗、移动窗口位置，窗口缩放，画面分割、子窗口放大/缩小等操作；</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3.需要支持组、宏等批量操作；</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4.需要支持在网络键盘触控屏上实时预览摄像头画面；</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5.需要支持按照摄像头点位ID一键切换上一个、下一个摄像头点位；</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6.需要支持通过摇杆对云台进行方向控制；</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7.需要支持控制解码器回放上墙；</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8.需要支持在网络键盘触控屏上回放硬盘录像机上的录像文件，支持抓图和剪辑；</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9.需要支持以SDK和ONVIF标准协议接入设备；</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10.需要支持接入iSecure、KPS平台软件；</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11.需要满足键盘操作模式下，支持32个用户（1个管理员，31个操作员），4000台设备；</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12.需要支持批量添加/修改/删除摄像头点位；</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13.需要支持导入/导出配置文件；</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14.需要满足显示屏：7英寸LCD；</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15.需要满足控制方式：网络方式;串口控制；</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16.需要满足电源：DC12V；</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17.需要满足功耗：≤15W；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18.需要满足兼容系统：Linux系统；</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19.需要满足最大解码分辨率：4路1080P；</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20.需要满足工作温度：-10℃--＋55℃；</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21.需要满足工作湿度：10％--90％；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22.需要满足网络接口：1个；</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23.需要满足WiFi：不支持；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24.需要满足串行接口：RS485;RS422；</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25.需要满足语音对讲输入：3.5mm立体声，可支持语音对讲功能；</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26.需要满足语音对讲输出：3.5mm立体声，可支持语音对讲功能；</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27.需要满足摇杆类型：四维单按键摇杆；</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28.需要满足USB接口：USB2.0x1；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29.需要满足视频接口：无；</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30.需要满足串行接口：RS485;RS232。</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11、32英寸信息发布屏</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1.需要满足画面细腻生动，采用工业级A+面板，自动彩色及图像增加引擎，显示效果出众。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需要满足</w:t>
      </w:r>
      <w:r>
        <w:rPr>
          <w:rFonts w:hint="eastAsia" w:ascii="宋体" w:hAnsi="宋体" w:eastAsia="宋体" w:cs="宋体"/>
          <w:sz w:val="24"/>
          <w:szCs w:val="24"/>
        </w:rPr>
        <w:t xml:space="preserve">素材类型多样，包括图片、音频、视频、滚动字幕、PDF文档、网页、实时IPC画面、叫号、弹图等。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需要满足</w:t>
      </w:r>
      <w:r>
        <w:rPr>
          <w:rFonts w:hint="eastAsia" w:ascii="宋体" w:hAnsi="宋体" w:eastAsia="宋体" w:cs="宋体"/>
          <w:sz w:val="24"/>
          <w:szCs w:val="24"/>
        </w:rPr>
        <w:t xml:space="preserve">节目编排灵活，支持多种素材自由排版、分区显示；支持多种播放方式，按日、按周、轮播、自定义等。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需要满足</w:t>
      </w:r>
      <w:r>
        <w:rPr>
          <w:rFonts w:hint="eastAsia" w:ascii="宋体" w:hAnsi="宋体" w:eastAsia="宋体" w:cs="宋体"/>
          <w:sz w:val="24"/>
          <w:szCs w:val="24"/>
        </w:rPr>
        <w:t xml:space="preserve">终端集中管理，支持终端统一远程管理和控制，定时开关机设置、一键开关机、显示亮度/音量定时调节、播放画面截图预览等；支持网络远程下发节目和无网络本地（U盘）节目更新。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需要满足</w:t>
      </w:r>
      <w:r>
        <w:rPr>
          <w:rFonts w:hint="eastAsia" w:ascii="宋体" w:hAnsi="宋体" w:eastAsia="宋体" w:cs="宋体"/>
          <w:sz w:val="24"/>
          <w:szCs w:val="24"/>
        </w:rPr>
        <w:t xml:space="preserve">分级管理权限，支持5级组织管理素材、节目、终端、用户等资源；支持创建自定义用户，支持多种用户的权限，多种权限模板可选。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需要满足</w:t>
      </w:r>
      <w:r>
        <w:rPr>
          <w:rFonts w:hint="eastAsia" w:ascii="宋体" w:hAnsi="宋体" w:eastAsia="宋体" w:cs="宋体"/>
          <w:sz w:val="24"/>
          <w:szCs w:val="24"/>
        </w:rPr>
        <w:t xml:space="preserve">多重安全保障，素材、节目、日程三级审核，防误播误报，终端屏保密码功能，保障系统播出内容安全；数据存储、数据传输加密，防数据篡改；客户自行激活设置初始密码，保障密码安全。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需要满足以下参数</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显示尺寸：32inch；</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物理分辨率：1920×1080；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屏幕可视区域：698.40mm(H)×392.85mm(V)；</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像素间距：0.364mm(H)×0.121mm(V)；</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背光源类型：D-LED；</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可视角：178°(H)/178°(V)；</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亮度：300cd/m²；</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色深度：16.78MColours8Bit；</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对比度：3000：1；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响应时间：9.5ms（Typ）；</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色域：68%NTSC；</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连续使用时间：7×16H；</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刷新率：60Hz；</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雾度：3%；</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操作系统：Android9；</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CPU：CPU:Cortex-A53，4核，主频1GHz；</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GPU:Mali-450MP2；</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内存：2GB；</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内置存储：16GBEMMC；</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音视频输入接口：HDMIIN×2；</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音视频输出接口：AUDIOOUT×1；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网络接口：100MLAN×1；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数据传输接口：USB2.0×2，TF卡：不支持；</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喇叭：speaker(6Ω6W)×2；</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无线协议：Wi-Fi802.11a/b/g/n×1,BT4.2×1；</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输入电压：100~240VAC,50/60Hz；</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待机功耗：≤0.5W；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功耗：≤55W；</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工作温度：0℃~40℃；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存储温度：-20℃~60℃；</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工作湿度：10%~80%RH(无冷凝水)；</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存储湿度：10%~80%RH(无冷凝水)；</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安装类型：壁挂（仅横挂）；</w:t>
      </w:r>
      <w:r/>
    </w:p>
    <w:p>
      <w:pPr>
        <w:ind w:left="420"/>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电源接口类型：国标两插弯头，机外线1.5m。</w:t>
      </w:r>
      <w:r/>
    </w:p>
    <w:p>
      <w:pPr>
        <w:spacing w:line="400" w:lineRule="atLeast"/>
        <w:tabs>
          <w:tab w:val="left" w:pos="0" w:leader="none"/>
        </w:tabs>
        <w:rPr>
          <w:rFonts w:ascii="宋体" w:hAnsi="宋体" w:eastAsia="宋体" w:cs="宋体"/>
          <w:sz w:val="24"/>
          <w:szCs w:val="24"/>
        </w:rPr>
      </w:pPr>
      <w:r>
        <w:rPr>
          <w:rFonts w:hint="eastAsia" w:ascii="宋体" w:hAnsi="宋体" w:eastAsia="宋体" w:cs="宋体"/>
          <w:sz w:val="24"/>
          <w:szCs w:val="24"/>
        </w:rPr>
        <w:t xml:space="preserve">12、双鉴红外探测器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1.设备类型需要满足：有线窗框幕帘双鉴探测器；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2.使用环境需要满足：室内/外（IP65）；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3.探测距离需要满足：墙装：10米，顶装：6米；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4.探测角度需要满足：5°；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5.探测速度需要满足：0.2-3m/s；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6.报警输出需要满足：IO输出（常闭NC），支持防拆报警；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7.安装方式需要满足：吸顶安装；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8.安装高度需要满足：2.4-4米；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9.工作电源需要满足：DC12V/22mA（宽压9-16VDC）；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10.工作温度需要满足：-10°C至55°C；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11.工作湿度需要满足：10%至90%。</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【技术参数要求（产品性能）】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1.探测技术需要满足：采用被动红外（PIR）+微波+智能算法探测技术；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2.智能算法需要满足：不受环境温度变化影响（温度补偿及灵敏度自适应）；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3.灵敏度配置需要满足：支持手动配置灵敏度；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4.光学密封设计需要满足：防飞虫或爬虫进入探测器引起误报；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5.下视窗保护需要满足：支持下视窗防护，避免近距离探测死角；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6.方向识别需要满足：支持路线方向识别开关（自内向外不报警，自外向内报警）；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7.防遮挡探测需要满足：探测器被喷漆等方式遮挡会触发报警；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8.板载线尾阻需要满足：含板载电阻，防止探测器线路被短路或开路而失效，提升系统安全性。</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13、网络模块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1.设备类型需要满足：网络2防区扩展模块；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2.防区数量需要满足：2个；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3.通讯接口需要满足：LAN；</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4.通讯线材需要满足：RJ45局域网；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5.通讯协议需要满足：TAP协议；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6.指示灯需要满足：3个；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7.复位按键需要满足：1个；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8.外壳材质需要满足：塑料；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9.使用环境需要满足：室内；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10.工作电源需要满足：DC12V/50mA（宽压9-16VDC）；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11.工作温度需要满足：-10°C至55°C；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12.工作湿度需要满足：10%至90%。</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【技术参数要求（产品性能）】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1.防区扩展需要满足：通过TCP/IP方式关联接入报警主机，扩展2路有线防区；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2.地址设置需要满足：支持DHCP功能自动分配IP地址，支持手动配置和修改IP地址；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3.状态指示需要满足：支持通过状态指示灯展示模块与主机的通讯状态，防区状态和网络连接状态；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4.软件升级需要满足：支持通过报警主机对模块进行软件升级；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5.硬件复位需要满足：支持硬件恢复出厂参数。</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14、报警主机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1.操作系统需要满足：嵌入式Linux操作系统；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2.防区数量需要满足：板载8路（探测器100m以内），最多可扩展至256路（其中通过网络防区模块最多可扩展248路，通过RS485防区模块最多可扩展56路）；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3.继电器数量需要满足：板载4路（距离50m以内），最多可扩展至64路（通过RS485模块和网络继电器模块可扩展60路继电器输出）；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4.日志容量需要满足：5000条；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5.传输距离需要满足：网络传输无限制（局域网可达），RS485传输800米；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6.硬件接口需要满足：RS485*1、RJ45*1，PSTN*1，4G模块接口*1；</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7.上报协议需要满足：ISAPI、ISUP、NAL2300协议；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8.安装方式需要满足：壁挂安装；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9.供电方式需要满足：AC220V（自带电源适配器）；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10.设备功耗需要满足：裸机功耗≤5W，满载功耗≤25W；</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11.工作温度需要满足：–10℃～+55℃；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12.工作湿度需要满足：10％--90％；</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13.使用环境需要满足：室内。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【技术参数要求（产品性能）】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1.防区报警需要满足：支持探测器/紧急报警装置触发信号接收，进行入侵/紧急报警事件管理；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2.断电报警需要满足：当市电断电时，设备可通过蓄电池正常工作8小时以上（需选配蓄电池），并将断电事件进行通知上报；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3.外接键盘需要满足：支持9个报警键盘接入；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4.报警管理需要满足：支持报警键盘、WEB、客户端软件、中心平台进行报警管理操作；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5.报警指示需要满足：支持报警键盘、警号、继电器联动、中心平台上报等报警事件指示功能；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6.联动控制需要满足：支持报警事件联动，平台控制继电器输出，实现场景化联动输出，实现个性化管理；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7.事件上传需要满足：支持断网续传功能，设备离线状态下产生事件在与平台连接后会重新上传；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8.子系统管理需要满足：支持32个子系统，实现对防区进行分区管理，支持外出布防、在家布防、撤防、消警、旁路等功能；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9.防区设置需要满足：支持即时防区、延时防区、紧急防区、超时防区等场景化防区类型设置；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10.配置管理需要满足：支持配置文件导出和导入功能，实现参数备份和快速移机。</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15、控制键盘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1.设备类型需要满足：混合报警主机专用控制键盘；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2.通讯协议需要满足：RS485；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3.传输距离需要满足：800m；</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4.使用环境需要满足：室内；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5.显示屏需要满足：LCD（尺寸80X25mm）；</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6.操作按键需要满足：20个；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7.指示灯需要满足：5个；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8.蜂鸣器需要满足：支持；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9.安装方式需要满足：壁挂；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10.工作电源需要满足：DC12V/150mA（宽压9-16VDC）；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11.工作温度需要满足：-10°C至55°C；</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12.工作湿度需要满足：10%至90%；</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【技术参数要求（产品性能）】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1.操作指令接收需要满足：支持对报警系统进行布防、撤防、消警、旁路、旁路恢复、紧急求助等操作；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2.操作方式管理需要满足：支持密码、遥控器、刷卡方式对报警系统进行操作指令交互；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3.报警状态指示需要满足：支持对报警系统防区报警状态进行实时指示，包括指示灯变化，提示音变化，文字内容变化等；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4.系统状态展示需要满足：支持对报警系统运行状态进行展示，包括主电源状态、蓄电池状态、防拆状态、子系统布撤防状态，防区状态、扩展模块状态等；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5.胁迫码功能需要满足：支持通过胁迫密码进行布撤防管理，并将警情进行中心上报；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6.防区名称自定义需要满足：支持防区名称自定义配置，在键盘屏幕中展示对应文字内容；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7.配置管理需要满足：支持通过键盘对报警主机进行参数配置，包括密码修改、防区类型配置、上报中心参数配置等。</w:t>
      </w:r>
      <w:r/>
    </w:p>
    <w:p>
      <w:pPr>
        <w:spacing w:line="400" w:lineRule="atLeast"/>
        <w:rPr>
          <w:rFonts w:ascii="宋体" w:hAnsi="宋体" w:eastAsia="宋体" w:cs="宋体"/>
          <w:b/>
          <w:bCs/>
          <w:sz w:val="24"/>
          <w:szCs w:val="24"/>
        </w:rPr>
      </w:pPr>
      <w:r>
        <w:rPr>
          <w:rFonts w:hint="eastAsia" w:ascii="宋体" w:hAnsi="宋体" w:eastAsia="宋体" w:cs="宋体"/>
          <w:b/>
          <w:bCs/>
          <w:sz w:val="24"/>
          <w:szCs w:val="24"/>
        </w:rPr>
        <w:t xml:space="preserve">三、多媒体教学系统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1、86寸交互智能平板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一、整机设计：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1、整机尺寸不低于86英寸，屏幕采用超高清LED液晶显示屏，显示比例16:9，分辨率3840×2160；屏幕表面采用全物理钢化玻璃，支持防眩光功能，玻璃表面硬度≥9H。</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2、嵌入式系统版本不低于Android 14，内存≥2GB，存储空间≥8GB。</w:t>
      </w:r>
      <w:r/>
    </w:p>
    <w:p>
      <w:pPr>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3、★采用缝隙发声技术，喇叭采用槽式开口设计，不大于5.8mm，扬声器在100%音量下，可做到1米处声压级≥88db，10米处声压级≥79dB。整机支持发出频率为18kHz-22kHz超声波信号，智能手机通过麦克风接收后，智能手机与整机无需在同一局域网内，可实现配对，一键投屏功能，用户无需再手动输入投屏码或扫码获取投屏码。整机上边框内置非独立式3个智能拼接摄像头，视场角≥141度且水平视场角≥139度，可拍摄≥1600万像素的照片，支持输出8192×2048分辨率的照片和视频，支持画面畸变矫正功能。</w:t>
      </w:r>
      <w:r>
        <w:rPr>
          <w:rFonts w:hint="eastAsia" w:ascii="宋体" w:hAnsi="宋体" w:eastAsia="宋体" w:cs="宋体"/>
          <w:b/>
          <w:bCs/>
          <w:sz w:val="24"/>
          <w:szCs w:val="24"/>
        </w:rPr>
        <w:t xml:space="preserve">（</w:t>
      </w:r>
      <w:r>
        <w:rPr>
          <w:rFonts w:hint="eastAsia" w:ascii="宋体" w:hAnsi="宋体"/>
          <w:b/>
          <w:bCs/>
          <w:sz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4、整机内置非独立外扩展的8阵列麦克风，拾音角度≥180°，可用于对教室环境音频进行采集，拾音距离≥12m。</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5、整机全通道支持纸质护眼模式，可实现画面纹理的实时调整；支持纸质纹理：牛皮纸、素描纸、宣纸、水彩纸、水纹纸；支持透明度调节；支持色温调节。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7、整机摄像头支持人脸识别、清点人数、随机抽人；识别所有学生，显示标记，随机抽选，同时显示标记不少于60人，支持距离摄像头位置≥10米距离的AI识别人脸。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8、整机支持提笔书写，在Windows系统下可实现无需点击任意功能入口，当检测到红外笔笔尖接触屏幕时，自动进入书写模式。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整机触摸支持动态压力感应，支持无任何电子功能的普通书写笔在整机上书写或点压时，整机能感应压力变化，书写或点压过程笔迹呈现不同粗细，支持同一支笔，笔头、笔尾书写不同的颜色，且颜色可自定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10、在嵌入式Android操作系统下，能对TV多媒体USB所读取到的文件进行自动归类，可分类查找文档、板书、图片、音视频，检索后可直接在界面中打开。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整机Windows通道支持文件传输应用，支持通过扫码、wifi直联、超声三种方式与手机进行连接，实现文件传输功能；接收的文件支持单份删除；接收的文件支持手动全部清空，为防止误清空，全部清空需要经过二次确认。设备自带地震预警软件，支持在地震预警页面中获取位置，可以手动进行位置校准；支持在地震预警页面中选择提醒阈值；支持在地</w:t>
      </w:r>
      <w:r>
        <w:rPr>
          <w:rFonts w:hint="eastAsia" w:ascii="宋体" w:hAnsi="宋体" w:eastAsia="宋体" w:cs="宋体"/>
          <w:sz w:val="24"/>
          <w:szCs w:val="24"/>
        </w:rPr>
        <w:t xml:space="preserve">震预警界面中开启和关闭地震预警服务。整机支持画中画模式，可对整机 HDMI 通道、内置 PC 通道等非安卓通道进行画面快速预览，在预览画面中可进行触摸点击、应用打开等操作，实现跨通道的双系统联动使用，支持对画中画窗口显示大小、音量进行调节。整机画中画窗口支持大、中、小三个级别调节，且可以在屏幕中的任意位置漫游。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12、整机白板软件支持智能图表绘制，可将手绘表格转化为智能表格，形成表格对象后表格中书写区域可根据书写内容自适应调整大小，支持将表格外书写内容一键拖动到表格中。交互式白板软</w:t>
      </w:r>
      <w:r>
        <w:rPr>
          <w:rFonts w:hint="eastAsia" w:ascii="宋体" w:hAnsi="宋体" w:eastAsia="宋体" w:cs="宋体"/>
          <w:sz w:val="24"/>
          <w:szCs w:val="24"/>
        </w:rPr>
        <w:t xml:space="preserve">件支持手写笔迹的智能编辑，支持通过手绘置换符快速置换前后文字语序，支持手动涂抹笔迹对象进行快速删除，支持圈选笔迹对象进行手写笔迹缩放，支持文字间手绘竖线进行文字间距的快速调整。整机内置学生日历功能，支持全屏查看日历、显示法定节日；用户可以添加日历事件，设定特定时间并关联本机安卓应用，事件到期后，可以通过事件提醒打开关联的应用，如欢迎词、白板应用。整机内置趣味画板功能，支持自由画、涂色和拼图模式；保存绘画作品时，支持调用整机麦克风进行录音，并将录音和画作合成为作品保存在画廊；在画廊查看作品时支持录音回放功能。</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2、展台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1.采用≥800万像素摄像头；采用USB五伏电源直接供电，无需额外配置电源适配器，环保无辐射；箱内USB连线采用隐藏式设计，箱内无可见连线且USB口下出，有效防止积尘，且方便布线和返修。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2.A4大小拍摄幅面，1080P动态视频预览达到30帧/秒；托板及挂墙部分采用金属加强，托板可承重3kg，整机壁挂式安装。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3.支持展台成像画面实时批注，预设多种笔划粗细及颜色供选择，且支持对展台成像画面联同批注内容进行同步缩放、移动。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4.整机采用圆弧式设计，无锐角；同时托板采用磁吸吸附式机构，防止托板掉落，方便打开及固定，避免机械式锁具故障率高的问题。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5.展示托板正上方具备LED补光灯，保证展示区域的亮度及展示效果，补光灯开关采用触摸按键设计，同时可通过交互智能平板中的软件直接控制开关。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6.带自动对焦摄像头；外壳在摄像头部分带保护镜片密封，防止灰尘沾染摄像头，防护等级达到IP4X级别。</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7.具有故障自动检测功能：在调用展台却无法出现镜头采集画面信号时，可自动出现检测链接，并给出导致性原因（如硬件连接、摄像头占用、配套软件版本等问题）。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（1）支持对展台画面进行放大、缩小、旋转、自适应、冻结画面等操作。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（2）支持展台画面实时批注，预设多种笔划粗细及颜色供选择，且支持对展台画面联同批注内容进行同步缩放、移动。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（3）支持展台画面拍照截图并进行多图预览，可对任一图片进行全屏显示。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（4）老师可在一体机或电脑上选择延时拍照功能，支持5秒或10秒延时模式，预留充足时间以便调整拍摄内容。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（5）具备图像增强功能，可自动裁剪背景并增强文字显示，使文档画面更清晰。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（6）可选择图像、文本或动态等多种情景模式，适应不同展示内容。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（7）支持故障自动检测，在软件无法出现展台拍摄画面时，自动出现检测链接，帮助用户检测“无画面”的原因，并给出引导性解决方案。可判断硬件连接、显卡驱动、摄像头占用、软件版本等问题。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（8）支持二维码扫码功能：打开扫一扫功能后，将书本上的二维码放入扫描框内即可自动扫描，并进入系统浏览器获取二维码的链接内容，帮助老师快速获取电子教学资源。</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3、集控管理平台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1.系统基于SaaS布局，应用界面采用B/S架构设计，支持学校管理员在Windows、Linux、Android、IOS等多种不同的操作系统上通过网页浏览器登录进行所有管理指令操作。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2.登录方式多样性：支持账号/密码、手机扫码登录。扫码登录：用户首次登录时绑定微信用户ID与账号的对应关系，之后即可通过微信扫一扫安全登录。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3.权限管理：支持学校高级管理员添加多位管理员协同管理，并支持为普通管理员分配不同权限，权限支持按系统功能菜单分配、按管理设备分配方式。并支持转让高级管理员给其他管理员。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5.批量磁盘清理：支持批量清理单个或多个磁盘文件夹，释放设备磁盘空间；支持格式化非系统盘磁盘，保障设备有足够空间来使用。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设备系统盘管理：支持清理系统盘备份、缓存、日志等垃圾文件；支持大文件迁移，如将系统盘视频、图片、音乐及文档等空间占用较大的文件迁移至其他盘符。保障设备系统盘盘可用空间最大化，从而提升设备运行流畅性、桌面整洁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7.设备在长时间无人使用时，自动进入屏保、锁屏、息屏、关机状态，从而达到保护显示器作用，延长设备的使用寿命。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冰点穿透/还原：支持远程向已冰冻的设备发送指令、安装软件、传输大文件，设备接收到后会立即执行，并在设备正常关机时触发穿透动作，穿透完成后，设备即可永久性使用已安装软件、已传输文件、执行已接收指令，且穿透过程中无需人为解冻；支持远程批量设置设备的冰冻状态；支持实时监测设备冰点存在的风险，并提供对应解决方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9.支持软件静默安装，使用者可自主上传官方正版软件，经过人工封装软件后，批量将软件发送至设备安装，整个安装过程完全无感，不影响正常教学。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10.可一键开启全校触摸一体机设备的不良弹窗AI拦截过滤功能，实时监测弹出窗口，当有窗口弹出被判断为不良弹窗时，自动拦截该窗口，以保证课堂教学稳定进行。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领导视窗：支持同时查看不少于8个教室的实时摄像头画面、设备屏幕画面，支持在一个显示界面同时查看单个教室内所有屏幕、所有摄像头的实时画面，以及所有麦克风的声音，完整还原课堂全貌。单台设备巡视时，发现有违规违纪行为时，可远程发消息、发语音直接干预，也可记录备注，支持记录所有管理员的巡视记录，方便回溯。</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4、有源音箱</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1.采用一体化设计，集成：D类数字功放，无线接收模块、红外接收模块、扬声器。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2.木质箱体，烤漆金属平面网罩，提升音箱整体美观协调的设计品位，配有顶部壁挂吊装安装挂件，安装简单方便。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3.接线方式：主音箱采用下沉嵌入式接线端口，插上线后线材插头隐藏不外露；使接线后不再杂乱、更整洁美观。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4.音箱二分频单元组成，≥5寸中低音单元：≥3寸高音单元，音质层次更丰富。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5.内置D类≥50W数字功放电路；具有≥1组立体声音频输入，副箱输出1组，红外模块扩展口1组，要求内置双接收天线。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6.DSP专业音频处理主控（32位RISC内核，最高频率288MHz，集成FPU支持浮点运算），具有高速的运算能力，音乐及话筒扩音分别单独算法，营造创新扩音体验。</w:t>
      </w:r>
      <w:r/>
    </w:p>
    <w:p>
      <w:pPr>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7.★音箱数字功放采用DSP音频处理芯片，音乐及话筒分别单独算法，音乐模式及话筒扩音模式，双通道音效分别独立控制；营造创新扩音体验；模拟真人开机提示音，学习氛围从仪式感开启；音乐闪避，话筒优先：使用无线话筒时，音箱播放中的音乐声音会逐渐由大变小，具有音乐闪避、话筒优先功能，突显话筒声音；该功能具有独立物理开关按钮，可启用或关闭此功能。</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扩展升级远程调控及蓝牙功能；支持音箱与多媒体显示设备、手机、笔记本电脑、台式电脑等设备，实现无线传输音频；音箱支持通过红外遥控器远程调控有源音箱的音量功能；可远程调节不同输入通道，切换不同通道才打开对应的功能，避免功能开启误连接播放；蓝牙连接需输入匹配密码，有效避免非授权者连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9.支持扩展升级采用USB声卡方式传输播放音频文件功能，免驱安装，有效避免使用时误触音频线插头导致产生的干扰噪声。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10.频响范围：20Hz-18KHz；信噪比：≥85db；灵敏度：≥85dB。</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11.保护类型：过温保护、过载保护、话筒瞬间过击保护。</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5、红外对频无线话筒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吊坠圆形颈挂式红外对频无线话筒，方便教师不同场景使用，支持颈挂、手持、领夹等方式，领夹模式下可对佩戴角度进行0-360°旋转调节，并设有三个限位装置；老师授课释放双方，一边讲授一边板书，老师可轻松走下讲台授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2.多功能磁吸挂绳夹，要求无线话筒背面与挂绳夹子均带N52钕强磁，话筒靠近夹子时可自动吸附，无需繁琐手动调节，吸附更牢靠，避免使用中脱落。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3.磁吸挂绳夹支持挂绳独立取下更换、清洗，避免长时间使用卫生问题；颈挂使用时无需调节挂绳可上下自由升降，话筒任意停留。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易于握持的机身，一手掌握话筒操作去繁从简，≤5个按键，按感清晰、一键静音，可不用目视就能实现盲操作；多模式的呼吸灯状态指示，开机自动配对，要求话筒连接成功及断开均有提示音，携带话筒任意一个教室使用，独立USB接收器方式与无线麦克风连接进行PPT上下翻页等功能。</w:t>
      </w:r>
      <w:r/>
    </w:p>
    <w:p>
      <w:pPr>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5.★话筒采</w:t>
      </w:r>
      <w:r>
        <w:rPr>
          <w:rFonts w:hint="eastAsia" w:ascii="宋体" w:hAnsi="宋体" w:eastAsia="宋体" w:cs="宋体"/>
          <w:sz w:val="24"/>
          <w:szCs w:val="24"/>
        </w:rPr>
        <w:t xml:space="preserve">用红外(波长≥900nm)及UHF双频技术，稳定可靠避免串频、断频问题；无线话筒采用电容式驻极体音头，拾音距离≥20cm清晰拾音；同时具有3.5mm外接话筒接口，可外接头戴或领夹咪使用或传输其它音频文件。内置智能传感器陀螺仪功能，话筒放置桌面静止短时间不使用会自动静音，拿起话筒激活使用，无需再繁琐操作按键；长时间不使用话筒则会自动关机；实现即用即忘的智能目的；同一环境下多支无线话筒使用时，具有后进先出模式功能，无需关闭使用中的话筒，可强行切入使用，多话筒灵活切换使用，师生课堂互动更灵活。考虑无线话筒耐用性。</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6.充电方式：通过TYPE-C有线对话筒充电，也可采用独立4位磁吸线进行磁吸式充电，同时支持扩展壁挂式充电箱充电方式。</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6、4K教师观察摄像机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1.产品采用一体化设计，内置4k摄像头和麦克风。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2.摄像头水平视场角≥40°，对角线视场角≥45°，传感器有效像素≥800万，支持4K超高清影像输出。</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sz w:val="24"/>
          <w:szCs w:val="24"/>
        </w:rPr>
        <w:t xml:space="preserve">★提供3840×2160图像编码输出，同时向下兼容1920×1080、1280×720分辨率。内置8阵列麦克风，拾音角度≥180°，麦克风拾音距离≥12m，音频处理采用4核国产音频处理芯片，配置64MB系统内存，256MB存储空间。支持2种供电方式，PoE和DC12V供电；其中一路为POEIN，另一路为POEOUT，支持给外部POE设备供电；只需要1路网线，即可实现供电及网络信号传输，支持同时输出全景输出和板书记忆多路画面。</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4.产品可同时提供3路编码输出，1路支持1920x1080分辨率的课堂实录画面，帧率可设置25fps、30fps；1路支持3840x2160分辨率；1路1920x1080分辨率板书画面，菜单设置帧率可选10/5/3/1帧。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5.内置视频处理器采用四核处理器，linux5.1及以上操作系统，≥512MB系统内存、≥128MB存储空间。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6.在无需连接外网情况下，产品支持老师在教学过程书写的板书内容和老师遮挡分层处理，输出视频中老师身体遮挡板书内容实现透视可见，实现教学过程板书可视化。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7.在无需连接外网情况下，产品支持老师在副屏位置书写板书的图像识别，可对画面内板书内容和人物进行分层；支持人物的隐藏和透明度调整设置。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8.产品支持H.264视频编码格式；视频码率设置范围：819Kbps~12288Kbps。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9.产品接口含2路RJ45级联接口，PoEin支持RJ45音频输入，PoEout支持网络级联和信息输出；1路DC接口；1个红绿双色指示灯，支持显示产品工作状态；1路针孔按键，支持复位重启设备功能。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10.内置1个红绿双色指示灯，支持显示工作状态；工作状态包括：正常上电后状态、OTA升级状态、复位状态；正常工作状态为绿色；OTA升级，指示灯为绿色闪烁。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11.产品软件支持web端进行远程OTA在线升级。</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7、课堂智能反馈系统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1.系统支持对师生互动行为，进行2D还原重建，并标识对应学生的头像及互动情况。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2.★系统支持对教室环境的3D还原重建，形成桌椅、</w:t>
      </w:r>
      <w:r>
        <w:rPr>
          <w:rFonts w:hint="eastAsia" w:ascii="宋体" w:hAnsi="宋体" w:eastAsia="宋体" w:cs="宋体"/>
          <w:sz w:val="24"/>
          <w:szCs w:val="24"/>
        </w:rPr>
        <w:t xml:space="preserve">讲台、一体机的真实环境建模，采集到的师生互动行为自动对应到具体课桌位置；支持5种视角转换。通过颜色深浅表示学生参与互动的活跃程度，基于学生上台次数、举手次数、问答次数计算学生活跃程度，颜色越深则代表越活跃。支持点击课堂活跃热力图中的学生头像，查看该学生的师生互动视频片段，统计该学生在本节课的上台互动、举手次数、问答次数。支持在地面上显示教师的巡堂轨迹，颜色越深代表停留时间越长。系统将课堂中老师和学生的声音转写为文字，按照前后文自动切割为不同的片段；片段支持展开查看详细文字，支持跳转到文字段落对应的视频片段。</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3.系统根据教学内容，基于教学环节、教学任务、教学行为三个特征，形成用户教学流程分布执行情况，支持以进度样式展示，展示不同课堂行为环节的开展情况。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4.系统支持统计课程时长、课堂中教师讲授时长、教师讲授字数、教师授课平均语速。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5.系统自动统计教师授课、师生互动、小组讨论、课堂练习的时间分布情况，支持按照时序图样式、和饼图样式展示，展示不同课堂行为发生的顺序、时长。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6.系统支持对语音转写中的师生问答进行自动识别，所有的提问自动高亮显示，支持将识别出的问答实录一键导出为云文档。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7.系统支持对课堂提问总数、核心提问、学生应答、教师理答数量进行统计，通过圆环图呈现。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8.系统支持对识别出的文字进行手动校准，支持修改说话人角色，新增或删除对话内容。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系统支持自动识别问题分类，按照布鲁姆提问类型，分为记忆型、理解型、应用型、分析型、评价型、创造型。点击各个类型会自动打开到相应的课堂实录视频片段窗口，显示对应文字明细，文字明细会按师生角色区分，并自动进行分段分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系统支持自动识别问题分类，可按照4MAT（四何类型）识别，分为是何、为何、如何、若何。点击各个类型会自动打开到相应的课堂实录视频片段窗口，显示对应文字明细，文字明细会按师生角色区分，并自动进行分段分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系统支持自动识别教师理答分类，可识别为简单肯定、针对肯定、激励、直接否定、重复问题或学生答案。点击各个类型会自动打开到相应的课堂实录视频片段窗口，显示对应文字明细，文字明细会按师生角色区分，并自动进行分段分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12.系统支</w:t>
      </w:r>
      <w:r>
        <w:rPr>
          <w:rFonts w:hint="eastAsia" w:ascii="宋体" w:hAnsi="宋体" w:eastAsia="宋体" w:cs="宋体"/>
          <w:sz w:val="24"/>
          <w:szCs w:val="24"/>
        </w:rPr>
        <w:t xml:space="preserve">持自动识别教师提问后的等待回答时长，点击各个类型会自动打开到相应的课堂实录视频片段窗口，显示对应文字明细，文字明细会按师生角色区分，并自动进行分段分句。系统支持自动识别学生回答时长，点击各个类型会自动打开到相应的课堂实录视频片段窗口，显示对应文字明细，文字明细会按师生角色区分，并自动进行分段分句。系统自动对课堂按照教学内容进行切片划分，支持显示片段的标题和内容小结，支持查看不同片段的视频和课堂对话文字明细，文字明细会按师生角色区分，并自动进行分段分句。系统支持教师画面、学生画面双窗口显示，小窗口可自由拖动位</w:t>
      </w:r>
      <w:r>
        <w:rPr>
          <w:rFonts w:hint="eastAsia" w:ascii="宋体" w:hAnsi="宋体" w:eastAsia="宋体" w:cs="宋体"/>
          <w:sz w:val="24"/>
          <w:szCs w:val="24"/>
        </w:rPr>
        <w:t xml:space="preserve">置和自由切换；视频画面与互动课件一一对应，点击互动课件缩略图，可跳转至对应视频片段。系统支持将听评课记录关联，通过听课记录快速跳转课堂实录片段，并能抽象出评课摘要，呈现本节课人工评价各维度的评分。系统支持将两节课数据进行对比，实现同课异构分析，包含教学时间分配、问答模式、提问类型、学生应答、教师理答、弗兰德斯互动分析、S-T教学分析、Rt-Ch教学分析等多个模型，以可视化图像方式对比。系统支持将老师多节课数据分析，形成老师的成长趋势，包含巡堂轨迹变动，教学时间分配变化，提问类型及数量变化，并以图表形式展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13.系统支持自动识别问题分类，按常规问答型、追问型、思考再答型、无响应进行分类统计，通过饼图表呈现。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14.系统支持通过弗兰德斯编码规则对课堂数据进行每秒1次的打点，自动计算出启发/指导比（I/D）、学生稳态比（PSSR）、教学内容比（CCR）、学生发言比（PIR）、教师提问比（TQR）的指标数值，通过雷达图呈现。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15.系统支持将本堂课的弗兰德斯编码数值和标准数据进行对比，通过上下箭头呈现高于或低于标准数值；可查看弗兰德斯矩阵编码打点信息，每1秒为一个点，将课堂的全部过程进行打点标记。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16.系统将课堂实录自动切割为关键片段，根据模式的选择播放指定类型的片段内容；片段中包含提问、回答、举手、上台、齐读、讨论的教学事件，播放进度条支持显示事件类型、定位播放功能。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17.系统支持教学环节、课堂互动、完整回放三种播放模式，可任意切换。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18.系统支持将报告下载至本地，报告中包含基础数据、AI建议、教学时间分配、讲学环节时间轴、PTA模型、问答模型、提问类型、弗兰德斯编码图、S-T/Rt-Ch教学分析图、提问数据统计、提问详情列表。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19.系统支持计算本节课的教师行为占有率Rt、师生行为转换率Ch，基于本节课的Rt值、Ch值得出本节课的教学模式，教学模式包含：混合型、练习型、讲授型、对话型。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20.系统支持学校、老师下载报告所录制的视频，以mp4形式进行保存。</w:t>
      </w:r>
      <w:r/>
    </w:p>
    <w:p>
      <w:pPr>
        <w:spacing w:line="400" w:lineRule="atLeast"/>
        <w:rPr>
          <w:rFonts w:ascii="宋体" w:hAnsi="宋体" w:eastAsia="宋体" w:cs="宋体"/>
          <w:b/>
          <w:bCs/>
          <w:sz w:val="24"/>
          <w:szCs w:val="24"/>
        </w:rPr>
      </w:pPr>
      <w:r>
        <w:rPr>
          <w:rFonts w:hint="eastAsia" w:ascii="宋体" w:hAnsi="宋体" w:eastAsia="宋体" w:cs="宋体"/>
          <w:b/>
          <w:bCs/>
          <w:sz w:val="24"/>
          <w:szCs w:val="24"/>
        </w:rPr>
        <w:t xml:space="preserve">四、移动录播系统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1、移动录播主机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1.★主机需采用ARM架构处理器，具备≥6核CPU，Linux操作系统。支持通过主机一体化屏幕对电池电量进行可视化监测，以百分比方式显示电量，充电状态、低电量状态、充满完成均有对应的状态提示。支持多网互备，有线网络和WIFI网络可以相互备份使用，两个网络链路可以实现动态切</w:t>
      </w:r>
      <w:r>
        <w:rPr>
          <w:rFonts w:hint="eastAsia" w:ascii="宋体" w:hAnsi="宋体" w:eastAsia="宋体" w:cs="宋体"/>
          <w:sz w:val="24"/>
          <w:szCs w:val="24"/>
        </w:rPr>
        <w:t xml:space="preserve">换。支持标准USB音视频信号输出，通过主机Type-C接口可以实现图像和声音同步输出，输出音频可通过主机控制软件实现混音，兼容主流视频会议软件，支持不小于4K图像输出。内置音频接收模块。无需外接无线音频接收模块，即可完成无线音频采集，支持同时≥2个无线麦克风接入，且同时支持≥2种对频模式。麦克风连接成功后，主机会显示无线麦克风连接成功图标，可通过麦表动态查看声音采集状态。支持≥4路高清视频输出，视频输出可同一时间输出不同视频源，且输出最大分辨率均可达到4K，其中HDMI信号输出≥3路且UVC信号输出≥1路。</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2.主机内置无线视频接入模块，支持≥4路无线视频信号输入。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3.主机采用SSD硬盘，存储容量≥500GB。</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4.主机能够独立完成视频采集、音频采集、音频编码、视频编码、音频处理、视频处理、直播、录制、互动、导播、远程运维参数设置功能。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5.支持≥2个HDMI高清采集接口，支持≥4个RJ45接口，≥2个USB类型接口。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2个线路立体声音频输入；≥2个线路立体声音频输出；支持≥1个阵列麦克风输入接口，可在不接入音频处理器的情况下，通过一根网线就可以完成≥2个阵列麦克风接入主机，通过一根网线可以实现≥2个麦克风的供电、音频信号传输、音频参数设置，支持数字音频传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7.支持录制清晰度设定，支持可选择4K、1080p、720p、VGA、QVGA；支持录制帧率设定，可选择25fps/30fps/60fps；支持录制画质选择，可选择≥5种等级；录制编码码率≥16Mbps。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8.支持≥2种录制视频自动分段模式：支持按照文件大小分段，可选择500MB，1GB，2GB进行分段录制；支持按照录制时长分段，可选择30分钟、60分钟。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9.支持串口通信，可通过中控协议实现中控控制，控制开关机、开始/暂停/停止录制。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支持通过平台或互联网查看设备在线和离线状态，查看设备ID地址、IP地址、激活时间信息，实现对设备的远程配置，支持关机、重启、参数配置操作。支持通过平台实现主机的远程升级。屏幕需满足无蓝光危害，符合IEC62471:2006要求，LB限制范围≤0.3。主机内置电池模组，电池容量≥16000mAH，可支持≥6小时续航。支持4K超清视频远距离传输，在空旷环境下无遮挡可靠传输实时距离≥200m。</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11.设备支持本地升级、可通过U盘实现设备升级，同时支持OTA远程在线升级，升级过程支持版本号校验，支持在线下载升级包自动完成升级。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12.主机采用≥15英寸触控电容屏，屏幕色域≥72%NTSC，表面硬度≥7H，屏幕分辨率≥1920*1080。</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13.为保证设备稳定运行，要求设备平均无故障运行时间（MTBF）≥250000小时。</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2、移动导播系统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1.支持多种画面模式，支持单画面、2种画中画、左右等分、三画面、四画面6种画面合成模式。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2.支持云台摄像机控制，支持PTZ，≥8个预置位设置及调用；同时支持通过鼠标点击画面进行云台摄像机跟踪，可通过鼠标滑轮实现镜头画面放大缩小。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3.在导播界面的预览窗口可实时观看≥5路画面，点击可进行画面切换。预监画面可实时推流给资源平台，实现平台直播。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4.支持外接导播键盘，可通过导播键盘实现对录播主机的录制控制、画面切换、云台跟踪、预置位设置和调用、音量调节。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5.支持≥7种导播切换特效，可通过主机的一体化触摸屏可以实现转场特效类型选择设置；特效保持时间支持自定义。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通过U盘导入视频、图片作为片头片尾素材，不少于3种格式；支持单个视频文件≥200MB，单个图片文件≥20MB，可保存≥10个素材；支持设定片头片尾保持时间，片头片尾素材可直接在主机一体化屏幕上进行删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7.支持设定图片台标，支持不少于2种格式，支持≥20MB台标文件，台标大小比例可通过主机一体化屏幕实现设置，台标位置可以通过主机设定在PGM任意位置，支持快速台标位置设定功能，支持≥4个快速位置。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8.支持通过主机一体化屏幕进行云台摄像机控制，可任意转动云台方向，实现步进控制、连续控制。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9.支持通过主机一体化触控幕的虚拟摇杆拖动幅度实现云台摄像机的变速控制；支持≥3种云台转动灵敏度设置。</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10.支持通过主机一体化触控幕实现云台摄像机的放大缩小变焦调节。</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3、移动互动系统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1.支持互动清晰度设置，可设置1080p@60fps的互动清晰度。分辨率可选择1080p、720p，帧率可选择60fps、30fps、25fps。互动画质可选择≥4个等级。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2.支持微信扫码登录，无需单独输入账号，使用微信扫描主机一体化触控屏上显示的二维码即可登录互动系统，登陆后显示用户头像和用户名。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3.支持通过主机的一体化触控屏实现导播控制，过程中可选择自动导播、半自动导播和手动导播；支持通过PC客户端软件进行远程导播控制。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4.支持通过PC客户端软件支持进行互动听课端列表查看、发言管理功能。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6.支持课堂互动功能，授课过程中可在主机的一体化触控屏单击听课端画面切换听课端为主画面，并支持与听课端主机实时连麦对讲，进行异地互动。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7.互动过程中，可在主机的一体化触控屏调出累计视频卡顿次数、累计音频卡顿次数和当前视频参数，其中当前视频参数包括上行/下行带宽，丢包率，视频分辨率，当前句柄数量，CPU使用率。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8.支持授课预览功能，授课过程中可在授课端主机的一体化触控屏实时显示授课端和参与互动的听课端画面，用户可实时查看授课端拍摄画面和听课端拍摄画面。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9.设备双向互动过程中，在系统总丢包率50%的网络环境下，视频清晰流畅无卡顿，语音连贯。</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10.支持3Mbps网络带宽环境下实现1080P@60fps视频双向互动。</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4、无线云台摄像机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1.支持≥1路RJ45网络接口，10M/100M/自适应以太网。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2.支持≥1路HDMIOUT接口，≥1路3.5mmLinein接口，≥1路USBType-C接口。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3.传感器尺寸≥CMOS1/1.8英寸，有效像素≥800万。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4.支持最大水平视场角≥60°，最大垂直视场角≥35°。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5.支持不少于40倍变焦，镜头畸变率≤1.5%。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6.支持水平翻转、垂直翻转，水平转动范围：±170°，垂直转动范围：-27°~87°。</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7.支持可变速度转动：水平转速24档可调，最大转动速度≥70°/s；垂直转速20档可调，最大转动速度≥70°/s。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8.支持标准USB音视频信号输出，可以同时支持UVC和UAC协议，通过主机Type-C接口可以实现图像和声音同步输出，最大支持1920×1080@30fps输出，兼容主流视频会议软件。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9.支持AAC音频编码方式，音频采样率32kHz，音频采样精度16bit。</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10.支持通过无线网络实现电量信息、无线信号强度、摄像机参数、版本信息的显示，并进行设备升级。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11.机身配备1英寸显示屏，支持显示信号强度、连接状态、电量信息、IP地址、音频工作状态。</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12.空旷环境下无遮挡可靠传输实时4K超清视频距离≥100m，空旷环境下无遮挡可靠传输实时1080高清视频距离≥250m。</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5、无线麦克风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1.麦克风支持≥1个Pogopin接口，支持通过Pogopin接口进行充电。整机Pogopin接口≥2个。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2.麦克风支持≥1个按键，可控制麦克风的开关机、静音和配对。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3.麦克风支持≥2个音量控制按钮，可通过音量“+”“-”按钮控制麦克风输出音量。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4.麦克风标配充电仓，可用于充电及收纳。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5.麦克风充电仓支持电量指示，通过灯珠亮灭数量充电仓剩余电量及充电状态。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6.整机标配两个无线麦克风，且两个麦克风支持同时工作。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7.麦克风支持≥2种断开连接方式，可通过麦克风放入充电仓自动断开连接、关机自动断开连接。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8.麦克风支持通过音量调节按钮调节输出音量；音量调节过程中通过麦克风一体化屏幕动态提示当前音量等级。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9.麦克风支持音量记忆功能，重启后麦克风恢复关机前的音量等级。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10.支持红外和无线同时配对。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11.麦克风屏幕支持显示麦克风电池电量、麦克风配对状态、麦克风所连接的设备、显示当前麦克风接收声音强度、无线连接信号强度。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12.支持通过录播系统查看麦克风状态信息，包括版本信息、电量信息、信号强度信息。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13.支持抗干扰能力，支持自动跳频技术，避免同频干扰问题，同一空间内有多个无线麦克风不会产生相互干扰。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14.麦克风采用心型指向，麦克风音频采样率≥48kHz，音频采样精度≥16bit。</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15.通信保持状态下，支持在空旷环境下，有效传输距离≥100m；支持在室内使用场景下，穿墙后有效传输距离≥20m。</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6、资源管理平台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1.支持管理员根据不同教师的工作需求创建角色，自定义该角色的名称和可试用的功能权限；支持管理员查看各角色人数。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2.支持用户在发布课程时上传相关资料，上传资料格式支持≥5种；课程发布后，观众观看课程时支持下载相关资料。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3.支持管理员对本校教师申请发布的课程进行审核，监控公开公开课程资源的质量；可拒绝课程发布，拒绝时需填写拒绝原因。若课程未通过审核，消息中心会自动通知该课程归属老师。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4.支持用户对已发布的视频进行视频打点并插入课堂评价，所评论内容需关联视频对应的时间点。</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5.★支持在直播结束前，修改直播的结束时间、名称、封面、课件、直播简介、聊天互动权限等设置。修改原分享的链接和二维码不变，活动调整不会导致原分享链接和二维码失效。支持在创建直播时添加直播助教，助教进入工作台可进行直播间秩序维护。支持用户在预览课件时，在课件上进行书写、擦除、移动图片素材等操作，且操作不影响原课件内容，可在开始直播前，预览主讲老师的课件。支持用户通过浏览器对本地上传的视频完成在线剪辑，将视频的无效内容删除。进行剪辑后，用户可通过在线浏览窗口，实时查看剪辑内容。</w:t>
      </w:r>
      <w:r>
        <w:rPr>
          <w:rFonts w:hint="eastAsia" w:ascii="宋体" w:hAnsi="宋体" w:eastAsia="宋体" w:cs="宋体"/>
          <w:b/>
          <w:sz w:val="24"/>
          <w:szCs w:val="24"/>
        </w:rPr>
        <w:t xml:space="preserve">（需提供第三方权威机构出具的检测报告扫描件）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6.支持用户生成直播海报后，直接在网页中一键复制图片，并粘贴至微信中发送，无需下载图片保存本地。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7.支持PC端、移动端通过分享的链接地址，查看直播活动的相关信息，包括封面、活动名称、学校名称、活动开始时间、简介、预览课件等。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8.支持教师可选择云课件与直播关联，无需上传本地文件。课件与直播关联后，用户可在活动开始时间前查看云课件。活动开始后，用户可在观看直播视频的同时在线查看已关联的云课件。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9.直播开始后，可查看直播的人气峰值、观看人次、累计点赞、观众发言次数、签到人数等数据，掌握直播情况。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10.支持教师选择直播中各时段生成的回放视频，删除不必要的回放片段生成回放视频。回放视频可选择发布至专题示范课、名校网络课堂、名师示范课，其他师生可以观看。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11.支持用户通过课程、教师、学校名称关键词搜索已发布的课程资源；用户可查看最近搜索关键词记录，能再次查找相关课程。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12.支持课表逐级汇总，可将教师个人课程计划、学校全体课程计划、区域全体课程计划在一张课表中展示，用户可查看。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13.支持用户拖拽视频起点与终点取出头部或尾部的无效内容，截取保留视频中的重要部分；并可基于时间刻度，将视频分割成若干片段，把无效视频删除。</w:t>
      </w:r>
      <w:r/>
    </w:p>
    <w:p>
      <w:pPr>
        <w:spacing w:line="400" w:lineRule="atLeast"/>
        <w:rPr>
          <w:rFonts w:ascii="宋体" w:hAnsi="宋体" w:eastAsia="宋体" w:cs="宋体"/>
          <w:b/>
          <w:bCs/>
          <w:sz w:val="24"/>
          <w:szCs w:val="24"/>
        </w:rPr>
      </w:pPr>
      <w:r>
        <w:rPr>
          <w:rFonts w:hint="eastAsia" w:ascii="宋体" w:hAnsi="宋体" w:eastAsia="宋体" w:cs="宋体"/>
          <w:b/>
          <w:bCs/>
          <w:sz w:val="24"/>
          <w:szCs w:val="24"/>
        </w:rPr>
        <w:t xml:space="preserve">五、公共广播系统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1、网络化智能寻呼站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1.采用嵌入式Linux操作系统，稳定可靠，满足7x24小时不间断稳定运行。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2.采用10.1寸电容触摸彩屏、铝合金高档拉丝工业面板，桌面式结构设计。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3.带有手动快捷按键，方便紧要时快速寻呼及结束寻呼。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4.内置3W监听扬声器，方便对讲和预听歌曲使用。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5.支持对网络化终端进行音乐点播、分区寻呼、分组寻呼。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6.支持与其他寻呼话筒及求助对讲终端进行双向对讲。</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7.自带AGC、降噪、回声消除等算法，可有效提高寻呼对讲效果。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8.具有自动智能关闭话筒功能，可设定发话者延时关闭寻呼时间。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9.具有超时未接听，呼叫转移功能。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10.视频采集功能，支持与可视对讲终端进行视频对讲，并将对讲音视频上传主机保存。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11.具有IPC预览功能，最多支持2路IPC预览。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12.具有多段电平指示功能，讲话声压更直观。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13.USB歌曲推送功能，支持将USB歌曲推送到广播终端以寻呼状态进行播放。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14.支持分区分组同步广播主机或自行编组。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15.具有用户密码与权限管理。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16.具有一路线路输入（可扩展外置节目源、无线话筒等接入），一路本地线路输出(可脱机输出本地功放寻呼)，一路辅助线路输出(扩展监听功率)。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17.具有一路485通讯接口用于联动控制其他系统进行通讯。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18.具有音频日志记录功能，可对寻呼的内容实时录音记录，并可播放查阅。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19.具有智能屏保功能，可设置彩色显示屏屏保延时时间。</w:t>
      </w:r>
      <w:r/>
    </w:p>
    <w:p>
      <w:pPr>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网络化分控寻呼软件</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【技术参数要求】</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1.满足图形人性化设计，网络播放终端显示图片可定义与更换，应用更灵活。</w:t>
      </w:r>
      <w:r>
        <w:rPr>
          <w:rFonts w:hint="eastAsia" w:ascii="宋体" w:hAnsi="宋体" w:eastAsia="宋体" w:cs="宋体"/>
          <w:sz w:val="24"/>
          <w:szCs w:val="24"/>
        </w:rPr>
        <w:br/>
      </w:r>
      <w:r>
        <w:rPr>
          <w:rFonts w:hint="eastAsia" w:ascii="宋体" w:hAnsi="宋体" w:eastAsia="宋体" w:cs="宋体"/>
          <w:sz w:val="24"/>
          <w:szCs w:val="24"/>
        </w:rPr>
        <w:t xml:space="preserve">2.满足可查看网络播放终端的工作状态信息（包括在线、离线、播放、停止等信息）。</w:t>
      </w:r>
      <w:r>
        <w:rPr>
          <w:rFonts w:hint="eastAsia" w:ascii="宋体" w:hAnsi="宋体" w:eastAsia="宋体" w:cs="宋体"/>
          <w:sz w:val="24"/>
          <w:szCs w:val="24"/>
        </w:rPr>
        <w:br/>
      </w:r>
      <w:r>
        <w:rPr>
          <w:rFonts w:hint="eastAsia" w:ascii="宋体" w:hAnsi="宋体" w:eastAsia="宋体" w:cs="宋体"/>
          <w:sz w:val="24"/>
          <w:szCs w:val="24"/>
        </w:rPr>
        <w:t xml:space="preserve">3.满足可对网络播放终端分组编辑功能。</w:t>
      </w:r>
      <w:r>
        <w:rPr>
          <w:rFonts w:hint="eastAsia" w:ascii="宋体" w:hAnsi="宋体" w:eastAsia="宋体" w:cs="宋体"/>
          <w:sz w:val="24"/>
          <w:szCs w:val="24"/>
        </w:rPr>
        <w:br/>
      </w:r>
      <w:r>
        <w:rPr>
          <w:rFonts w:hint="eastAsia" w:ascii="宋体" w:hAnsi="宋体" w:eastAsia="宋体" w:cs="宋体"/>
          <w:sz w:val="24"/>
          <w:szCs w:val="24"/>
        </w:rPr>
        <w:t xml:space="preserve">4.满足可下载查看程控定时点的内容，并可导入、导出定时点内容。</w:t>
      </w:r>
      <w:r>
        <w:rPr>
          <w:rFonts w:hint="eastAsia" w:ascii="宋体" w:hAnsi="宋体" w:eastAsia="宋体" w:cs="宋体"/>
          <w:sz w:val="24"/>
          <w:szCs w:val="24"/>
        </w:rPr>
        <w:br/>
      </w:r>
      <w:r>
        <w:rPr>
          <w:rFonts w:hint="eastAsia" w:ascii="宋体" w:hAnsi="宋体" w:eastAsia="宋体" w:cs="宋体"/>
          <w:sz w:val="24"/>
          <w:szCs w:val="24"/>
        </w:rPr>
        <w:t xml:space="preserve">5.满足可上传本地音频节目到网络化主机，以供播放使用。</w:t>
      </w:r>
      <w:r>
        <w:rPr>
          <w:rFonts w:hint="eastAsia" w:ascii="宋体" w:hAnsi="宋体" w:eastAsia="宋体" w:cs="宋体"/>
          <w:sz w:val="24"/>
          <w:szCs w:val="24"/>
        </w:rPr>
        <w:br/>
      </w:r>
      <w:r>
        <w:rPr>
          <w:rFonts w:hint="eastAsia" w:ascii="宋体" w:hAnsi="宋体" w:eastAsia="宋体" w:cs="宋体"/>
          <w:sz w:val="24"/>
          <w:szCs w:val="24"/>
        </w:rPr>
        <w:t xml:space="preserve">6.满足可远程调节网络播放终端音量，播放\停止网络播放终端等操作功能。</w:t>
      </w:r>
      <w:r>
        <w:rPr>
          <w:rFonts w:hint="eastAsia" w:ascii="宋体" w:hAnsi="宋体" w:eastAsia="宋体" w:cs="宋体"/>
          <w:sz w:val="24"/>
          <w:szCs w:val="24"/>
        </w:rPr>
        <w:br/>
      </w:r>
      <w:r>
        <w:rPr>
          <w:rFonts w:hint="eastAsia" w:ascii="宋体" w:hAnsi="宋体" w:eastAsia="宋体" w:cs="宋体"/>
          <w:sz w:val="24"/>
          <w:szCs w:val="24"/>
        </w:rPr>
        <w:t xml:space="preserve">7.满足可实时远程寻呼网络播放终端。</w:t>
      </w:r>
      <w:r>
        <w:rPr>
          <w:rFonts w:hint="eastAsia" w:ascii="宋体" w:hAnsi="宋体" w:eastAsia="宋体" w:cs="宋体"/>
          <w:sz w:val="24"/>
          <w:szCs w:val="24"/>
        </w:rPr>
        <w:br/>
      </w:r>
      <w:r>
        <w:rPr>
          <w:rFonts w:hint="eastAsia" w:ascii="宋体" w:hAnsi="宋体" w:eastAsia="宋体" w:cs="宋体"/>
          <w:sz w:val="24"/>
          <w:szCs w:val="24"/>
        </w:rPr>
        <w:t xml:space="preserve">8.满足可触发紧急告警功能。</w:t>
      </w:r>
      <w:r>
        <w:rPr>
          <w:rFonts w:hint="eastAsia" w:ascii="宋体" w:hAnsi="宋体" w:eastAsia="宋体" w:cs="宋体"/>
          <w:sz w:val="24"/>
          <w:szCs w:val="24"/>
        </w:rPr>
        <w:br/>
      </w:r>
      <w:r>
        <w:rPr>
          <w:rFonts w:hint="eastAsia" w:ascii="宋体" w:hAnsi="宋体" w:eastAsia="宋体" w:cs="宋体"/>
          <w:sz w:val="24"/>
          <w:szCs w:val="24"/>
        </w:rPr>
        <w:t xml:space="preserve">9.满足设置多级权限控制功能，具有网络权限授权管理功能。</w:t>
      </w:r>
      <w:r>
        <w:rPr>
          <w:rFonts w:ascii="宋体" w:hAnsi="宋体" w:eastAsia="宋体" w:cs="宋体"/>
          <w:sz w:val="24"/>
          <w:szCs w:val="24"/>
        </w:rPr>
        <w:t xml:space="preserve">为方便对系统中的设备</w:t>
      </w:r>
      <w:r/>
    </w:p>
    <w:p>
      <w:pPr>
        <w:spacing w:line="440" w:lineRule="exact"/>
        <w:rPr>
          <w:rFonts w:ascii="宋体" w:hAnsi="宋体" w:eastAsia="宋体" w:cs="宋体"/>
          <w:sz w:val="24"/>
          <w:szCs w:val="24"/>
        </w:rPr>
      </w:pPr>
      <w:r>
        <w:rPr>
          <w:rFonts w:ascii="宋体" w:hAnsi="宋体" w:eastAsia="宋体" w:cs="宋体"/>
          <w:sz w:val="24"/>
          <w:szCs w:val="24"/>
        </w:rPr>
        <w:t xml:space="preserve">进行寻呼控制，本系统同时</w:t>
      </w:r>
      <w:r>
        <w:rPr>
          <w:rFonts w:hint="eastAsia" w:ascii="宋体" w:hAnsi="宋体" w:eastAsia="宋体" w:cs="宋体"/>
          <w:sz w:val="24"/>
          <w:szCs w:val="24"/>
        </w:rPr>
        <w:t xml:space="preserve">需要</w:t>
      </w:r>
      <w:r>
        <w:rPr>
          <w:rFonts w:ascii="宋体" w:hAnsi="宋体" w:eastAsia="宋体" w:cs="宋体"/>
          <w:sz w:val="24"/>
          <w:szCs w:val="24"/>
        </w:rPr>
        <w:t xml:space="preserve">支持 IOS、安卓、鸿蒙等手机分控APP 接入，支持 Windows 系统 PC 分控软件接入、支持网页访问 B/S 架构 WBE 分控控制及智能寻呼站接入实现寻呼、音乐推送、播放、停止、音量调节等各种功能，支持智能寻呼站 1-10 级优先级设置；支持用户管理密码及用户权限策略分配，可随意分配用户密码和可显示设备，支持 8 种控制权限，包括寻呼、停止寻呼、播放歌曲、停止播放、调节音量、上传歌曲、上传定时点、设备管理，支持 PC 分控寻呼软件 1-10 级优先级设置</w:t>
      </w:r>
      <w:r>
        <w:rPr>
          <w:rFonts w:hint="eastAsia" w:ascii="宋体" w:hAnsi="宋体" w:eastAsia="宋体" w:cs="宋体"/>
          <w:sz w:val="24"/>
          <w:szCs w:val="24"/>
        </w:rPr>
        <w:t xml:space="preserve">。</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3、250W网络功放终端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1.采用高档铝合金磨砂面板制造，可挂接在网络到达的任何地方。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2.采用网络自主研发的网络传输协议，动态音频数据传输。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3.双网络接口冗余设计，可跨网段工作。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4.内置高效率数字功放，100V定压输出，效率高达90%以上。自带MP3播放器，设有USB插口、SD插口，用以播放本地节目。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5.功放最大输出功率为250W。醒目的数码显示屏设计，既可显示时钟时间，也可显示播放进度时间。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6.具有时间帧同步机制，本机时钟与网络化主机时钟实时同步。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7.内置红外接收模块，可通过红外线遥控器控制，方便易用。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8.面板集成5个状态指示灯，工作状态一目了然。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9.面板装有8个快捷按键，方便本地用户日常使用。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10.内置脱机本地定时点播放功能，定时节目备份存储到SD卡里，并全自动备份定时点节目。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11.外置一路AUX线路输入、一路话筒输入、一路AUX线路输出，方便扩展本地其它音源广播，与本地功率扩展。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12.外置EMC24V与短路干触点两种强播输出接口，可连接扬声器音控器使用，或连接智能电源。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13.带有周边设备扩展接口，可外接86盒点播彩屏，可外接双86盒的求助对讲面板、两用对讲面板,也可以连接蓝牙音频接收器。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14.点播功能：连接86盒点播彩屏后，可实现本地点播主机的海量节目库。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15.寻呼功能：连接86盒点播彩屏后，可对选定的分区实时寻呼。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16.对讲功能：连接求助对讲面板后，可实现求助对讲功能。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17.蓝牙音频接收功能：连接蓝牙扩展器后可接收蓝牙音频，方便学校、商场等利用蓝牙无线话筒实现本地无线话筒扩声。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18.外接线路输入与网络播放节目源是混合的关系，本地话筒与AUX输入通过检测输入信号的大小而打开功放。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19.可定制联动触发功能，可定制100V本地紧急线路输入，方便接入消防本地广播系统。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20.具有网络播放功能，可播放网络化主机下发的节目源或网络化音频采集器的音频流。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21.可播放来自系统主机的背景音乐、紧急寻呼、告警信号等，网络节目源具有7级以上优先等级管理功能，分为背景广播、业务广播、紧急广播三大类。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22.采用高保真CD音质的解码芯片，最大支持48KHZ采样率16bit的MP3/WMA/WAV/PCM音频流数据解码。全数字化设计，高性能，高保真，语音传输指数高等优点。内置看门狗功能，有效保障设备的正常运行。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23.采用工业级芯片设计，工作环境温度广，适合室外安装与使用。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24.内置DSP音效处理芯片，具有高、低音调调节功能，更适用于不同环境的补偿，让广播指标进一步提升。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25.采用高性能的网络处理芯片，自主研发的实时操作系统，开机启动时间&lt;0.1S,与网络化主机连线时间&lt;2S，实时性强，播放实时节目延时&lt;0.2S。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26.自主研发的实时操作系统，实时性强，多台网络播放器广播节目播放声音实时同步，之间基本没有任何时间差异。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27.采用自主研发的网络数据流解码算法，话筒寻呼、外置线路广播，实时性强，保持寻呼状态大于24小时后延时&lt;0.5S。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28.采用自主研发的网络数据纠错算法，保证传输数据实时性的同时，也保证接收数据的准确性，工作稳定可靠。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29.本地输出音量及本地播放状态可控。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30.可通过网络设置网络音源、本地线路音源、本地话筒音源三者的音源优先等级及优先深度。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31.具有备份功能，支持100V定压输入。</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350W</w:t>
      </w:r>
      <w:r>
        <w:rPr>
          <w:rFonts w:hint="eastAsia" w:ascii="宋体" w:hAnsi="宋体" w:eastAsia="宋体" w:cs="宋体"/>
          <w:sz w:val="24"/>
          <w:szCs w:val="24"/>
        </w:rPr>
        <w:t xml:space="preserve">网络功放终端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1.采用高档铝合金磨砂面板制造，可挂接在网络到达的任何地方。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2.采用网络自主研发的网络传输协议，动态音频数据传输。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3.双网络接口冗余设计，可跨网段工作。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4.内置高效率数字功放，100V定压输出，效率高达90%以上。自带MP3播放器，设有USB插口、SD插口，用以播放本地节目。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5.功放最大输出功率为350W。醒目的数码显示屏设计，既可显示时钟时间，也可显示播放进度时间。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6.具有时间帧同步机制，本机时钟与网络化主机时钟实时同步。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7.内置红外接收模块，可通过红外线遥控器控制，方便易用。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8.面板集成5个状态指示灯，工作状态一目了然。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9.面板装有8个快捷按键，方便本地用户日常使用。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10.内置脱机本地定时点播放功能，定时节目备份存储到SD卡里，并全自动备份定时点节目。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11.外置一路AUX线路输入、一路话筒输入、一路AUX线路输出，方便扩展本地其它音源广播，与本地功率扩展。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12.外置EMC24V与短路干触点两种强播输出接口，可连接扬声器音控器使用，或连接智能电源。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13.带有周边设备扩展接口，可外接86盒点播彩屏，可外接双86盒的求助对讲面板、两用对讲面板,也可以连接蓝牙音频接收器。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14.点播功能：连接86盒点播彩屏后，可实现本地点播主机的海量节目库。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15.寻呼功能：连接86盒点播彩屏后，可对选定的分区实时寻呼。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16.对讲功能：连接求助对讲面板后，可实现求助对讲功能。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17.蓝牙音频接收功能：连接蓝牙扩展器后可接收蓝牙音频，方便学校、商场等利用蓝牙无线话筒实现本地无线话筒扩声。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18.外接线路输入与网络播放节目源是混合的关系，本地话筒与AUX输入通过检测输入信号的大小而打开功放。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19.可定制联动触发功能，可定制100V本地紧急线路输入，方便接入消防本地广播系统。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20.具有网络播放功能，可播放网络化主机下发的节目源或网络化音频采集器的音频流。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21.可播放来自系统主机的背景音乐、紧急寻呼、告警信号等，网络节目源具有7级以上优先等级管理功能，分为背景广播、业务广播、紧急广播三大类。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22.采用高保真CD音质的解码芯片，最大支持48KHZ采样率16bit的MP3/WMA/WAV/PCM音频流数据解码。全数字化设计，高性能，高保真，语音传输指数高等优点。内置看门狗功能，有效保障设备的正常运行。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23.采用工业级芯片设计，工作环境温度广，适合室外安装与使用。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24.内置DSP音效处理芯片，具有高、低音调调节功能，更适用于不同环境的补偿，让广播指标进一步提升。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25.采用高性能的网络处理芯片，自主研发的实时操作系统，开机启动时间&lt;0.1S,与网络化主机连线时间&lt;2S，实时性强，播放实时节目延时&lt;0.2S。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26.自主研发的实时操作系统，实时性强，多台网络播放器广播节目播放声音实时同步，之间基本没有任何时间差异。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27.采用自主研发的网络数据流解码算法，话筒寻呼、外置线路广播，实时性强，保持寻呼状态大于24小时后延时&lt;0.5S。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28.采用自主研发的网络数据纠错算法，保证传输数据实时性的同时，也保证接收数据的准确性，工作稳定可靠。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29.本地输出音量及本地播放状态可控。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30.可通过网络设置网络音源、本地线路音源、本地话筒音源三者的音源优先等级及优先深度。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31.具有备份功能，支持100V定压输入。</w:t>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七、室外LED显示系统</w:t>
      </w:r>
      <w:r/>
    </w:p>
    <w:p>
      <w:pPr>
        <w:spacing w:line="400" w:lineRule="atLeast"/>
        <w:rPr>
          <w:rFonts w:ascii="宋体" w:hAnsi="宋体" w:eastAsia="宋体" w:cs="宋体"/>
          <w:sz w:val="24"/>
          <w:szCs w:val="24"/>
        </w:rPr>
      </w:pPr>
      <w:r>
        <w:rPr>
          <w:rFonts w:hint="eastAsia" w:ascii="宋体" w:hAnsi="宋体" w:eastAsia="宋体" w:cs="宋体"/>
          <w:sz w:val="24"/>
          <w:szCs w:val="24"/>
        </w:rPr>
        <w:t xml:space="preserve">1、播控处理器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【技术参数要求】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1.支持常见的视频接口，包括1路DVI，2路HDMI1.4，1路3G-SDI+LOOP。</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2.支持不少于3个窗口和1路OSD同时显示。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3.支持快捷配屏和高级配屏功能，脱离电脑也能实现快速配屏。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4.支持HDMI、DVI输入分辨率自定义调节，支持选择HDMI源或DVI源作为同步信号，达到输出的场级同步。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5.支持设备间备份和设备内网口备份设置，保障因设备故障或网线故障时，屏体运行正常。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6.视频输出最大带载高达650万像素，最宽可达10240，最高可达8192。</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7.支持带载屏体亮度调节，通过旋钮可实现一键大屏亮度调节。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8.支持逐点亮度校正，可以对所有灯点的亮度和色度进行采集校正，有效消除LED模组的色差，使整屏的亮度和色度达到高度均匀一致，提高显示屏的画质。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9.支持创建不少于10个用户场景作为模板保存，方便使用。</w:t>
      </w:r>
      <w:r/>
    </w:p>
    <w:p>
      <w:pPr>
        <w:spacing w:line="380" w:lineRule="exact"/>
        <w:rPr>
          <w:rFonts w:ascii="宋体" w:hAnsi="宋体" w:eastAsia="宋体" w:cs="宋体"/>
          <w:b/>
          <w:sz w:val="28"/>
          <w:szCs w:val="28"/>
        </w:rPr>
      </w:pPr>
      <w:r>
        <w:rPr>
          <w:rFonts w:ascii="宋体" w:hAnsi="宋体" w:eastAsia="宋体" w:cs="宋体"/>
          <w:b/>
          <w:sz w:val="28"/>
          <w:szCs w:val="28"/>
        </w:rPr>
      </w:r>
      <w:r/>
    </w:p>
    <w:p>
      <w:pPr>
        <w:spacing w:line="380" w:lineRule="exact"/>
        <w:rPr>
          <w:rFonts w:ascii="宋体" w:hAnsi="宋体" w:eastAsia="宋体" w:cs="宋体"/>
          <w:b/>
          <w:sz w:val="28"/>
          <w:szCs w:val="28"/>
        </w:rPr>
      </w:pPr>
      <w:r>
        <w:rPr>
          <w:rFonts w:ascii="宋体" w:hAnsi="宋体" w:eastAsia="宋体" w:cs="宋体"/>
          <w:b/>
          <w:sz w:val="28"/>
          <w:szCs w:val="28"/>
        </w:rPr>
      </w:r>
      <w:r/>
    </w:p>
    <w:p>
      <w:pPr>
        <w:spacing w:line="380" w:lineRule="exact"/>
        <w:rPr>
          <w:rFonts w:ascii="宋体" w:hAnsi="宋体" w:eastAsia="宋体" w:cs="宋体"/>
          <w:b/>
          <w:sz w:val="28"/>
          <w:szCs w:val="28"/>
        </w:rPr>
      </w:pPr>
      <w:r>
        <w:rPr>
          <w:rFonts w:hint="eastAsia" w:ascii="宋体" w:hAnsi="宋体" w:eastAsia="宋体" w:cs="宋体"/>
          <w:b/>
          <w:sz w:val="28"/>
          <w:szCs w:val="28"/>
        </w:rPr>
        <w:t xml:space="preserve">备注：</w:t>
      </w:r>
      <w:r/>
    </w:p>
    <w:p>
      <w:pPr>
        <w:ind w:firstLine="420"/>
        <w:spacing w:line="400" w:lineRule="exact"/>
        <w:rPr>
          <w:rFonts w:ascii="宋体" w:hAnsi="宋体" w:eastAsia="宋体" w:cs="宋体"/>
          <w:bCs/>
          <w:sz w:val="24"/>
          <w:szCs w:val="24"/>
        </w:rPr>
      </w:pPr>
      <w:r>
        <w:rPr>
          <w:rFonts w:hint="eastAsia" w:ascii="宋体" w:hAnsi="宋体" w:eastAsia="宋体" w:cs="宋体"/>
          <w:bCs/>
          <w:sz w:val="24"/>
          <w:szCs w:val="24"/>
        </w:rPr>
        <w:t xml:space="preserve">1、采购清单中如有涉及数据库、操作系统、通用服务器、工作站、一体式计算机、便携式计算机、台式计算机等七种软硬件的，投标产品必须符合安全可靠测评要求。</w:t>
      </w:r>
      <w:r/>
    </w:p>
    <w:p>
      <w:pPr>
        <w:contextualSpacing/>
        <w:ind w:firstLine="420"/>
        <w:jc w:val="left"/>
        <w:spacing w:line="400" w:lineRule="exact"/>
        <w:rPr>
          <w:rFonts w:ascii="宋体" w:hAnsi="宋体" w:eastAsia="宋体" w:cs="微软雅黑"/>
          <w:b/>
          <w:bCs/>
          <w:sz w:val="24"/>
          <w:szCs w:val="24"/>
        </w:rPr>
      </w:pPr>
      <w:r>
        <w:rPr>
          <w:rFonts w:hint="eastAsia" w:ascii="宋体" w:hAnsi="宋体" w:eastAsia="宋体" w:cs="Times New Roman"/>
          <w:b/>
          <w:sz w:val="24"/>
          <w:szCs w:val="24"/>
        </w:rPr>
        <w:t xml:space="preserve">2、本项目核心产品见下表：</w:t>
      </w:r>
      <w:r/>
    </w:p>
    <w:tbl>
      <w:tblPr>
        <w:tblStyle w:val="860"/>
        <w:tblW w:w="4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4091"/>
        <w:gridCol w:w="3244"/>
      </w:tblGrid>
      <w:tr>
        <w:trPr>
          <w:jc w:val="center"/>
          <w:trHeight w:val="20"/>
        </w:trPr>
        <w:tc>
          <w:tcPr>
            <w:tcW w:w="844" w:type="dxa"/>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3621" w:type="dxa"/>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设备名称</w:t>
            </w:r>
            <w:r/>
          </w:p>
        </w:tc>
        <w:tc>
          <w:tcPr>
            <w:tcW w:w="2871" w:type="dxa"/>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所在系统</w:t>
            </w:r>
            <w:r/>
          </w:p>
        </w:tc>
      </w:tr>
      <w:tr>
        <w:trPr>
          <w:jc w:val="center"/>
          <w:trHeight w:val="20"/>
        </w:trPr>
        <w:tc>
          <w:tcPr>
            <w:tcW w:w="84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3621"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无线控制器</w:t>
            </w:r>
            <w:r/>
          </w:p>
        </w:tc>
        <w:tc>
          <w:tcPr>
            <w:tcW w:w="2871"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计算机及无线网络系统</w:t>
            </w:r>
            <w:r/>
          </w:p>
        </w:tc>
      </w:tr>
      <w:tr>
        <w:trPr>
          <w:jc w:val="center"/>
          <w:trHeight w:val="20"/>
        </w:trPr>
        <w:tc>
          <w:tcPr>
            <w:tcW w:w="84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3621"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86寸交互智能平板</w:t>
            </w:r>
            <w:r/>
          </w:p>
        </w:tc>
        <w:tc>
          <w:tcPr>
            <w:tcW w:w="2871"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多媒体教学系统</w:t>
            </w:r>
            <w:r/>
          </w:p>
        </w:tc>
      </w:tr>
      <w:tr>
        <w:trPr>
          <w:jc w:val="center"/>
          <w:trHeight w:val="20"/>
        </w:trPr>
        <w:tc>
          <w:tcPr>
            <w:tcW w:w="844" w:type="dxa"/>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3</w:t>
            </w:r>
            <w:r/>
          </w:p>
        </w:tc>
        <w:tc>
          <w:tcPr>
            <w:tcW w:w="3621" w:type="dxa"/>
            <w:textDirection w:val="lrTb"/>
            <w:noWrap w:val="false"/>
          </w:tcPr>
          <w:p>
            <w:pPr>
              <w:jc w:val="left"/>
              <w:spacing w:line="400" w:lineRule="exact"/>
              <w:tabs>
                <w:tab w:val="left" w:pos="705" w:leader="none"/>
                <w:tab w:val="center" w:pos="1997" w:leader="none"/>
              </w:tabs>
              <w:rPr>
                <w:rFonts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P3户外全彩LED显示屏</w:t>
            </w:r>
            <w:r/>
          </w:p>
        </w:tc>
        <w:tc>
          <w:tcPr>
            <w:tcW w:w="2871"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室外LED显示系统</w:t>
            </w:r>
            <w:r/>
          </w:p>
        </w:tc>
      </w:tr>
    </w:tbl>
    <w:p>
      <w:pPr>
        <w:contextualSpacing/>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通过资格审查、符合性审查的多家投标人提供的</w:t>
      </w:r>
      <w:r>
        <w:rPr>
          <w:rFonts w:hint="eastAsia" w:ascii="宋体" w:hAnsi="宋体" w:eastAsia="宋体" w:cs="宋体"/>
          <w:b/>
          <w:sz w:val="24"/>
          <w:szCs w:val="24"/>
        </w:rPr>
        <w:t xml:space="preserve">任一核心产品品牌相同</w:t>
      </w:r>
      <w:r>
        <w:rPr>
          <w:rFonts w:hint="eastAsia" w:ascii="宋体" w:hAnsi="宋体" w:eastAsia="宋体" w:cs="宋体"/>
          <w:sz w:val="24"/>
          <w:szCs w:val="24"/>
        </w:rPr>
        <w:t xml:space="preserve">的，均按一家投标人计算</w:t>
      </w:r>
      <w:r>
        <w:rPr>
          <w:rFonts w:ascii="宋体" w:hAnsi="宋体" w:eastAsia="宋体" w:cs="宋体"/>
          <w:sz w:val="24"/>
          <w:szCs w:val="24"/>
        </w:rPr>
        <w:t xml:space="preserve">,评审后得分最高的同品牌投标人获得中标人推荐资格;评审得分相同的，由采购人或者采购人委托评标委员会按照招标文件规定的方式确定一个投标人获得中标人推荐资格。</w:t>
      </w:r>
      <w:r/>
    </w:p>
    <w:p>
      <w:pPr>
        <w:numPr>
          <w:ilvl w:val="0"/>
          <w:numId w:val="3"/>
        </w:numPr>
        <w:ind w:firstLine="480"/>
        <w:spacing w:line="400" w:lineRule="exact"/>
        <w:rPr>
          <w:rFonts w:ascii="宋体" w:hAnsi="宋体" w:eastAsia="宋体"/>
          <w:sz w:val="24"/>
          <w:lang w:val="zh-CN"/>
        </w:rPr>
      </w:pPr>
      <w:r>
        <w:rPr>
          <w:rFonts w:hint="eastAsia" w:ascii="宋体" w:hAnsi="宋体" w:eastAsia="宋体"/>
          <w:sz w:val="24"/>
          <w:lang w:val="zh-CN"/>
        </w:rPr>
        <w:t xml:space="preserve">本项目为交钥匙工程，清单中所列除设备外的施工工程量有可能增加或减少，投标人应根据现场勘察情况形成准确的报价方案。</w:t>
      </w:r>
      <w:r/>
    </w:p>
    <w:p>
      <w:pPr>
        <w:ind w:firstLine="420"/>
        <w:spacing w:line="400" w:lineRule="exact"/>
        <w:rPr>
          <w:rFonts w:ascii="宋体" w:hAnsi="宋体" w:eastAsia="宋体" w:cs="宋体"/>
          <w:sz w:val="24"/>
        </w:rPr>
      </w:pPr>
      <w:r>
        <w:rPr>
          <w:rFonts w:hint="eastAsia" w:ascii="宋体" w:hAnsi="宋体" w:eastAsia="宋体"/>
          <w:sz w:val="24"/>
        </w:rPr>
        <w:t xml:space="preserve">4</w:t>
      </w:r>
      <w:r>
        <w:rPr>
          <w:rFonts w:ascii="宋体" w:hAnsi="宋体" w:eastAsia="宋体"/>
          <w:sz w:val="24"/>
          <w:lang w:val="zh-CN"/>
        </w:rPr>
        <w:t xml:space="preserve">、投标人可对现场进行勘查（不统一组织，投标人可与采购单位直接联系安排，因投标人不进行现场勘查造成辅材附件费用计算不准等的后果均由投标人自己负责）。</w:t>
      </w:r>
      <w:r/>
    </w:p>
    <w:p>
      <w:pPr>
        <w:spacing w:line="400" w:lineRule="atLeast"/>
        <w:rPr>
          <w:rFonts w:ascii="宋体" w:hAnsi="宋体" w:eastAsia="宋体" w:cs="宋体"/>
          <w:b/>
          <w:bCs/>
          <w:sz w:val="24"/>
          <w:szCs w:val="24"/>
        </w:rPr>
      </w:pPr>
      <w:r>
        <w:rPr>
          <w:rFonts w:ascii="宋体" w:hAnsi="宋体" w:eastAsia="宋体" w:cs="宋体"/>
          <w:b/>
          <w:bCs/>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六、项目实施要求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1、中标供应商负责提供运输服务，并承担货物运输、仓库以及保险费用；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2、中标供应商提供安装服务，安装实施前中标供应商需要和采购单位制定实施方案，并在规定的时间内完成所有的安装及调试。与总包单位配合费成交供应商自行考虑计入投标报价。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3、实施团队：投标人</w:t>
      </w:r>
      <w:r>
        <w:rPr>
          <w:rFonts w:hint="eastAsia" w:ascii="宋体" w:hAnsi="宋体" w:cs="宋体"/>
          <w:sz w:val="24"/>
        </w:rPr>
        <w:t xml:space="preserve">需为本项目组建实施团队，</w:t>
      </w:r>
      <w:r>
        <w:rPr>
          <w:rFonts w:hint="eastAsia" w:ascii="宋体" w:hAnsi="宋体"/>
          <w:sz w:val="24"/>
        </w:rPr>
        <w:t xml:space="preserve">项目团队人员应合理配置，由具有一定资质能力水平的成员组成。项目管理团队应包括项目负责人、技术负责人各一名</w:t>
      </w:r>
      <w:r>
        <w:rPr>
          <w:rFonts w:hint="eastAsia" w:ascii="宋体" w:hAnsi="宋体" w:cs="宋体"/>
          <w:sz w:val="24"/>
        </w:rPr>
        <w:t xml:space="preserve">，团队总人数不得少于5人。</w:t>
      </w:r>
      <w:r/>
    </w:p>
    <w:p>
      <w:pPr>
        <w:ind w:firstLine="480"/>
        <w:spacing w:line="400" w:lineRule="exact"/>
        <w:rPr>
          <w:rFonts w:ascii="宋体" w:hAnsi="宋体" w:eastAsia="宋体"/>
          <w:sz w:val="24"/>
        </w:rPr>
      </w:pPr>
      <w:r>
        <w:rPr>
          <w:rFonts w:ascii="宋体" w:hAnsi="宋体" w:eastAsia="宋体"/>
          <w:sz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七、</w:t>
      </w:r>
      <w:r>
        <w:rPr>
          <w:rFonts w:hint="eastAsia" w:ascii="宋体" w:hAnsi="宋体" w:eastAsia="宋体" w:cs="宋体"/>
          <w:b/>
          <w:bCs/>
          <w:sz w:val="24"/>
          <w:szCs w:val="24"/>
          <w:lang w:val="zh-CN"/>
        </w:rPr>
        <w:t xml:space="preserve">交货（完工）时间</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在符合项目施工条件的情况下90天内完成交货及安装调试。</w:t>
      </w:r>
      <w:r/>
    </w:p>
    <w:p>
      <w:pPr>
        <w:ind w:firstLine="480"/>
        <w:spacing w:line="400" w:lineRule="exact"/>
        <w:rPr>
          <w:rFonts w:ascii="宋体" w:hAnsi="宋体" w:eastAsia="宋体"/>
          <w:bCs/>
          <w:sz w:val="24"/>
          <w:szCs w:val="24"/>
        </w:rPr>
      </w:pPr>
      <w:r>
        <w:rPr>
          <w:rFonts w:ascii="宋体" w:hAnsi="宋体" w:eastAsia="宋体"/>
          <w:bCs/>
          <w:sz w:val="24"/>
          <w:szCs w:val="24"/>
        </w:rPr>
      </w:r>
      <w:r/>
    </w:p>
    <w:p>
      <w:pPr>
        <w:spacing w:line="400" w:lineRule="exact"/>
        <w:tabs>
          <w:tab w:val="left" w:pos="6840" w:leader="none"/>
        </w:tabs>
        <w:rPr>
          <w:rFonts w:ascii="宋体" w:hAnsi="宋体" w:eastAsia="宋体" w:cs="宋体"/>
          <w:b/>
          <w:bCs/>
          <w:sz w:val="24"/>
          <w:szCs w:val="24"/>
          <w:lang w:val="zh-CN"/>
        </w:rPr>
        <w:outlineLvl w:val="0"/>
      </w:pPr>
      <w:r>
        <w:rPr>
          <w:rFonts w:hint="eastAsia" w:ascii="宋体" w:hAnsi="宋体" w:eastAsia="宋体" w:cs="宋体"/>
          <w:b/>
          <w:bCs/>
          <w:sz w:val="24"/>
          <w:szCs w:val="24"/>
        </w:rPr>
        <w:t xml:space="preserve">八、</w:t>
      </w:r>
      <w:r>
        <w:rPr>
          <w:rFonts w:hint="eastAsia" w:ascii="宋体" w:hAnsi="宋体" w:eastAsia="宋体" w:cs="宋体"/>
          <w:b/>
          <w:bCs/>
          <w:sz w:val="24"/>
          <w:szCs w:val="24"/>
          <w:lang w:val="zh-CN"/>
        </w:rPr>
        <w:t xml:space="preserve">交货（服务）地点</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江阴市高中学位扩充项目（山观高中改造）项目现场：位于江阴市龙山大街111号，龙泉路以南、龙山大街以北，江阴市山观高中原址。</w:t>
      </w:r>
      <w:r/>
    </w:p>
    <w:p>
      <w:pPr>
        <w:spacing w:line="400" w:lineRule="atLeast"/>
        <w:rPr>
          <w:rFonts w:ascii="宋体" w:hAnsi="宋体" w:eastAsia="宋体" w:cs="宋体"/>
          <w:b/>
          <w:bCs/>
          <w:sz w:val="24"/>
          <w:szCs w:val="24"/>
        </w:rPr>
      </w:pPr>
      <w:r>
        <w:rPr>
          <w:rFonts w:ascii="宋体" w:hAnsi="宋体" w:eastAsia="宋体" w:cs="宋体"/>
          <w:b/>
          <w:bCs/>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九、项目验收：</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投标文件中应提供一份验收计划，其中至少应包含以下内容：</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（1）验收单位；</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（2）验收流程；</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（3）验收所依据的标准；</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（4）验收所需的各种测试表格；</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（5）与验收有关的文档；</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（6）其他必要的内容。</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本项目的验收由采购单位按照国家规定的程序组织进行，依据是国家有关规定、投标文件、中标人的投标文件以及其他相关文件和资料，所需验收费用由中标单位承担。</w:t>
      </w:r>
      <w:r/>
    </w:p>
    <w:p>
      <w:pPr>
        <w:spacing w:line="400" w:lineRule="atLeast"/>
        <w:rPr>
          <w:rFonts w:ascii="宋体" w:hAnsi="宋体" w:eastAsia="宋体" w:cs="宋体"/>
          <w:b/>
          <w:bCs/>
          <w:sz w:val="24"/>
          <w:szCs w:val="24"/>
        </w:rPr>
      </w:pPr>
      <w:r>
        <w:rPr>
          <w:rFonts w:ascii="宋体" w:hAnsi="宋体" w:eastAsia="宋体" w:cs="宋体"/>
          <w:b/>
          <w:bCs/>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十</w:t>
      </w:r>
      <w:r>
        <w:rPr>
          <w:rFonts w:hint="eastAsia" w:ascii="宋体" w:hAnsi="宋体" w:eastAsia="宋体" w:cs="宋体"/>
          <w:b/>
          <w:bCs/>
          <w:sz w:val="24"/>
          <w:szCs w:val="24"/>
          <w:lang w:val="zh-CN"/>
        </w:rPr>
        <w:t xml:space="preserve">、质量保证及售后服务</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1、质量保证</w:t>
      </w:r>
      <w:r/>
    </w:p>
    <w:p>
      <w:pPr>
        <w:ind w:firstLine="480"/>
        <w:jc w:val="left"/>
        <w:spacing w:line="400" w:lineRule="exact"/>
        <w:rPr>
          <w:rFonts w:ascii="宋体" w:hAnsi="宋体" w:cstheme="minorEastAsia"/>
          <w:sz w:val="24"/>
        </w:rPr>
      </w:pPr>
      <w:r>
        <w:rPr>
          <w:rFonts w:hint="eastAsia" w:ascii="宋体" w:hAnsi="宋体" w:eastAsia="宋体" w:cstheme="minorEastAsia"/>
          <w:sz w:val="24"/>
        </w:rPr>
        <w:t xml:space="preserve">所有软件不低于原厂3年质保、所有硬件产品不低于原厂5年质保</w:t>
      </w:r>
      <w:r>
        <w:rPr>
          <w:rFonts w:hint="eastAsia" w:ascii="宋体" w:hAnsi="宋体"/>
          <w:b/>
          <w:bCs/>
          <w:sz w:val="24"/>
        </w:rPr>
        <w:t xml:space="preserve">。</w:t>
      </w:r>
      <w:r/>
    </w:p>
    <w:p>
      <w:pPr>
        <w:ind w:firstLine="480"/>
        <w:spacing w:line="440" w:lineRule="exact"/>
        <w:rPr>
          <w:rFonts w:ascii="宋体" w:hAnsi="宋体" w:eastAsia="宋体"/>
          <w:sz w:val="24"/>
          <w:szCs w:val="24"/>
        </w:rPr>
      </w:pPr>
      <w:r>
        <w:rPr>
          <w:rFonts w:ascii="宋体" w:hAnsi="宋体" w:eastAsia="宋体" w:cs="宋体"/>
          <w:sz w:val="24"/>
          <w:szCs w:val="24"/>
        </w:rPr>
        <w:t xml:space="preserve">无线控制器</w:t>
      </w:r>
      <w:r>
        <w:rPr>
          <w:rFonts w:hint="eastAsia" w:ascii="宋体" w:hAnsi="宋体" w:eastAsia="宋体" w:cs="宋体"/>
          <w:sz w:val="24"/>
          <w:szCs w:val="24"/>
        </w:rPr>
        <w:t xml:space="preserve">需要与学校原网无缝对接</w:t>
      </w:r>
      <w:r>
        <w:rPr>
          <w:rFonts w:hint="eastAsia" w:ascii="宋体" w:hAnsi="宋体" w:eastAsia="宋体" w:cs="宋体"/>
          <w:sz w:val="24"/>
          <w:szCs w:val="24"/>
        </w:rPr>
        <w:t xml:space="preserve">、</w:t>
      </w:r>
      <w:r>
        <w:rPr>
          <w:rFonts w:hint="eastAsia" w:ascii="宋体" w:hAnsi="宋体" w:eastAsia="宋体" w:cstheme="minorEastAsia"/>
          <w:sz w:val="24"/>
        </w:rPr>
        <w:t xml:space="preserve">放装AP</w:t>
      </w:r>
      <w:r>
        <w:rPr>
          <w:rFonts w:hint="eastAsia" w:ascii="宋体" w:hAnsi="宋体" w:eastAsia="宋体" w:cs="宋体"/>
          <w:sz w:val="24"/>
          <w:szCs w:val="24"/>
        </w:rPr>
        <w:t xml:space="preserve">需要与学校目前</w:t>
      </w:r>
      <w:r>
        <w:rPr>
          <w:rFonts w:hint="eastAsia" w:ascii="宋体" w:hAnsi="宋体" w:eastAsia="宋体" w:cs="宋体"/>
          <w:sz w:val="24"/>
          <w:szCs w:val="24"/>
        </w:rPr>
        <w:t xml:space="preserve">无线控制器无缝对接、</w:t>
      </w:r>
      <w:r>
        <w:rPr>
          <w:rFonts w:hint="eastAsia" w:ascii="宋体" w:hAnsi="宋体" w:eastAsia="宋体" w:cstheme="minorEastAsia"/>
          <w:sz w:val="24"/>
        </w:rPr>
        <w:t xml:space="preserve">86寸交互智能平板集控管理平台需要与学校现有多媒体系统做好对接，接入现有集控平台。</w:t>
      </w:r>
      <w:r/>
    </w:p>
    <w:p>
      <w:pPr>
        <w:numPr>
          <w:ilvl w:val="0"/>
          <w:numId w:val="4"/>
        </w:num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售后服务</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(1)投标人负责产品准备、安装调试，系统安全与性能调优，免费配合其它系统安装、调试、调优、升级等工作。</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(2)在保修期内，提供7*24小时现场保修和技术支持服务，若出现质量问题，无条件、免费提供各种维修服务（包括零配件免费）。保修期满后，实行终身跟踪维修，按最低价收取零部件费用，不收取维修费及其他费用。</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(3)服务响应时间：投标人承诺电话响应时间小于20分钟，如通过电话解决不了，电话或远程技术支持不能解决的问题，技术人员在24小时之内到达现场协商解决问题，2小时内修复故障。</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(4)在质量保证期内，未能在24小时内修复情况下，投标单位应主动提供免费备机服务。</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(5)在质量保证期内更换的任何配件，须为原设备原厂生产的；并且保证替代的零配件是新的、未使用过和未经修复的；在发生设备和配件停产时，质保期内提供的设备和配件不能低于采购需求中的参数。</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(6)提供的产品若有设计缺陷，供应商应主动召回。</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(7)在质量保证期内，投标单位应提供每年度技术巡检服务，巡检内容应包含：对设备使用状况的调查、升级软件、为机器除尘，故障预防工作。并向采购人提供巡检记录以及巡检报告。</w:t>
      </w:r>
      <w:r/>
    </w:p>
    <w:p>
      <w:pPr>
        <w:pStyle w:val="907"/>
        <w:ind w:firstLine="480"/>
        <w:spacing w:line="400" w:lineRule="exact"/>
        <w:rPr>
          <w:rFonts w:ascii="宋体" w:hAnsi="宋体" w:eastAsia="宋体" w:cstheme="minorEastAsia"/>
          <w:sz w:val="24"/>
        </w:rPr>
      </w:pPr>
      <w:r>
        <w:rPr>
          <w:rFonts w:hint="eastAsia" w:ascii="宋体" w:hAnsi="宋体" w:eastAsia="宋体" w:cstheme="minorEastAsia"/>
          <w:sz w:val="24"/>
        </w:rPr>
        <w:t xml:space="preserve">(8)软件免费维护和升级服务的内容，投标单位可根据自身情况，提供相应的软件服务方案。</w:t>
      </w:r>
      <w:r/>
    </w:p>
    <w:p>
      <w:pPr>
        <w:pStyle w:val="907"/>
        <w:ind w:firstLine="480"/>
        <w:spacing w:line="400" w:lineRule="exact"/>
      </w:pPr>
      <w:r>
        <w:rPr>
          <w:rFonts w:hint="eastAsia" w:ascii="宋体" w:hAnsi="宋体" w:eastAsia="宋体" w:cstheme="minorEastAsia"/>
          <w:sz w:val="24"/>
        </w:rPr>
        <w:t xml:space="preserve">(9)投标单位应采用多种培训方式（如现场培训和远程培训），组织培训人员到现场进行实际操作练习，以确保参训人员能够熟练掌握智能化系统的基本操作、日常维护、故障排除等技能。</w:t>
      </w:r>
      <w:r/>
    </w:p>
    <w:p>
      <w:pPr>
        <w:pStyle w:val="907"/>
        <w:spacing w:line="400" w:lineRule="exact"/>
      </w:p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十一、付款方式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考虑整体项目时间按照项目整体建设周期进度规划，合同签订后支付合同金额的20%，项目验收合格后支付至合同金额的80%，验收合格满1年并结算审计后付清余款(不计息)，付款时间以财政支付节点为准。</w:t>
      </w:r>
      <w:r/>
    </w:p>
    <w:p>
      <w:pPr>
        <w:ind w:firstLine="480"/>
        <w:spacing w:line="380" w:lineRule="exact"/>
        <w:rPr>
          <w:rFonts w:ascii="宋体" w:hAnsi="宋体" w:eastAsia="宋体"/>
          <w:sz w:val="24"/>
          <w:szCs w:val="24"/>
        </w:rPr>
      </w:pPr>
      <w:r>
        <w:rPr>
          <w:rFonts w:ascii="宋体" w:hAnsi="宋体" w:eastAsia="宋体"/>
          <w:sz w:val="24"/>
          <w:szCs w:val="24"/>
        </w:rPr>
      </w:r>
      <w:r/>
    </w:p>
    <w:p>
      <w:pPr>
        <w:spacing w:line="400" w:lineRule="exact"/>
        <w:tabs>
          <w:tab w:val="left" w:pos="6840"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十二、有关说明</w:t>
      </w:r>
      <w:r/>
    </w:p>
    <w:p>
      <w:pPr>
        <w:ind w:firstLine="480"/>
        <w:spacing w:line="380" w:lineRule="exact"/>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、项目报价包括全部软硬件产品、辅助材料、仓储、运输、开发、系统对接、安装调试、人工、售后服务、培训、验收等一切费用。</w:t>
      </w:r>
      <w:r/>
    </w:p>
    <w:p>
      <w:pPr>
        <w:ind w:firstLine="480"/>
        <w:spacing w:line="380" w:lineRule="exact"/>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、产品质量必须符合《中华人民共和国国家标准》及我国最新颁布的与之相关的技术规范与正宗合格产品标准，同时必须满足招标书中所列全部规格、型号、具体配置</w:t>
      </w:r>
      <w:r>
        <w:rPr>
          <w:rFonts w:hint="eastAsia" w:ascii="宋体" w:hAnsi="宋体" w:eastAsia="宋体"/>
          <w:sz w:val="24"/>
        </w:rPr>
        <w:t xml:space="preserve">和</w:t>
      </w:r>
      <w:r>
        <w:rPr>
          <w:rFonts w:ascii="宋体" w:hAnsi="宋体" w:eastAsia="宋体"/>
          <w:sz w:val="24"/>
        </w:rPr>
        <w:t xml:space="preserve">供方承诺的其它指标；产品质量出现问题，供方负责包退、包换、包修，其费用由供方负责。</w:t>
      </w:r>
      <w:r/>
    </w:p>
    <w:p>
      <w:pPr>
        <w:ind w:firstLine="480"/>
        <w:spacing w:line="380" w:lineRule="exact"/>
        <w:rPr>
          <w:rFonts w:ascii="宋体" w:hAnsi="宋体" w:eastAsia="宋体"/>
          <w:sz w:val="24"/>
        </w:rPr>
      </w:pPr>
      <w:r>
        <w:rPr>
          <w:rFonts w:hint="eastAsia" w:ascii="宋体" w:hAnsi="宋体" w:eastAsia="宋体"/>
          <w:sz w:val="24"/>
        </w:rPr>
        <w:t xml:space="preserve">3、投标人报价时应考虑各种风险因素，包括但不限于施工方案措施风险、由承包方原因引起的开工日期调整、由承包方原因引起地方矛盾引起的窝工、停工风险、设备价格的市场风险等一切风险因素，除发包人原因引起的设计变更外，中标单位在服务过程中不得以任何原因向发包人要求增加费用。</w:t>
      </w:r>
      <w:r/>
    </w:p>
    <w:p>
      <w:pPr>
        <w:ind w:firstLine="480"/>
        <w:spacing w:line="380" w:lineRule="exact"/>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w:t>
      </w:r>
      <w:r>
        <w:rPr>
          <w:rFonts w:hint="eastAsia" w:ascii="宋体" w:hAnsi="宋体" w:eastAsia="宋体"/>
          <w:sz w:val="24"/>
        </w:rPr>
        <w:t xml:space="preserve">本项目采用固定总价方式，采购清单范围内总价包干，除采购人原因提出现场变更及签证引起的工程量增加外，因投标人自身原因引起工程量增加及漏项责任由供应商自行负责，若现场实际安装设备数量比招标清单内有所减少，则最终按实结算。</w:t>
      </w:r>
      <w:r/>
    </w:p>
    <w:p>
      <w:pPr>
        <w:ind w:firstLine="480"/>
        <w:spacing w:line="380" w:lineRule="exact"/>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w:t>
      </w:r>
      <w:r>
        <w:rPr>
          <w:rFonts w:hint="eastAsia" w:ascii="宋体" w:hAnsi="宋体" w:eastAsia="宋体"/>
          <w:sz w:val="24"/>
        </w:rPr>
        <w:t xml:space="preserve">凡涉及招标文件的补充说明或修正，均以江阴市政府采购中心书面依据为准。</w:t>
      </w:r>
      <w:r/>
    </w:p>
    <w:p>
      <w:pPr>
        <w:ind w:firstLine="480"/>
        <w:spacing w:line="380" w:lineRule="exact"/>
        <w:rPr>
          <w:rFonts w:ascii="宋体" w:hAnsi="宋体"/>
          <w:b/>
          <w:sz w:val="24"/>
        </w:rPr>
      </w:pPr>
      <w:r>
        <w:rPr>
          <w:rFonts w:hint="eastAsia" w:ascii="宋体" w:hAnsi="宋体" w:eastAsia="宋体"/>
          <w:sz w:val="24"/>
        </w:rPr>
        <w:t xml:space="preserve">6</w:t>
      </w:r>
      <w:r>
        <w:rPr>
          <w:rFonts w:ascii="宋体" w:hAnsi="宋体" w:eastAsia="宋体"/>
          <w:sz w:val="24"/>
        </w:rPr>
        <w:t xml:space="preserve">、</w:t>
      </w:r>
      <w:r>
        <w:rPr>
          <w:rFonts w:hint="eastAsia" w:ascii="宋体" w:hAnsi="宋体" w:eastAsia="宋体"/>
          <w:sz w:val="24"/>
        </w:rPr>
        <w:t xml:space="preserve">江阴市政府采购中心对本次招标结果不作任何解释。</w:t>
      </w:r>
      <w:r/>
    </w:p>
    <w:p>
      <w:pPr>
        <w:pStyle w:val="865"/>
        <w:spacing w:line="400" w:lineRule="exact"/>
        <w:rPr>
          <w:rFonts w:ascii="宋体" w:hAnsi="宋体"/>
          <w:b/>
          <w:sz w:val="24"/>
        </w:rPr>
      </w:pPr>
      <w:r>
        <w:rPr>
          <w:rFonts w:ascii="宋体" w:hAnsi="宋体"/>
          <w:b/>
          <w:sz w:val="24"/>
        </w:rPr>
      </w:r>
      <w:r/>
    </w:p>
    <w:p>
      <w:pPr>
        <w:pStyle w:val="865"/>
        <w:spacing w:line="400" w:lineRule="exact"/>
        <w:rPr>
          <w:rFonts w:ascii="宋体" w:hAnsi="宋体"/>
          <w:b/>
          <w:sz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b/>
          <w:sz w:val="24"/>
        </w:rPr>
      </w:r>
      <w:r/>
    </w:p>
    <w:p>
      <w:pPr>
        <w:spacing w:line="400" w:lineRule="exact"/>
        <w:tabs>
          <w:tab w:val="left" w:pos="0" w:leader="none"/>
        </w:tabs>
        <w:rPr>
          <w:rStyle w:val="88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Fonts w:ascii="黑体" w:hAnsi="黑体" w:eastAsia="黑体" w:cs="Times New Roman"/>
          <w:sz w:val="30"/>
          <w:szCs w:val="30"/>
        </w:rPr>
        <w:outlineLvl w:val="0"/>
      </w:pPr>
      <w:r/>
      <w:bookmarkStart w:id="11" w:name="_Toc10076"/>
      <w:r>
        <w:rPr>
          <w:rFonts w:hint="eastAsia" w:ascii="黑体" w:hAnsi="黑体" w:eastAsia="黑体" w:cs="Times New Roman"/>
          <w:bCs/>
          <w:sz w:val="30"/>
          <w:szCs w:val="30"/>
        </w:rPr>
        <w:t xml:space="preserve">第四章</w:t>
      </w:r>
      <w:r>
        <w:rPr>
          <w:rFonts w:hint="eastAsia" w:ascii="Calibri" w:hAnsi="Calibri" w:eastAsia="宋体" w:cs="Times New Roman"/>
        </w:rPr>
        <w:t xml:space="preserve"> 　</w:t>
      </w:r>
      <w:r>
        <w:rPr>
          <w:rFonts w:hint="eastAsia" w:ascii="黑体" w:hAnsi="黑体" w:eastAsia="黑体" w:cs="Times New Roman"/>
          <w:bCs/>
          <w:sz w:val="30"/>
          <w:szCs w:val="30"/>
        </w:rPr>
        <w:t xml:space="preserve">评标方法和评标标准</w:t>
      </w:r>
      <w:bookmarkEnd w:id="11"/>
      <w:r/>
      <w:r/>
    </w:p>
    <w:p>
      <w:pPr>
        <w:ind w:firstLine="480"/>
        <w:spacing w:line="400" w:lineRule="exact"/>
        <w:rPr>
          <w:rFonts w:ascii="楷体_GB2312" w:eastAsia="楷体_GB2312"/>
          <w:sz w:val="24"/>
        </w:rPr>
      </w:pPr>
      <w:r>
        <w:rPr>
          <w:rFonts w:ascii="楷体_GB2312" w:eastAsia="楷体_GB2312"/>
          <w:sz w:val="24"/>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jc w:val="left"/>
        <w:spacing w:line="400" w:lineRule="exact"/>
        <w:rPr>
          <w:rFonts w:ascii="黑体" w:hAnsi="黑体" w:eastAsia="黑体"/>
          <w:sz w:val="28"/>
          <w:szCs w:val="28"/>
        </w:rPr>
      </w:pPr>
      <w:r>
        <w:rPr>
          <w:rFonts w:hint="eastAsia" w:asciiTheme="minorEastAsia" w:hAnsiTheme="minorEastAsia"/>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Style w:val="860"/>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96" w:type="dxa"/>
          <w:top w:w="45" w:type="dxa"/>
          <w:right w:w="96" w:type="dxa"/>
          <w:bottom w:w="45" w:type="dxa"/>
        </w:tblCellMar>
        <w:tblLook w:val="04A0" w:firstRow="1" w:lastRow="0" w:firstColumn="1" w:lastColumn="0" w:noHBand="0" w:noVBand="1"/>
      </w:tblPr>
      <w:tblGrid>
        <w:gridCol w:w="1074"/>
        <w:gridCol w:w="844"/>
        <w:gridCol w:w="1072"/>
        <w:gridCol w:w="5933"/>
        <w:gridCol w:w="679"/>
      </w:tblGrid>
      <w:tr>
        <w:trPr>
          <w:jc w:val="center"/>
        </w:trPr>
        <w:tc>
          <w:tcPr>
            <w:shd w:val="clear" w:color="auto" w:fill="auto"/>
            <w:tcW w:w="1074"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shd w:val="clear" w:color="auto" w:fill="auto"/>
            <w:tcW w:w="844"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shd w:val="clear" w:color="auto" w:fill="auto"/>
            <w:tcW w:w="1072"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shd w:val="clear" w:color="auto" w:fill="auto"/>
            <w:tcW w:w="5933"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shd w:val="clear" w:color="auto" w:fill="auto"/>
            <w:tcW w:w="67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Pr>
        <w:tc>
          <w:tcPr>
            <w:shd w:val="clear" w:color="auto" w:fill="auto"/>
            <w:tcW w:w="107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（50分）</w:t>
            </w:r>
            <w:r/>
          </w:p>
        </w:tc>
        <w:tc>
          <w:tcPr>
            <w:shd w:val="clear" w:color="auto" w:fill="auto"/>
            <w:tcW w:w="84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shd w:val="clear" w:color="auto" w:fill="auto"/>
            <w:tcW w:w="107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shd w:val="clear" w:color="auto" w:fill="auto"/>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p>
          <w:p>
            <w:pPr>
              <w:spacing w:line="400" w:lineRule="exact"/>
              <w:rPr>
                <w:rFonts w:ascii="宋体" w:hAnsi="宋体"/>
                <w:sz w:val="24"/>
              </w:rPr>
            </w:pPr>
            <w:r>
              <w:rPr>
                <w:rFonts w:hint="eastAsia" w:ascii="宋体" w:hAnsi="宋体"/>
                <w:sz w:val="24"/>
              </w:rPr>
              <w:t xml:space="preserve">投标报价得分＝（评标基准价/投标报价）×50分</w:t>
            </w:r>
            <w:r/>
          </w:p>
        </w:tc>
        <w:tc>
          <w:tcPr>
            <w:shd w:val="clear" w:color="auto" w:fill="auto"/>
            <w:tcW w:w="67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50</w:t>
            </w:r>
            <w:r/>
          </w:p>
        </w:tc>
      </w:tr>
      <w:tr>
        <w:trPr>
          <w:jc w:val="center"/>
        </w:trPr>
        <w:tc>
          <w:tcPr>
            <w:tcW w:w="1074"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before="68"/>
              <w:rPr>
                <w:rFonts w:ascii="宋体" w:hAnsi="宋体" w:eastAsia="宋体" w:cs="宋体"/>
                <w:spacing w:val="-2"/>
                <w:sz w:val="24"/>
                <w:szCs w:val="24"/>
              </w:rPr>
            </w:pPr>
            <w:r>
              <w:rPr>
                <w:rFonts w:hint="eastAsia" w:ascii="宋体" w:hAnsi="宋体"/>
                <w:sz w:val="24"/>
              </w:rPr>
              <w:t xml:space="preserve">（37分）</w:t>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2.1</w:t>
            </w:r>
            <w:r/>
          </w:p>
        </w:tc>
        <w:tc>
          <w:tcPr>
            <w:tcW w:w="1072"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z w:val="24"/>
                <w:szCs w:val="24"/>
              </w:rPr>
              <w:t xml:space="preserve">产品技术参数</w:t>
            </w:r>
            <w:r/>
          </w:p>
        </w:tc>
        <w:tc>
          <w:tcPr>
            <w:tcW w:w="5933" w:type="dxa"/>
            <w:vAlign w:val="center"/>
            <w:textDirection w:val="lrTb"/>
            <w:noWrap w:val="false"/>
          </w:tcPr>
          <w:p>
            <w:pPr>
              <w:spacing w:line="400" w:lineRule="exact"/>
              <w:rPr>
                <w:rFonts w:ascii="宋体" w:eastAsia="宋体"/>
                <w:sz w:val="24"/>
              </w:rPr>
            </w:pPr>
            <w:r>
              <w:rPr>
                <w:rFonts w:hint="eastAsia" w:ascii="宋体" w:eastAsia="宋体"/>
                <w:sz w:val="24"/>
              </w:rPr>
              <w:t xml:space="preserve">根据《详细配置一览表》《技术要求响应偏离表》等对</w:t>
            </w:r>
            <w:r>
              <w:rPr>
                <w:rFonts w:hint="eastAsia" w:ascii="宋体" w:eastAsia="宋体"/>
                <w:b/>
                <w:bCs/>
                <w:sz w:val="24"/>
              </w:rPr>
              <w:t xml:space="preserve">“</w:t>
            </w:r>
            <w:r>
              <w:rPr>
                <w:rFonts w:hint="eastAsia" w:ascii="宋体" w:hAnsi="宋体" w:eastAsia="宋体" w:cs="宋体"/>
                <w:b/>
                <w:bCs/>
                <w:sz w:val="24"/>
                <w:szCs w:val="24"/>
              </w:rPr>
              <w:t xml:space="preserve">技术参数要求</w:t>
            </w:r>
            <w:r>
              <w:rPr>
                <w:rFonts w:hint="eastAsia" w:ascii="宋体" w:eastAsia="宋体"/>
                <w:b/>
                <w:bCs/>
                <w:sz w:val="24"/>
              </w:rPr>
              <w:t xml:space="preserve">”</w:t>
            </w:r>
            <w:r>
              <w:rPr>
                <w:rFonts w:hint="eastAsia" w:ascii="宋体" w:eastAsia="宋体"/>
                <w:sz w:val="24"/>
              </w:rPr>
              <w:t xml:space="preserve">部分的性能、技术参数的响应情况进行评审打分：全部符合招标文件要求，无负偏离得25分，打“</w:t>
            </w:r>
            <w:r>
              <w:rPr>
                <w:rFonts w:hint="eastAsia" w:ascii="宋体" w:eastAsia="宋体" w:cs="宋体"/>
                <w:b/>
                <w:bCs/>
                <w:sz w:val="24"/>
              </w:rPr>
              <w:t xml:space="preserve">★</w:t>
            </w:r>
            <w:r>
              <w:rPr>
                <w:rFonts w:hint="eastAsia" w:ascii="宋体" w:eastAsia="宋体"/>
                <w:sz w:val="24"/>
              </w:rPr>
              <w:t xml:space="preserve">”项有一项负偏离扣1分，其余项有一项负偏离扣0.5分，扣完为止。</w:t>
            </w:r>
            <w:r/>
          </w:p>
          <w:p>
            <w:pPr>
              <w:jc w:val="left"/>
              <w:spacing w:line="400" w:lineRule="exact"/>
              <w:rPr>
                <w:rFonts w:ascii="宋体" w:hAnsi="宋体"/>
                <w:sz w:val="24"/>
              </w:rPr>
            </w:pPr>
            <w:r>
              <w:rPr>
                <w:rFonts w:hint="eastAsia" w:ascii="宋体" w:eastAsia="宋体"/>
                <w:b/>
                <w:bCs/>
                <w:sz w:val="24"/>
              </w:rPr>
              <w:t xml:space="preserve">(未按要求提供证明材料的视为负偏离)</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25</w:t>
            </w:r>
            <w:r/>
          </w:p>
        </w:tc>
      </w:tr>
      <w:tr>
        <w:trPr>
          <w:jc w:val="center"/>
        </w:trPr>
        <w:tc>
          <w:tcPr>
            <w:tcW w:w="1074" w:type="dxa"/>
            <w:vAlign w:val="center"/>
            <w:vMerge w:val="continue"/>
            <w:textDirection w:val="lrTb"/>
            <w:noWrap w:val="false"/>
          </w:tcPr>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2.2</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需求理解</w:t>
            </w:r>
            <w:r/>
          </w:p>
        </w:tc>
        <w:tc>
          <w:tcPr>
            <w:tcW w:w="5933" w:type="dxa"/>
            <w:vAlign w:val="center"/>
            <w:textDirection w:val="lrTb"/>
            <w:noWrap w:val="false"/>
          </w:tcPr>
          <w:p>
            <w:pPr>
              <w:spacing w:line="400" w:lineRule="exact"/>
              <w:rPr>
                <w:rFonts w:ascii="宋体" w:hAnsi="宋体"/>
                <w:sz w:val="24"/>
              </w:rPr>
            </w:pPr>
            <w:r>
              <w:rPr>
                <w:rFonts w:hint="eastAsia" w:ascii="宋体" w:hAnsi="宋体" w:eastAsia="宋体" w:cs="宋体"/>
                <w:sz w:val="24"/>
                <w:szCs w:val="24"/>
              </w:rPr>
              <w:t xml:space="preserve">投</w:t>
            </w:r>
            <w:r>
              <w:rPr>
                <w:rFonts w:hint="eastAsia" w:ascii="宋体" w:hAnsi="宋体"/>
                <w:sz w:val="24"/>
              </w:rPr>
              <w:t xml:space="preserve">标人针对此项目的需求分析，包括①项目背景、②建设内容、③建设目标、④重点难点方面内容。方案内容描述全面合理符合采购需求的得4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4</w:t>
            </w:r>
            <w:r/>
          </w:p>
        </w:tc>
      </w:tr>
      <w:tr>
        <w:trPr>
          <w:jc w:val="center"/>
        </w:trPr>
        <w:tc>
          <w:tcPr>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4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2.3</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项目实施方案</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针对此项目提供的项目实施方案，包括①实施团队人员配置、②工期安排、③进度保障措施、④质量保障措施。方案内容描述全面合理符合采购需求的得4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4</w:t>
            </w:r>
            <w:r/>
          </w:p>
        </w:tc>
      </w:tr>
      <w:tr>
        <w:trPr>
          <w:jc w:val="center"/>
        </w:trPr>
        <w:tc>
          <w:tcPr>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4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2.4</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维保服务方案</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针对此项目提供的维保服务方案，包括①服务体系及服务内容、②应急措施及技术人员保障内容。方案内容描述全面合理符合采购需求的得2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4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2.5</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培训方案</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针对此项目提供的培训方案，包括①培训内容及师资配备、②培训时间安排。方案内容描述全面合理符合采购需求的得2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1074" w:type="dxa"/>
            <w:vAlign w:val="center"/>
            <w:vMerge w:val="restart"/>
            <w:textDirection w:val="lrTb"/>
            <w:noWrap w:val="false"/>
          </w:tcPr>
          <w:p>
            <w:pPr>
              <w:jc w:val="center"/>
              <w:spacing w:line="400" w:lineRule="exact"/>
              <w:widowControl/>
              <w:rPr>
                <w:sz w:val="24"/>
              </w:rPr>
            </w:pPr>
            <w:r>
              <w:rPr>
                <w:rFonts w:hint="eastAsia" w:ascii="宋体" w:hAnsi="宋体" w:cs="宋体"/>
                <w:sz w:val="24"/>
                <w:lang w:bidi="ar"/>
              </w:rPr>
              <w:t xml:space="preserve">三、商务部分（13分）</w:t>
            </w:r>
            <w:r/>
          </w:p>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3.1</w:t>
            </w:r>
            <w:r/>
          </w:p>
        </w:tc>
        <w:tc>
          <w:tcPr>
            <w:tcW w:w="1072" w:type="dxa"/>
            <w:vAlign w:val="center"/>
            <w:textDirection w:val="lrTb"/>
            <w:noWrap w:val="false"/>
          </w:tcPr>
          <w:p>
            <w:pPr>
              <w:jc w:val="center"/>
              <w:rPr>
                <w:rFonts w:ascii="宋体" w:hAnsi="宋体" w:eastAsia="宋体" w:cs="宋体"/>
                <w:spacing w:val="-2"/>
                <w:sz w:val="24"/>
                <w:szCs w:val="24"/>
              </w:rPr>
            </w:pPr>
            <w:r>
              <w:rPr>
                <w:rFonts w:hint="eastAsia" w:asciiTheme="minorEastAsia" w:hAnsiTheme="minorEastAsia"/>
                <w:sz w:val="24"/>
              </w:rPr>
              <w:t xml:space="preserve">综合实力</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投标人具有①ISO9001质量管理体系认证证书、②ISO20000信息技术服务管理体系认证、③ISO45001职业健康安全体系认证、④大数据服务安全能力评价认证证书、⑤信息系统建设和服务能力评估（CS）证书的，</w:t>
            </w:r>
            <w:r>
              <w:rPr>
                <w:rFonts w:hint="eastAsia" w:asciiTheme="minorEastAsia" w:hAnsiTheme="minorEastAsia"/>
                <w:sz w:val="24"/>
              </w:rPr>
              <w:t xml:space="preserve">有一项得1分，最高得5分。</w:t>
            </w:r>
            <w:r/>
          </w:p>
          <w:p>
            <w:pPr>
              <w:spacing w:line="400" w:lineRule="exact"/>
              <w:rPr>
                <w:rFonts w:ascii="宋体" w:hAnsi="宋体" w:eastAsia="宋体" w:cs="宋体"/>
                <w:sz w:val="24"/>
                <w:szCs w:val="24"/>
              </w:rPr>
            </w:pPr>
            <w:r>
              <w:rPr>
                <w:rFonts w:hint="eastAsia" w:ascii="宋体" w:hAnsi="宋体" w:eastAsia="宋体" w:cs="宋体"/>
                <w:b/>
                <w:bCs/>
                <w:sz w:val="24"/>
                <w:szCs w:val="24"/>
              </w:rPr>
              <w:t xml:space="preserve">（须提供有效期内的证书扫描件）</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tcW w:w="1074" w:type="dxa"/>
            <w:vAlign w:val="center"/>
            <w:vMerge w:val="continue"/>
            <w:textDirection w:val="lrTb"/>
            <w:noWrap w:val="false"/>
          </w:tcPr>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3.2</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项目负责人</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投标人为本项目配备的项目负责人具有①一级建造师（机电工程）证书、②信息系统项目管理师证书的，有一项得1分，最高得2分。</w:t>
            </w:r>
            <w:r/>
          </w:p>
          <w:p>
            <w:pPr>
              <w:spacing w:line="400" w:lineRule="exact"/>
              <w:rPr>
                <w:rFonts w:ascii="宋体" w:hAnsi="宋体"/>
                <w:sz w:val="24"/>
              </w:rPr>
            </w:pPr>
            <w:r>
              <w:rPr>
                <w:rFonts w:hint="eastAsia" w:ascii="宋体" w:hAnsi="宋体" w:eastAsia="宋体" w:cs="宋体"/>
                <w:b/>
                <w:bCs/>
                <w:sz w:val="24"/>
                <w:szCs w:val="24"/>
              </w:rPr>
              <w:t xml:space="preserve">【须提供证书扫描件，且须提供</w:t>
            </w:r>
            <w:r>
              <w:rPr>
                <w:rFonts w:hint="eastAsia" w:ascii="宋体" w:hAnsi="宋体" w:eastAsia="宋体" w:cs="仿宋"/>
                <w:b/>
                <w:bCs/>
                <w:sz w:val="24"/>
                <w:szCs w:val="24"/>
              </w:rPr>
              <w:t xml:space="preserve">本单位近3个月（含投标当月）中任意1个月份为其缴纳社保的证明扫描件】</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1074" w:type="dxa"/>
            <w:vAlign w:val="center"/>
            <w:vMerge w:val="continue"/>
            <w:textDirection w:val="lrTb"/>
            <w:noWrap w:val="false"/>
          </w:tcPr>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3.3</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技术负责人</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投标人为本项目配备的技术负责人具有①系统集成项目管理工程师证书、②数据安全管理师证书的，有一项得1分，最高得2分。</w:t>
            </w:r>
            <w:r/>
          </w:p>
          <w:p>
            <w:pPr>
              <w:spacing w:line="400" w:lineRule="exact"/>
              <w:rPr>
                <w:rFonts w:ascii="宋体" w:hAnsi="宋体"/>
                <w:sz w:val="24"/>
              </w:rPr>
            </w:pPr>
            <w:r>
              <w:rPr>
                <w:rFonts w:hint="eastAsia" w:ascii="宋体" w:hAnsi="宋体" w:eastAsia="宋体" w:cs="宋体"/>
                <w:b/>
                <w:bCs/>
                <w:sz w:val="24"/>
                <w:szCs w:val="24"/>
              </w:rPr>
              <w:t xml:space="preserve">【须提供证书扫描件，且须提供</w:t>
            </w:r>
            <w:r>
              <w:rPr>
                <w:rFonts w:hint="eastAsia" w:ascii="宋体" w:hAnsi="宋体" w:eastAsia="宋体" w:cs="仿宋"/>
                <w:b/>
                <w:bCs/>
                <w:sz w:val="24"/>
                <w:szCs w:val="24"/>
              </w:rPr>
              <w:t xml:space="preserve">本单位近3个月（含投标当月）中任意1个月份为其缴纳社保的证明扫描件】</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1074" w:type="dxa"/>
            <w:vAlign w:val="center"/>
            <w:vMerge w:val="continue"/>
            <w:textDirection w:val="lrTb"/>
            <w:noWrap w:val="false"/>
          </w:tcPr>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3.4</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cs="宋体"/>
                <w:sz w:val="24"/>
              </w:rPr>
              <w:t xml:space="preserve">项目组其他成员</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w:t>
            </w:r>
            <w:r>
              <w:rPr>
                <w:rFonts w:hint="eastAsia" w:ascii="宋体" w:hAnsi="宋体" w:cs="宋体"/>
                <w:sz w:val="24"/>
              </w:rPr>
              <w:t xml:space="preserve">项目组其他成员</w:t>
            </w:r>
            <w:r>
              <w:rPr>
                <w:rFonts w:hint="eastAsia" w:ascii="宋体" w:hAnsi="宋体"/>
                <w:sz w:val="24"/>
              </w:rPr>
              <w:t xml:space="preserve">（不含项目负责人和技术负责人）（2分）：</w:t>
            </w:r>
            <w:r/>
          </w:p>
          <w:p>
            <w:pPr>
              <w:spacing w:line="400" w:lineRule="exact"/>
              <w:rPr>
                <w:rFonts w:ascii="宋体" w:hAnsi="宋体"/>
                <w:sz w:val="24"/>
              </w:rPr>
            </w:pPr>
            <w:r>
              <w:rPr>
                <w:rFonts w:hint="eastAsia" w:ascii="宋体" w:hAnsi="宋体"/>
                <w:sz w:val="24"/>
              </w:rPr>
              <w:t xml:space="preserve">a.具备网络规划设计师证书的，得1分。</w:t>
            </w:r>
            <w:r/>
          </w:p>
          <w:p>
            <w:pPr>
              <w:spacing w:line="400" w:lineRule="exact"/>
              <w:rPr>
                <w:rFonts w:ascii="宋体" w:hAnsi="宋体"/>
                <w:sz w:val="24"/>
              </w:rPr>
            </w:pPr>
            <w:r>
              <w:rPr>
                <w:rFonts w:hint="eastAsia" w:ascii="宋体" w:hAnsi="宋体"/>
                <w:sz w:val="24"/>
              </w:rPr>
              <w:t xml:space="preserve">b.具备注册信息安全专业人员（CISP）证书的，得0.5分。</w:t>
            </w:r>
            <w:r/>
          </w:p>
          <w:p>
            <w:pPr>
              <w:spacing w:line="400" w:lineRule="exact"/>
              <w:rPr>
                <w:rFonts w:ascii="宋体" w:hAnsi="宋体"/>
                <w:sz w:val="24"/>
              </w:rPr>
            </w:pPr>
            <w:r>
              <w:rPr>
                <w:rFonts w:hint="eastAsia" w:ascii="宋体" w:hAnsi="宋体"/>
                <w:sz w:val="24"/>
              </w:rPr>
              <w:t xml:space="preserve">c.具备IT服务工程师证书的，得0.5分。</w:t>
            </w:r>
            <w:r/>
          </w:p>
          <w:p>
            <w:pPr>
              <w:spacing w:line="400" w:lineRule="exact"/>
              <w:rPr>
                <w:rFonts w:ascii="宋体" w:hAnsi="宋体"/>
                <w:sz w:val="24"/>
              </w:rPr>
            </w:pPr>
            <w:r>
              <w:rPr>
                <w:rFonts w:hint="eastAsia" w:ascii="宋体" w:hAnsi="宋体"/>
                <w:sz w:val="24"/>
              </w:rPr>
              <w:t xml:space="preserve">【</w:t>
            </w:r>
            <w:r>
              <w:rPr>
                <w:rFonts w:hint="eastAsia" w:ascii="宋体" w:hAnsi="宋体" w:cs="宋体"/>
                <w:b/>
                <w:sz w:val="24"/>
              </w:rPr>
              <w:t xml:space="preserve">同一人员具有多张证书不重复得分。</w:t>
            </w:r>
            <w:r>
              <w:rPr>
                <w:rFonts w:hint="eastAsia" w:ascii="宋体" w:hAnsi="宋体" w:eastAsia="宋体" w:cs="宋体"/>
                <w:b/>
                <w:bCs/>
                <w:color w:val="000000"/>
                <w:sz w:val="24"/>
                <w:szCs w:val="24"/>
                <w:lang w:bidi="ar"/>
              </w:rPr>
              <w:t xml:space="preserve">须提供人员名单、证书扫描件</w:t>
            </w:r>
            <w:r>
              <w:rPr>
                <w:rFonts w:hint="eastAsia" w:ascii="宋体" w:hAnsi="宋体" w:eastAsia="宋体" w:cs="Times New Roman"/>
                <w:b/>
                <w:bCs/>
                <w:sz w:val="24"/>
                <w:szCs w:val="24"/>
              </w:rPr>
              <w:t xml:space="preserve">，且须提供本单位近3个月（含投标当月）中任意1个月份为其缴纳社保的证明扫描件</w:t>
            </w:r>
            <w:r>
              <w:rPr>
                <w:rFonts w:hint="eastAsia" w:ascii="宋体" w:hAnsi="宋体" w:cs="宋体"/>
                <w:b/>
                <w:sz w:val="24"/>
              </w:rPr>
              <w:t xml:space="preserve">】</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1074" w:type="dxa"/>
            <w:vAlign w:val="center"/>
            <w:vMerge w:val="continue"/>
            <w:textDirection w:val="lrTb"/>
            <w:noWrap w:val="false"/>
          </w:tcPr>
          <w:p>
            <w:pPr>
              <w:jc w:val="center"/>
              <w:spacing w:before="68"/>
              <w:rPr>
                <w:rFonts w:ascii="宋体" w:hAnsi="宋体" w:eastAsia="宋体" w:cs="宋体"/>
                <w:spacing w:val="-2"/>
                <w:sz w:val="24"/>
                <w:szCs w:val="24"/>
              </w:rPr>
            </w:pPr>
            <w:r>
              <w:rPr>
                <w:rFonts w:ascii="宋体" w:hAnsi="宋体" w:eastAsia="宋体" w:cs="宋体"/>
                <w:spacing w:val="-2"/>
                <w:sz w:val="24"/>
                <w:szCs w:val="24"/>
              </w:rPr>
            </w:r>
            <w:r/>
          </w:p>
        </w:tc>
        <w:tc>
          <w:tcPr>
            <w:tcW w:w="844" w:type="dxa"/>
            <w:vAlign w:val="center"/>
            <w:textDirection w:val="lrTb"/>
            <w:noWrap w:val="false"/>
          </w:tcPr>
          <w:p>
            <w:pPr>
              <w:jc w:val="center"/>
              <w:spacing w:before="68"/>
              <w:rPr>
                <w:rFonts w:ascii="宋体" w:hAnsi="宋体" w:eastAsia="宋体" w:cs="宋体"/>
                <w:spacing w:val="-2"/>
                <w:sz w:val="24"/>
                <w:szCs w:val="24"/>
              </w:rPr>
            </w:pPr>
            <w:r>
              <w:rPr>
                <w:rFonts w:hint="eastAsia" w:ascii="宋体" w:hAnsi="宋体" w:eastAsia="宋体" w:cs="宋体"/>
                <w:spacing w:val="-2"/>
                <w:sz w:val="24"/>
                <w:szCs w:val="24"/>
              </w:rPr>
              <w:t xml:space="preserve">3.5</w:t>
            </w:r>
            <w:r/>
          </w:p>
        </w:tc>
        <w:tc>
          <w:tcPr>
            <w:tcW w:w="107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pacing w:val="-1"/>
                <w:sz w:val="24"/>
                <w:szCs w:val="24"/>
              </w:rPr>
              <w:t xml:space="preserve">投标人业绩</w:t>
            </w:r>
            <w:r/>
          </w:p>
        </w:tc>
        <w:tc>
          <w:tcPr>
            <w:tcW w:w="5933" w:type="dxa"/>
            <w:vAlign w:val="center"/>
            <w:textDirection w:val="lrTb"/>
            <w:noWrap w:val="false"/>
          </w:tcPr>
          <w:p>
            <w:pPr>
              <w:spacing w:line="400" w:lineRule="exact"/>
              <w:rPr>
                <w:rFonts w:ascii="宋体" w:hAnsi="宋体"/>
                <w:sz w:val="24"/>
              </w:rPr>
            </w:pPr>
            <w:r>
              <w:rPr>
                <w:rFonts w:hint="eastAsia" w:ascii="宋体" w:hAnsi="宋体"/>
                <w:sz w:val="24"/>
              </w:rPr>
              <w:t xml:space="preserve">投标人提供2023年1月1日以来（以合同签订日期为准）类似项目业绩（智能化类），有一个得0.5分，最高得2分。</w:t>
            </w:r>
            <w:r>
              <w:rPr>
                <w:rFonts w:hint="eastAsia" w:ascii="宋体" w:hAnsi="宋体"/>
                <w:b/>
                <w:bCs/>
                <w:sz w:val="24"/>
              </w:rPr>
              <w:t xml:space="preserve">（须提供有效合同扫描件）</w:t>
            </w:r>
            <w:r/>
          </w:p>
        </w:tc>
        <w:tc>
          <w:tcPr>
            <w:tcW w:w="679" w:type="dxa"/>
            <w:vAlign w:val="center"/>
            <w:textDirection w:val="lrTb"/>
            <w:noWrap w:val="false"/>
          </w:tcPr>
          <w:p>
            <w:pPr>
              <w:jc w:val="center"/>
              <w:spacing w:before="68"/>
              <w:rPr>
                <w:rFonts w:ascii="宋体" w:hAnsi="宋体" w:eastAsia="宋体" w:cs="宋体"/>
                <w:sz w:val="24"/>
                <w:szCs w:val="24"/>
              </w:rPr>
            </w:pPr>
            <w:r>
              <w:rPr>
                <w:rFonts w:hint="eastAsia" w:ascii="宋体" w:hAnsi="宋体" w:eastAsia="宋体" w:cs="宋体"/>
                <w:sz w:val="24"/>
                <w:szCs w:val="24"/>
              </w:rPr>
              <w:t xml:space="preserve">2</w:t>
            </w:r>
            <w:r/>
          </w:p>
        </w:tc>
      </w:tr>
    </w:tbl>
    <w:p>
      <w:pPr>
        <w:jc w:val="center"/>
        <w:spacing w:line="400" w:lineRule="exact"/>
        <w:rPr>
          <w:rFonts w:ascii="黑体" w:hAnsi="宋体" w:eastAsia="黑体"/>
          <w:sz w:val="30"/>
          <w:szCs w:val="30"/>
        </w:rPr>
      </w:pPr>
      <w:r>
        <w:rPr>
          <w:rFonts w:ascii="黑体" w:hAnsi="宋体" w:eastAsia="黑体"/>
          <w:sz w:val="30"/>
          <w:szCs w:val="30"/>
        </w:rPr>
      </w:r>
      <w:r/>
    </w:p>
    <w:p>
      <w:pP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1"/>
        <w:outlineLvl w:val="9"/>
      </w:pPr>
      <w:r/>
      <w:bookmarkStart w:id="12" w:name="_Toc251268363"/>
      <w:r/>
      <w:r/>
    </w:p>
    <w:p>
      <w:pPr>
        <w:pStyle w:val="881"/>
      </w:pPr>
      <w:r/>
      <w:bookmarkStart w:id="13" w:name="_Toc12146"/>
      <w:r>
        <w:rPr>
          <w:rFonts w:hint="eastAsia"/>
        </w:rPr>
        <w:t xml:space="preserve">第五章　合同书（格式）</w:t>
      </w:r>
      <w:bookmarkEnd w:id="1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是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合同金额的5％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合同签订时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bookmarkStart w:id="23" w:name="_GoBack"/>
      <w:r/>
      <w:bookmarkEnd w:id="23"/>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乙方不履行与甲方订立的合同的，履约保证金不予退还</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bookmarkEnd w:id="12"/>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0"/>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881"/>
        <w:outlineLvl w:val="9"/>
      </w:pPr>
      <w:r/>
      <w:r/>
    </w:p>
    <w:p>
      <w:pPr>
        <w:pStyle w:val="881"/>
      </w:pPr>
      <w:r/>
      <w:bookmarkStart w:id="14" w:name="_Toc3567"/>
      <w:r>
        <w:rPr>
          <w:rFonts w:hint="eastAsia"/>
        </w:rPr>
        <w:t xml:space="preserve">第六章　投标文件的组成和格式</w:t>
      </w:r>
      <w:bookmarkEnd w:id="14"/>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5" w:name="_Toc222799676"/>
      <w:r/>
      <w:bookmarkStart w:id="16"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JSZC-320281-JZCG-G2026-0007</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江阴市高中学位扩充项目（山观高中改造）智能化项目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7" w:name="_Toc145474400"/>
      <w:r/>
      <w:bookmarkStart w:id="18" w:name="_Toc158691780"/>
      <w:r/>
      <w:bookmarkStart w:id="19" w:name="_Toc194386107"/>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r/>
      <w:bookmarkEnd w:id="18"/>
      <w:r/>
      <w:bookmarkEnd w:id="19"/>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0" w:name="_Toc129333640"/>
      <w:r/>
      <w:bookmarkStart w:id="21" w:name="_Toc158691783"/>
      <w:r/>
      <w:bookmarkStart w:id="22"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Style w:val="86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5"/>
      <w:r/>
      <w:bookmarkEnd w:id="16"/>
      <w:r/>
      <w:bookmarkEnd w:id="20"/>
      <w:r/>
      <w:bookmarkEnd w:id="21"/>
      <w:r/>
      <w:bookmarkEnd w:id="22"/>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tbl>
      <w:tblPr>
        <w:tblStyle w:val="860"/>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791"/>
        <w:gridCol w:w="827"/>
        <w:gridCol w:w="1099"/>
        <w:gridCol w:w="1235"/>
        <w:gridCol w:w="731"/>
        <w:gridCol w:w="851"/>
        <w:gridCol w:w="708"/>
        <w:gridCol w:w="709"/>
        <w:gridCol w:w="1276"/>
        <w:gridCol w:w="726"/>
        <w:gridCol w:w="10"/>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是否属于     小、微型企业产品</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6、如有需要说明的事项，请在备注中列明。</w:t>
      </w:r>
      <w:r/>
    </w:p>
    <w:p>
      <w:pPr>
        <w:ind w:firstLine="420"/>
        <w:spacing w:line="360" w:lineRule="exact"/>
        <w:rPr>
          <w:rFonts w:ascii="宋体" w:hAnsi="宋体" w:eastAsia="宋体" w:cs="Times New Roman"/>
          <w:bCs/>
          <w:sz w:val="24"/>
          <w:szCs w:val="24"/>
        </w:rPr>
      </w:pPr>
      <w:r>
        <w:rPr>
          <w:rFonts w:hint="eastAsia" w:ascii="宋体" w:hAnsi="宋体" w:eastAsia="宋体" w:cs="Times New Roman"/>
          <w:szCs w:val="21"/>
        </w:rPr>
        <w:t xml:space="preserve">7、监狱企业、残疾人福利性单位视同小型、微型企业。</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60"/>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0"/>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江阴市城市重点建设项目管理中心</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rPr>
        <w:t xml:space="preserve">江阴市高中学位扩充项目（山观高中改造）智能化项目</w:t>
      </w:r>
      <w:r>
        <w:rPr>
          <w:rFonts w:hint="eastAsia" w:ascii="宋体" w:hAnsi="宋体" w:eastAsia="宋体" w:cs="仿宋"/>
          <w:sz w:val="24"/>
          <w:szCs w:val="24"/>
          <w:u w:val="single"/>
          <w:lang w:eastAsia="zh-TW"/>
        </w:rPr>
        <w:t xml:space="preserve">采购活动</w:t>
      </w:r>
      <w:r>
        <w:rPr>
          <w:rFonts w:hint="eastAsia" w:ascii="宋体" w:hAnsi="宋体" w:eastAsia="宋体" w:cs="仿宋"/>
          <w:sz w:val="24"/>
          <w:szCs w:val="24"/>
          <w:lang w:eastAsia="zh-TW"/>
        </w:rPr>
        <w:t xml:space="preserve">，提供的货物全部由符合政策要求的中小企业制造。相关企业（含联合体中的中小企业、签订分包意向协议的中小企业）的具体情况如下：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（采购文件中明确的所属行业）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（采购文件中明确的所属行业）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仿宋_GB2312">
    <w:panose1 w:val="02010609060101010101"/>
  </w:font>
  <w:font w:name="黑体">
    <w:panose1 w:val="02010609060101010101"/>
  </w:font>
  <w:font w:name="DFKai-SB">
    <w:panose1 w:val="03050502040202030202"/>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72"/>
          <w:jc w:val="center"/>
        </w:pPr>
        <w:r>
          <w:fldChar w:fldCharType="begin"/>
        </w:r>
        <w:r>
          <w:instrText xml:space="preserve">PAGE   \* MERGEFORMAT</w:instrText>
        </w:r>
        <w:r>
          <w:fldChar w:fldCharType="separate"/>
        </w:r>
        <w:r>
          <w:rPr>
            <w:lang w:val="zh-CN"/>
          </w:rPr>
          <w:t xml:space="preserve">-</w:t>
        </w:r>
        <w:r>
          <w:t xml:space="preserve"> 73 -</w:t>
        </w:r>
        <w:r>
          <w:fldChar w:fldCharType="end"/>
        </w:r>
        <w:r/>
      </w:p>
    </w:sdtContent>
  </w:sdt>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1</w:t>
    </w:r>
    <w:r>
      <w:fldChar w:fldCharType="end"/>
    </w:r>
    <w:r/>
  </w:p>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rPr>
      <w:t xml:space="preserve">JSZC-320281-JZCG-G2026-0007江阴市高中学位扩充项目（山观高中改造）智能化项目           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pStyle w:val="858"/>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59"/>
    <w:link w:val="856"/>
    <w:uiPriority w:val="9"/>
    <w:rPr>
      <w:rFonts w:ascii="Arial" w:hAnsi="Arial" w:eastAsia="Arial" w:cs="Arial"/>
      <w:sz w:val="40"/>
      <w:szCs w:val="40"/>
    </w:rPr>
  </w:style>
  <w:style w:type="paragraph" w:styleId="697">
    <w:name w:val="Heading 2"/>
    <w:basedOn w:val="855"/>
    <w:next w:val="855"/>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basedOn w:val="859"/>
    <w:link w:val="697"/>
    <w:uiPriority w:val="9"/>
    <w:rPr>
      <w:rFonts w:ascii="Arial" w:hAnsi="Arial" w:eastAsia="Arial" w:cs="Arial"/>
      <w:sz w:val="34"/>
    </w:rPr>
  </w:style>
  <w:style w:type="character" w:styleId="699">
    <w:name w:val="Heading 3 Char"/>
    <w:basedOn w:val="859"/>
    <w:link w:val="857"/>
    <w:uiPriority w:val="9"/>
    <w:rPr>
      <w:rFonts w:ascii="Arial" w:hAnsi="Arial" w:eastAsia="Arial" w:cs="Arial"/>
      <w:sz w:val="30"/>
      <w:szCs w:val="30"/>
    </w:rPr>
  </w:style>
  <w:style w:type="character" w:styleId="700">
    <w:name w:val="Heading 4 Char"/>
    <w:basedOn w:val="859"/>
    <w:link w:val="858"/>
    <w:uiPriority w:val="9"/>
    <w:rPr>
      <w:rFonts w:ascii="Arial" w:hAnsi="Arial" w:eastAsia="Arial" w:cs="Arial"/>
      <w:b/>
      <w:bCs/>
      <w:sz w:val="26"/>
      <w:szCs w:val="26"/>
    </w:rPr>
  </w:style>
  <w:style w:type="paragraph" w:styleId="701">
    <w:name w:val="Heading 5"/>
    <w:basedOn w:val="855"/>
    <w:next w:val="855"/>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59"/>
    <w:link w:val="701"/>
    <w:uiPriority w:val="9"/>
    <w:rPr>
      <w:rFonts w:ascii="Arial" w:hAnsi="Arial" w:eastAsia="Arial" w:cs="Arial"/>
      <w:b/>
      <w:bCs/>
      <w:sz w:val="24"/>
      <w:szCs w:val="24"/>
    </w:rPr>
  </w:style>
  <w:style w:type="paragraph" w:styleId="703">
    <w:name w:val="Heading 6"/>
    <w:basedOn w:val="855"/>
    <w:next w:val="855"/>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59"/>
    <w:link w:val="703"/>
    <w:uiPriority w:val="9"/>
    <w:rPr>
      <w:rFonts w:ascii="Arial" w:hAnsi="Arial" w:eastAsia="Arial" w:cs="Arial"/>
      <w:b/>
      <w:bCs/>
      <w:sz w:val="22"/>
      <w:szCs w:val="22"/>
    </w:rPr>
  </w:style>
  <w:style w:type="paragraph" w:styleId="705">
    <w:name w:val="Heading 7"/>
    <w:basedOn w:val="855"/>
    <w:next w:val="855"/>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59"/>
    <w:link w:val="705"/>
    <w:uiPriority w:val="9"/>
    <w:rPr>
      <w:rFonts w:ascii="Arial" w:hAnsi="Arial" w:eastAsia="Arial" w:cs="Arial"/>
      <w:b/>
      <w:bCs/>
      <w:i/>
      <w:iCs/>
      <w:sz w:val="22"/>
      <w:szCs w:val="22"/>
    </w:rPr>
  </w:style>
  <w:style w:type="paragraph" w:styleId="707">
    <w:name w:val="Heading 8"/>
    <w:basedOn w:val="855"/>
    <w:next w:val="855"/>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59"/>
    <w:link w:val="707"/>
    <w:uiPriority w:val="9"/>
    <w:rPr>
      <w:rFonts w:ascii="Arial" w:hAnsi="Arial" w:eastAsia="Arial" w:cs="Arial"/>
      <w:i/>
      <w:iCs/>
      <w:sz w:val="22"/>
      <w:szCs w:val="22"/>
    </w:rPr>
  </w:style>
  <w:style w:type="paragraph" w:styleId="709">
    <w:name w:val="Heading 9"/>
    <w:basedOn w:val="855"/>
    <w:next w:val="855"/>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59"/>
    <w:link w:val="709"/>
    <w:uiPriority w:val="9"/>
    <w:rPr>
      <w:rFonts w:ascii="Arial" w:hAnsi="Arial" w:eastAsia="Arial" w:cs="Arial"/>
      <w:i/>
      <w:iCs/>
      <w:sz w:val="21"/>
      <w:szCs w:val="21"/>
    </w:rPr>
  </w:style>
  <w:style w:type="character" w:styleId="711">
    <w:name w:val="Title Char"/>
    <w:basedOn w:val="859"/>
    <w:link w:val="881"/>
    <w:uiPriority w:val="10"/>
    <w:rPr>
      <w:sz w:val="48"/>
      <w:szCs w:val="48"/>
    </w:rPr>
  </w:style>
  <w:style w:type="paragraph" w:styleId="712">
    <w:name w:val="Subtitle"/>
    <w:basedOn w:val="855"/>
    <w:next w:val="855"/>
    <w:link w:val="713"/>
    <w:uiPriority w:val="11"/>
    <w:qFormat/>
    <w:pPr>
      <w:spacing w:before="200" w:after="200"/>
    </w:pPr>
    <w:rPr>
      <w:sz w:val="24"/>
      <w:szCs w:val="24"/>
    </w:rPr>
  </w:style>
  <w:style w:type="character" w:styleId="713">
    <w:name w:val="Subtitle Char"/>
    <w:basedOn w:val="859"/>
    <w:link w:val="712"/>
    <w:uiPriority w:val="11"/>
    <w:rPr>
      <w:sz w:val="24"/>
      <w:szCs w:val="24"/>
    </w:rPr>
  </w:style>
  <w:style w:type="paragraph" w:styleId="714">
    <w:name w:val="Quote"/>
    <w:basedOn w:val="855"/>
    <w:next w:val="855"/>
    <w:link w:val="715"/>
    <w:uiPriority w:val="29"/>
    <w:qFormat/>
    <w:pPr>
      <w:ind w:left="720" w:right="720"/>
    </w:pPr>
    <w:rPr>
      <w:i/>
    </w:rPr>
  </w:style>
  <w:style w:type="character" w:styleId="715">
    <w:name w:val="Quote Char"/>
    <w:link w:val="714"/>
    <w:uiPriority w:val="29"/>
    <w:rPr>
      <w:i/>
    </w:rPr>
  </w:style>
  <w:style w:type="paragraph" w:styleId="716">
    <w:name w:val="Intense Quote"/>
    <w:basedOn w:val="855"/>
    <w:next w:val="85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59"/>
    <w:link w:val="874"/>
    <w:uiPriority w:val="99"/>
  </w:style>
  <w:style w:type="character" w:styleId="719">
    <w:name w:val="Footer Char"/>
    <w:basedOn w:val="859"/>
    <w:link w:val="872"/>
    <w:uiPriority w:val="99"/>
  </w:style>
  <w:style w:type="paragraph" w:styleId="720">
    <w:name w:val="Caption"/>
    <w:basedOn w:val="855"/>
    <w:next w:val="855"/>
    <w:uiPriority w:val="35"/>
    <w:semiHidden/>
    <w:unhideWhenUsed/>
    <w:qFormat/>
    <w:pPr>
      <w:spacing w:line="276" w:lineRule="auto"/>
    </w:pPr>
    <w:rPr>
      <w:b/>
      <w:bCs/>
      <w:color w:val="4f81bd" w:themeColor="accent1"/>
      <w:sz w:val="18"/>
      <w:szCs w:val="18"/>
    </w:rPr>
  </w:style>
  <w:style w:type="character" w:styleId="721">
    <w:name w:val="Caption Char"/>
    <w:basedOn w:val="720"/>
    <w:link w:val="872"/>
    <w:uiPriority w:val="99"/>
  </w:style>
  <w:style w:type="table" w:styleId="722">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55"/>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59"/>
    <w:uiPriority w:val="99"/>
    <w:unhideWhenUsed/>
    <w:rPr>
      <w:vertAlign w:val="superscript"/>
    </w:rPr>
  </w:style>
  <w:style w:type="paragraph" w:styleId="850">
    <w:name w:val="endnote text"/>
    <w:basedOn w:val="855"/>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59"/>
    <w:uiPriority w:val="99"/>
    <w:semiHidden/>
    <w:unhideWhenUsed/>
    <w:rPr>
      <w:vertAlign w:val="superscript"/>
    </w:r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6">
    <w:name w:val="Heading 1"/>
    <w:basedOn w:val="855"/>
    <w:next w:val="855"/>
    <w:uiPriority w:val="9"/>
    <w:qFormat/>
    <w:pPr>
      <w:keepLines/>
      <w:keepNext/>
      <w:spacing w:before="340" w:after="330" w:line="578" w:lineRule="auto"/>
      <w:outlineLvl w:val="0"/>
    </w:pPr>
    <w:rPr>
      <w:b/>
      <w:bCs/>
      <w:sz w:val="44"/>
      <w:szCs w:val="44"/>
    </w:rPr>
  </w:style>
  <w:style w:type="paragraph" w:styleId="857">
    <w:name w:val="Heading 3"/>
    <w:basedOn w:val="855"/>
    <w:next w:val="855"/>
    <w:uiPriority w:val="9"/>
    <w:qFormat/>
    <w:pPr>
      <w:keepLines/>
      <w:keepNext/>
      <w:spacing w:before="260" w:after="260" w:line="413" w:lineRule="auto"/>
      <w:outlineLvl w:val="2"/>
    </w:pPr>
    <w:rPr>
      <w:b/>
      <w:bCs/>
      <w:sz w:val="32"/>
      <w:szCs w:val="32"/>
    </w:rPr>
  </w:style>
  <w:style w:type="paragraph" w:styleId="858">
    <w:name w:val="Heading 4"/>
    <w:basedOn w:val="855"/>
    <w:next w:val="855"/>
    <w:link w:val="905"/>
    <w:uiPriority w:val="9"/>
    <w:unhideWhenUsed/>
    <w:qFormat/>
    <w:pPr>
      <w:numPr>
        <w:ilvl w:val="3"/>
        <w:numId w:val="1"/>
      </w:numPr>
      <w:ind w:left="0" w:firstLine="0"/>
      <w:keepLines/>
      <w:keepNext/>
      <w:spacing w:line="377" w:lineRule="auto"/>
      <w:outlineLvl w:val="3"/>
    </w:pPr>
    <w:rPr>
      <w:rFonts w:asciiTheme="majorHAnsi" w:hAnsiTheme="majorHAnsi" w:cstheme="majorBidi"/>
      <w:b/>
      <w:bCs/>
      <w:szCs w:val="28"/>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55"/>
    <w:next w:val="855"/>
    <w:uiPriority w:val="39"/>
    <w:unhideWhenUsed/>
    <w:qFormat/>
    <w:pPr>
      <w:ind w:left="1260"/>
      <w:jc w:val="left"/>
    </w:pPr>
    <w:rPr>
      <w:sz w:val="18"/>
      <w:szCs w:val="18"/>
    </w:rPr>
  </w:style>
  <w:style w:type="paragraph" w:styleId="862">
    <w:name w:val="Normal Indent"/>
    <w:basedOn w:val="855"/>
    <w:uiPriority w:val="99"/>
    <w:qFormat/>
    <w:pPr>
      <w:ind w:firstLine="420"/>
      <w:jc w:val="left"/>
      <w:widowControl/>
    </w:pPr>
    <w:rPr>
      <w:rFonts w:eastAsia="楷体_GB2312"/>
      <w:sz w:val="24"/>
      <w:szCs w:val="20"/>
    </w:rPr>
  </w:style>
  <w:style w:type="paragraph" w:styleId="863">
    <w:name w:val="annotation text"/>
    <w:basedOn w:val="855"/>
    <w:link w:val="895"/>
    <w:uiPriority w:val="99"/>
    <w:semiHidden/>
    <w:unhideWhenUsed/>
    <w:qFormat/>
    <w:pPr>
      <w:jc w:val="left"/>
    </w:pPr>
  </w:style>
  <w:style w:type="paragraph" w:styleId="864">
    <w:name w:val="index 6"/>
    <w:basedOn w:val="855"/>
    <w:next w:val="855"/>
    <w:uiPriority w:val="99"/>
    <w:semiHidden/>
    <w:unhideWhenUsed/>
    <w:qFormat/>
    <w:pPr>
      <w:ind w:left="1000"/>
    </w:pPr>
  </w:style>
  <w:style w:type="paragraph" w:styleId="865">
    <w:name w:val="Body Text"/>
    <w:basedOn w:val="855"/>
    <w:link w:val="898"/>
    <w:uiPriority w:val="0"/>
    <w:qFormat/>
    <w:pPr>
      <w:spacing w:line="360" w:lineRule="auto"/>
    </w:pPr>
    <w:rPr>
      <w:rFonts w:ascii="楷体_GB2312" w:hAnsi="Times New Roman" w:eastAsia="楷体_GB2312" w:cs="Times New Roman"/>
      <w:bCs/>
      <w:sz w:val="28"/>
      <w:szCs w:val="24"/>
    </w:rPr>
  </w:style>
  <w:style w:type="paragraph" w:styleId="866">
    <w:name w:val="Body Text Indent"/>
    <w:basedOn w:val="855"/>
    <w:link w:val="902"/>
    <w:uiPriority w:val="99"/>
    <w:semiHidden/>
    <w:unhideWhenUsed/>
    <w:qFormat/>
    <w:pPr>
      <w:ind w:left="420"/>
      <w:spacing w:after="120"/>
    </w:pPr>
  </w:style>
  <w:style w:type="paragraph" w:styleId="867">
    <w:name w:val="Block Text"/>
    <w:basedOn w:val="855"/>
    <w:uiPriority w:val="0"/>
    <w:qFormat/>
    <w:pPr>
      <w:spacing w:line="400" w:lineRule="exact"/>
    </w:pPr>
    <w:rPr>
      <w:sz w:val="24"/>
    </w:rPr>
  </w:style>
  <w:style w:type="paragraph" w:styleId="868">
    <w:name w:val="toc 5"/>
    <w:basedOn w:val="855"/>
    <w:next w:val="855"/>
    <w:uiPriority w:val="39"/>
    <w:unhideWhenUsed/>
    <w:qFormat/>
    <w:pPr>
      <w:ind w:left="840"/>
      <w:jc w:val="left"/>
    </w:pPr>
    <w:rPr>
      <w:sz w:val="18"/>
      <w:szCs w:val="18"/>
    </w:rPr>
  </w:style>
  <w:style w:type="paragraph" w:styleId="869">
    <w:name w:val="toc 3"/>
    <w:basedOn w:val="855"/>
    <w:next w:val="855"/>
    <w:uiPriority w:val="39"/>
    <w:unhideWhenUsed/>
    <w:qFormat/>
    <w:pPr>
      <w:ind w:left="420"/>
      <w:jc w:val="left"/>
    </w:pPr>
    <w:rPr>
      <w:i/>
      <w:iCs/>
      <w:sz w:val="20"/>
      <w:szCs w:val="20"/>
    </w:rPr>
  </w:style>
  <w:style w:type="paragraph" w:styleId="870">
    <w:name w:val="toc 8"/>
    <w:basedOn w:val="855"/>
    <w:next w:val="855"/>
    <w:uiPriority w:val="39"/>
    <w:unhideWhenUsed/>
    <w:qFormat/>
    <w:pPr>
      <w:ind w:left="1470"/>
      <w:jc w:val="left"/>
    </w:pPr>
    <w:rPr>
      <w:sz w:val="18"/>
      <w:szCs w:val="18"/>
    </w:rPr>
  </w:style>
  <w:style w:type="paragraph" w:styleId="871">
    <w:name w:val="Balloon Text"/>
    <w:basedOn w:val="855"/>
    <w:link w:val="893"/>
    <w:uiPriority w:val="99"/>
    <w:semiHidden/>
    <w:unhideWhenUsed/>
    <w:qFormat/>
    <w:rPr>
      <w:sz w:val="18"/>
      <w:szCs w:val="18"/>
    </w:rPr>
  </w:style>
  <w:style w:type="paragraph" w:styleId="872">
    <w:name w:val="Footer"/>
    <w:basedOn w:val="855"/>
    <w:link w:val="891"/>
    <w:uiPriority w:val="99"/>
    <w:unhideWhenUsed/>
    <w:qFormat/>
    <w:pPr>
      <w:jc w:val="left"/>
      <w:tabs>
        <w:tab w:val="center" w:pos="4153" w:leader="none"/>
        <w:tab w:val="right" w:pos="8306" w:leader="none"/>
      </w:tabs>
    </w:pPr>
    <w:rPr>
      <w:sz w:val="18"/>
      <w:szCs w:val="18"/>
    </w:rPr>
  </w:style>
  <w:style w:type="paragraph" w:styleId="873">
    <w:name w:val="envelope return"/>
    <w:basedOn w:val="855"/>
    <w:uiPriority w:val="0"/>
    <w:qFormat/>
    <w:pPr>
      <w:jc w:val="left"/>
      <w:tabs>
        <w:tab w:val="left" w:pos="1630" w:leader="none"/>
      </w:tabs>
    </w:pPr>
    <w:rPr>
      <w:rFonts w:ascii="Arial" w:hAnsi="Arial" w:eastAsia="DFKai-SB" w:cs="Arial"/>
      <w:sz w:val="28"/>
      <w:lang w:eastAsia="zh-TW"/>
    </w:rPr>
  </w:style>
  <w:style w:type="paragraph" w:styleId="874">
    <w:name w:val="Header"/>
    <w:basedOn w:val="855"/>
    <w:link w:val="8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5"/>
    <w:next w:val="855"/>
    <w:uiPriority w:val="39"/>
    <w:unhideWhenUsed/>
    <w:qFormat/>
    <w:pPr>
      <w:jc w:val="left"/>
      <w:spacing w:before="120" w:after="120"/>
    </w:pPr>
    <w:rPr>
      <w:b/>
      <w:bCs/>
      <w:caps/>
      <w:sz w:val="20"/>
      <w:szCs w:val="20"/>
    </w:rPr>
  </w:style>
  <w:style w:type="paragraph" w:styleId="876">
    <w:name w:val="toc 4"/>
    <w:basedOn w:val="855"/>
    <w:next w:val="855"/>
    <w:uiPriority w:val="39"/>
    <w:unhideWhenUsed/>
    <w:qFormat/>
    <w:pPr>
      <w:ind w:left="630"/>
      <w:jc w:val="left"/>
    </w:pPr>
    <w:rPr>
      <w:sz w:val="18"/>
      <w:szCs w:val="18"/>
    </w:rPr>
  </w:style>
  <w:style w:type="paragraph" w:styleId="877">
    <w:name w:val="toc 6"/>
    <w:basedOn w:val="855"/>
    <w:next w:val="855"/>
    <w:uiPriority w:val="39"/>
    <w:unhideWhenUsed/>
    <w:qFormat/>
    <w:pPr>
      <w:ind w:left="1050"/>
      <w:jc w:val="left"/>
    </w:pPr>
    <w:rPr>
      <w:sz w:val="18"/>
      <w:szCs w:val="18"/>
    </w:rPr>
  </w:style>
  <w:style w:type="paragraph" w:styleId="878">
    <w:name w:val="toc 2"/>
    <w:basedOn w:val="855"/>
    <w:next w:val="855"/>
    <w:uiPriority w:val="39"/>
    <w:unhideWhenUsed/>
    <w:qFormat/>
    <w:pPr>
      <w:ind w:left="210"/>
      <w:jc w:val="left"/>
    </w:pPr>
    <w:rPr>
      <w:smallCaps/>
      <w:sz w:val="20"/>
      <w:szCs w:val="20"/>
    </w:rPr>
  </w:style>
  <w:style w:type="paragraph" w:styleId="879">
    <w:name w:val="toc 9"/>
    <w:basedOn w:val="855"/>
    <w:next w:val="855"/>
    <w:uiPriority w:val="39"/>
    <w:unhideWhenUsed/>
    <w:qFormat/>
    <w:pPr>
      <w:ind w:left="1680"/>
      <w:jc w:val="left"/>
    </w:pPr>
    <w:rPr>
      <w:sz w:val="18"/>
      <w:szCs w:val="18"/>
    </w:rPr>
  </w:style>
  <w:style w:type="paragraph" w:styleId="880">
    <w:name w:val="Normal (Web)"/>
    <w:basedOn w:val="855"/>
    <w:uiPriority w:val="99"/>
    <w:semiHidden/>
    <w:unhideWhenUsed/>
    <w:qFormat/>
    <w:pPr>
      <w:jc w:val="left"/>
      <w:spacing w:beforeAutospacing="1" w:afterAutospacing="1"/>
    </w:pPr>
    <w:rPr>
      <w:rFonts w:cs="Times New Roman"/>
      <w:sz w:val="24"/>
    </w:rPr>
  </w:style>
  <w:style w:type="paragraph" w:styleId="881">
    <w:name w:val="Title"/>
    <w:basedOn w:val="855"/>
    <w:next w:val="855"/>
    <w:link w:val="889"/>
    <w:uiPriority w:val="10"/>
    <w:qFormat/>
    <w:pPr>
      <w:jc w:val="center"/>
      <w:spacing w:line="400" w:lineRule="exact"/>
      <w:outlineLvl w:val="0"/>
    </w:pPr>
    <w:rPr>
      <w:rFonts w:eastAsia="黑体" w:asciiTheme="majorHAnsi" w:hAnsiTheme="majorHAnsi" w:cstheme="majorBidi"/>
      <w:bCs/>
      <w:sz w:val="30"/>
      <w:szCs w:val="32"/>
    </w:rPr>
  </w:style>
  <w:style w:type="paragraph" w:styleId="882">
    <w:name w:val="annotation subject"/>
    <w:basedOn w:val="863"/>
    <w:next w:val="863"/>
    <w:link w:val="896"/>
    <w:uiPriority w:val="99"/>
    <w:semiHidden/>
    <w:unhideWhenUsed/>
    <w:qFormat/>
    <w:rPr>
      <w:b/>
      <w:bCs/>
    </w:rPr>
  </w:style>
  <w:style w:type="paragraph" w:styleId="883">
    <w:name w:val="Body Text First Indent 2"/>
    <w:basedOn w:val="866"/>
    <w:uiPriority w:val="0"/>
    <w:qFormat/>
    <w:pPr>
      <w:ind w:firstLine="420"/>
      <w:jc w:val="left"/>
      <w:spacing w:before="160" w:line="240" w:lineRule="atLeast"/>
      <w:widowControl/>
    </w:pPr>
    <w:rPr>
      <w:rFonts w:cs="Arial"/>
      <w:szCs w:val="21"/>
    </w:rPr>
  </w:style>
  <w:style w:type="table" w:styleId="884">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page number"/>
    <w:uiPriority w:val="0"/>
    <w:qFormat/>
  </w:style>
  <w:style w:type="character" w:styleId="886">
    <w:name w:val="FollowedHyperlink"/>
    <w:uiPriority w:val="99"/>
    <w:qFormat/>
    <w:rPr>
      <w:color w:val="800080"/>
      <w:u w:val="single"/>
    </w:rPr>
  </w:style>
  <w:style w:type="character" w:styleId="887">
    <w:name w:val="Hyperlink"/>
    <w:basedOn w:val="859"/>
    <w:uiPriority w:val="99"/>
    <w:unhideWhenUsed/>
    <w:qFormat/>
    <w:rPr>
      <w:color w:val="0000ff" w:themeColor="hyperlink"/>
      <w:u w:val="single"/>
      <w14:textFill>
        <w14:solidFill>
          <w14:schemeClr w14:val="hlink"/>
        </w14:solidFill>
      </w14:textFill>
    </w:rPr>
  </w:style>
  <w:style w:type="character" w:styleId="888">
    <w:name w:val="annotation reference"/>
    <w:basedOn w:val="859"/>
    <w:uiPriority w:val="99"/>
    <w:semiHidden/>
    <w:unhideWhenUsed/>
    <w:qFormat/>
    <w:rPr>
      <w:sz w:val="21"/>
      <w:szCs w:val="21"/>
    </w:rPr>
  </w:style>
  <w:style w:type="character" w:styleId="889" w:customStyle="1">
    <w:name w:val="标题 Char"/>
    <w:basedOn w:val="859"/>
    <w:link w:val="881"/>
    <w:uiPriority w:val="10"/>
    <w:qFormat/>
    <w:rPr>
      <w:rFonts w:eastAsia="黑体" w:asciiTheme="majorHAnsi" w:hAnsiTheme="majorHAnsi" w:cstheme="majorBidi"/>
      <w:bCs/>
      <w:sz w:val="30"/>
      <w:szCs w:val="32"/>
    </w:rPr>
  </w:style>
  <w:style w:type="character" w:styleId="890" w:customStyle="1">
    <w:name w:val="页眉 Char"/>
    <w:basedOn w:val="859"/>
    <w:link w:val="874"/>
    <w:uiPriority w:val="99"/>
    <w:qFormat/>
    <w:rPr>
      <w:sz w:val="18"/>
      <w:szCs w:val="18"/>
    </w:rPr>
  </w:style>
  <w:style w:type="character" w:styleId="891" w:customStyle="1">
    <w:name w:val="页脚 Char"/>
    <w:basedOn w:val="859"/>
    <w:link w:val="872"/>
    <w:uiPriority w:val="99"/>
    <w:qFormat/>
    <w:rPr>
      <w:sz w:val="18"/>
      <w:szCs w:val="18"/>
    </w:rPr>
  </w:style>
  <w:style w:type="character" w:styleId="892" w:customStyle="1">
    <w:name w:val="font2800"/>
    <w:basedOn w:val="859"/>
    <w:uiPriority w:val="0"/>
    <w:qFormat/>
  </w:style>
  <w:style w:type="character" w:styleId="893" w:customStyle="1">
    <w:name w:val="批注框文本 Char"/>
    <w:basedOn w:val="859"/>
    <w:link w:val="871"/>
    <w:uiPriority w:val="99"/>
    <w:semiHidden/>
    <w:qFormat/>
    <w:rPr>
      <w:sz w:val="18"/>
      <w:szCs w:val="18"/>
    </w:rPr>
  </w:style>
  <w:style w:type="table" w:styleId="894" w:customStyle="1">
    <w:name w:val="网格型1"/>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customStyle="1">
    <w:name w:val="批注文字 Char"/>
    <w:basedOn w:val="859"/>
    <w:link w:val="863"/>
    <w:uiPriority w:val="99"/>
    <w:semiHidden/>
    <w:qFormat/>
  </w:style>
  <w:style w:type="character" w:styleId="896" w:customStyle="1">
    <w:name w:val="批注主题 Char"/>
    <w:basedOn w:val="895"/>
    <w:link w:val="882"/>
    <w:uiPriority w:val="99"/>
    <w:semiHidden/>
    <w:qFormat/>
    <w:rPr>
      <w:b/>
      <w:bCs/>
    </w:rPr>
  </w:style>
  <w:style w:type="character" w:styleId="897" w:customStyle="1">
    <w:name w:val="正文文本 Char"/>
    <w:basedOn w:val="859"/>
    <w:uiPriority w:val="99"/>
    <w:semiHidden/>
    <w:qFormat/>
  </w:style>
  <w:style w:type="character" w:styleId="898" w:customStyle="1">
    <w:name w:val="正文文本 Char1"/>
    <w:link w:val="865"/>
    <w:uiPriority w:val="0"/>
    <w:qFormat/>
    <w:rPr>
      <w:rFonts w:ascii="楷体_GB2312" w:hAnsi="Times New Roman" w:eastAsia="楷体_GB2312" w:cs="Times New Roman"/>
      <w:bCs/>
      <w:sz w:val="28"/>
      <w:szCs w:val="24"/>
    </w:rPr>
  </w:style>
  <w:style w:type="paragraph" w:styleId="899" w:customStyle="1">
    <w:name w:val="Table Paragraph"/>
    <w:basedOn w:val="855"/>
    <w:uiPriority w:val="1"/>
    <w:qFormat/>
    <w:pPr>
      <w:ind w:firstLine="260"/>
      <w:jc w:val="left"/>
      <w:spacing w:line="360" w:lineRule="auto"/>
    </w:pPr>
    <w:rPr>
      <w:rFonts w:ascii="Calibri" w:hAnsi="Calibri" w:eastAsia="仿宋" w:cs="Times New Roman"/>
      <w:sz w:val="28"/>
      <w:lang w:eastAsia="en-US"/>
    </w:rPr>
  </w:style>
  <w:style w:type="paragraph" w:styleId="900">
    <w:name w:val="No Spacing"/>
    <w:link w:val="901"/>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1" w:customStyle="1">
    <w:name w:val="无间隔 Char"/>
    <w:link w:val="900"/>
    <w:uiPriority w:val="1"/>
    <w:qFormat/>
    <w:rPr>
      <w:rFonts w:ascii="宋体" w:hAnsi="宋体"/>
      <w:sz w:val="24"/>
    </w:rPr>
  </w:style>
  <w:style w:type="character" w:styleId="902" w:customStyle="1">
    <w:name w:val="正文文本缩进 Char"/>
    <w:basedOn w:val="859"/>
    <w:link w:val="866"/>
    <w:uiPriority w:val="99"/>
    <w:semiHidden/>
    <w:qFormat/>
  </w:style>
  <w:style w:type="paragraph" w:styleId="903" w:customStyle="1">
    <w:name w:val="表格文字"/>
    <w:basedOn w:val="855"/>
    <w:next w:val="865"/>
    <w:uiPriority w:val="0"/>
    <w:qFormat/>
    <w:pPr>
      <w:jc w:val="center"/>
    </w:pPr>
    <w:rPr>
      <w:rFonts w:ascii="Calibri" w:hAnsi="Calibri" w:eastAsia="楷体_GB2312" w:cs="Times New Roman"/>
      <w:sz w:val="24"/>
      <w:szCs w:val="24"/>
    </w:rPr>
  </w:style>
  <w:style w:type="paragraph" w:styleId="904" w:customStyle="1">
    <w:name w:val="列出段落1"/>
    <w:basedOn w:val="855"/>
    <w:uiPriority w:val="0"/>
    <w:qFormat/>
    <w:pPr>
      <w:ind w:firstLine="420"/>
    </w:pPr>
    <w:rPr>
      <w:szCs w:val="20"/>
    </w:rPr>
  </w:style>
  <w:style w:type="character" w:styleId="905" w:customStyle="1">
    <w:name w:val="标题 4 Char"/>
    <w:link w:val="858"/>
    <w:uiPriority w:val="9"/>
    <w:qFormat/>
    <w:rPr>
      <w:rFonts w:asciiTheme="majorHAnsi" w:hAnsiTheme="majorHAnsi" w:eastAsiaTheme="minorEastAsia" w:cstheme="majorBidi"/>
      <w:b/>
      <w:bCs/>
      <w:sz w:val="21"/>
      <w:szCs w:val="28"/>
    </w:rPr>
  </w:style>
  <w:style w:type="character" w:styleId="906" w:customStyle="1">
    <w:name w:val="font31"/>
    <w:uiPriority w:val="0"/>
    <w:qFormat/>
    <w:rPr>
      <w:rFonts w:hint="eastAsia" w:ascii="楷体_GB2312" w:eastAsia="楷体_GB2312"/>
      <w:color w:val="ff0000"/>
      <w:sz w:val="24"/>
      <w:szCs w:val="24"/>
      <w:u w:val="none"/>
    </w:rPr>
  </w:style>
  <w:style w:type="paragraph" w:styleId="907">
    <w:name w:val="List Paragraph"/>
    <w:basedOn w:val="855"/>
    <w:uiPriority w:val="99"/>
    <w:unhideWhenUsed/>
    <w:qFormat/>
    <w:pPr>
      <w:ind w:firstLine="420"/>
    </w:pPr>
  </w:style>
  <w:style w:type="paragraph" w:styleId="908" w:customStyle="1">
    <w:name w:val="_正文段落"/>
    <w:basedOn w:val="855"/>
    <w:uiPriority w:val="0"/>
    <w:qFormat/>
    <w:pPr>
      <w:ind w:firstLine="200"/>
      <w:jc w:val="left"/>
      <w:spacing w:line="360" w:lineRule="auto"/>
    </w:pPr>
    <w:rPr>
      <w:rFonts w:ascii="宋体" w:hAnsi="宋体"/>
      <w:sz w:val="24"/>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ACFE3D-60FA-46D7-9DA3-124358BD18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5</cp:revision>
  <dcterms:created xsi:type="dcterms:W3CDTF">2026-02-27T02:15:00Z</dcterms:created>
  <dcterms:modified xsi:type="dcterms:W3CDTF">2026-02-28T02:12:12Z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F97C57F03771457594A300011D56E60F_13</vt:lpwstr>
  </property>
  <property fmtid="{D5CDD505-2E9C-101B-9397-08002B2CF9AE}" pid="4" name="KSOTemplateDocerSaveRecord">
    <vt:lpwstr>eyJoZGlkIjoiYWQzNmU2OGUyZTJkNTJmNjAwOWVmYmU0MWIzZGRjMDQiLCJ1c2VySWQiOiI0ODQxMTQzODcifQ==</vt:lpwstr>
  </property>
</Properties>
</file>