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34D33">
      <w:pPr>
        <w:spacing w:line="600" w:lineRule="exact"/>
        <w:ind w:left="2558" w:hanging="1600"/>
        <w:rPr>
          <w:rFonts w:hint="eastAsia" w:ascii="仿宋" w:hAnsi="仿宋" w:eastAsia="仿宋" w:cs="仿宋"/>
          <w:sz w:val="32"/>
          <w:lang w:val="en-US" w:eastAsia="zh-CN"/>
        </w:rPr>
      </w:pPr>
      <w:r>
        <w:rPr>
          <w:rFonts w:hint="eastAsia" w:ascii="仿宋" w:hAnsi="仿宋" w:eastAsia="仿宋" w:cs="仿宋"/>
          <w:sz w:val="32"/>
          <w:highlight w:val="none"/>
          <w:lang w:eastAsia="zh-CN"/>
        </w:rPr>
        <w:t>新能源环卫特种作业车辆采购项目-新能源车厢可卸式垃圾车</w:t>
      </w:r>
      <w:r>
        <w:rPr>
          <w:rFonts w:hint="eastAsia" w:ascii="仿宋" w:hAnsi="仿宋" w:eastAsia="仿宋" w:cs="仿宋"/>
          <w:sz w:val="32"/>
          <w:lang w:val="en-US" w:eastAsia="zh-CN"/>
        </w:rPr>
        <w:t>项目更</w:t>
      </w:r>
      <w:bookmarkStart w:id="0" w:name="_GoBack"/>
      <w:bookmarkEnd w:id="0"/>
      <w:r>
        <w:rPr>
          <w:rFonts w:hint="eastAsia" w:ascii="仿宋" w:hAnsi="仿宋" w:eastAsia="仿宋" w:cs="仿宋"/>
          <w:sz w:val="32"/>
          <w:lang w:val="en-US" w:eastAsia="zh-CN"/>
        </w:rPr>
        <w:t>正澄清的内容</w:t>
      </w:r>
    </w:p>
    <w:p w14:paraId="4DE5DC30">
      <w:pPr>
        <w:numPr>
          <w:numId w:val="0"/>
        </w:numPr>
        <w:rPr>
          <w:rFonts w:hint="eastAsia" w:ascii="仿宋" w:hAnsi="仿宋" w:eastAsia="仿宋" w:cs="仿宋"/>
          <w:sz w:val="32"/>
          <w:lang w:val="en-US" w:eastAsia="zh-CN"/>
        </w:rPr>
      </w:pPr>
      <w:r>
        <w:rPr>
          <w:rFonts w:hint="eastAsia" w:ascii="仿宋" w:hAnsi="仿宋" w:eastAsia="仿宋" w:cs="仿宋"/>
          <w:sz w:val="32"/>
          <w:lang w:val="en-US" w:eastAsia="zh-CN"/>
        </w:rPr>
        <w:t>一、原开标时间为2026年4月 3 日北京时间09：30，现更改为2026年4月 9日北京时间09：30。</w:t>
      </w:r>
    </w:p>
    <w:p w14:paraId="5B6CE315">
      <w:pPr>
        <w:numPr>
          <w:numId w:val="0"/>
        </w:numPr>
        <w:rPr>
          <w:rFonts w:hint="eastAsia" w:ascii="仿宋" w:hAnsi="仿宋" w:eastAsia="仿宋" w:cs="仿宋"/>
          <w:sz w:val="32"/>
          <w:lang w:val="en-US" w:eastAsia="zh-CN"/>
        </w:rPr>
      </w:pPr>
      <w:r>
        <w:rPr>
          <w:rFonts w:hint="eastAsia" w:ascii="仿宋" w:hAnsi="仿宋" w:eastAsia="仿宋" w:cs="仿宋"/>
          <w:sz w:val="32"/>
          <w:lang w:val="en-US" w:eastAsia="zh-CN"/>
        </w:rPr>
        <w:t>二、招标文件评标标准修改为：</w:t>
      </w:r>
    </w:p>
    <w:tbl>
      <w:tblPr>
        <w:tblStyle w:val="4"/>
        <w:tblW w:w="104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77"/>
        <w:gridCol w:w="8913"/>
      </w:tblGrid>
      <w:tr w14:paraId="3B28E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77" w:type="dxa"/>
            <w:noWrap w:val="0"/>
            <w:vAlign w:val="center"/>
          </w:tcPr>
          <w:p w14:paraId="3F3E737B">
            <w:pPr>
              <w:spacing w:after="0"/>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评分内容</w:t>
            </w:r>
          </w:p>
        </w:tc>
        <w:tc>
          <w:tcPr>
            <w:tcW w:w="8913" w:type="dxa"/>
            <w:noWrap w:val="0"/>
            <w:vAlign w:val="center"/>
          </w:tcPr>
          <w:p w14:paraId="529C0076">
            <w:pPr>
              <w:spacing w:after="0"/>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评分标准</w:t>
            </w:r>
          </w:p>
        </w:tc>
      </w:tr>
      <w:tr w14:paraId="19E73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2" w:hRule="atLeast"/>
          <w:jc w:val="center"/>
        </w:trPr>
        <w:tc>
          <w:tcPr>
            <w:tcW w:w="1577" w:type="dxa"/>
            <w:noWrap w:val="0"/>
            <w:vAlign w:val="center"/>
          </w:tcPr>
          <w:p w14:paraId="07AEA068">
            <w:pPr>
              <w:spacing w:after="0"/>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投标报价（30分）</w:t>
            </w:r>
          </w:p>
        </w:tc>
        <w:tc>
          <w:tcPr>
            <w:tcW w:w="8913" w:type="dxa"/>
            <w:noWrap w:val="0"/>
            <w:vAlign w:val="center"/>
          </w:tcPr>
          <w:p w14:paraId="723BAC11">
            <w:pPr>
              <w:spacing w:after="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各投标人价格得分=最低报价（投标人的最低评审价格）÷各投标人评审价格×30</w:t>
            </w:r>
          </w:p>
          <w:p w14:paraId="289E5C0C">
            <w:pPr>
              <w:spacing w:after="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注：得分四舍五入保留小数点后 2 位。</w:t>
            </w:r>
          </w:p>
          <w:p w14:paraId="590B0AE2">
            <w:pPr>
              <w:spacing w:after="0"/>
              <w:jc w:val="both"/>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货物全部由符合政策要求的小微企业、监狱企业、享受政府采购支持政策的残疾人福利性单位提供的（以投标人提供的《中小企业声明函》、监狱企业证明文件和《残疾人福利性单位声明函》等相关材料为准），给予10%的价格扣除，用扣除后的价格参加评审。该投标人的评审价格=《开标一览表》中的“总价”*（100%-10%）。</w:t>
            </w:r>
          </w:p>
          <w:p w14:paraId="11F5735C">
            <w:pPr>
              <w:spacing w:after="0"/>
              <w:jc w:val="both"/>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lang w:val="en-US" w:eastAsia="en-US"/>
              </w:rPr>
              <w:t>促进本国产品优惠政策：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具体以《国务院办公厅关于在政府采购中实施本国产品标准及相关政策的通知》（国办发〔2025〕34号）规定为准。</w:t>
            </w:r>
          </w:p>
        </w:tc>
      </w:tr>
      <w:tr w14:paraId="2B9B0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jc w:val="center"/>
        </w:trPr>
        <w:tc>
          <w:tcPr>
            <w:tcW w:w="1577" w:type="dxa"/>
            <w:noWrap w:val="0"/>
            <w:vAlign w:val="center"/>
          </w:tcPr>
          <w:p w14:paraId="08FA2BE0">
            <w:pPr>
              <w:spacing w:after="0"/>
              <w:jc w:val="both"/>
              <w:rPr>
                <w:rFonts w:hint="eastAsia" w:ascii="仿宋" w:hAnsi="仿宋" w:eastAsia="仿宋" w:cs="仿宋"/>
                <w:sz w:val="28"/>
                <w:szCs w:val="28"/>
                <w:highlight w:val="none"/>
                <w:lang w:val="en-US" w:eastAsia="zh-CN" w:bidi="ar-SA"/>
              </w:rPr>
            </w:pPr>
            <w:r>
              <w:rPr>
                <w:rFonts w:hint="eastAsia" w:ascii="仿宋" w:hAnsi="仿宋" w:eastAsia="仿宋" w:cs="仿宋"/>
                <w:sz w:val="28"/>
                <w:szCs w:val="28"/>
                <w:highlight w:val="none"/>
                <w:lang w:val="en-US" w:eastAsia="zh-CN" w:bidi="ar-SA"/>
              </w:rPr>
              <w:t>企业综合实力</w:t>
            </w:r>
          </w:p>
          <w:p w14:paraId="5A682291">
            <w:pPr>
              <w:spacing w:after="0"/>
              <w:jc w:val="both"/>
              <w:rPr>
                <w:rFonts w:hint="eastAsia" w:ascii="仿宋" w:hAnsi="仿宋" w:eastAsia="仿宋" w:cs="仿宋"/>
                <w:sz w:val="28"/>
                <w:szCs w:val="28"/>
                <w:highlight w:val="none"/>
                <w:lang w:val="en-US" w:eastAsia="zh-CN" w:bidi="ar-SA"/>
              </w:rPr>
            </w:pPr>
            <w:r>
              <w:rPr>
                <w:rFonts w:hint="eastAsia" w:ascii="仿宋" w:hAnsi="仿宋" w:eastAsia="仿宋" w:cs="仿宋"/>
                <w:sz w:val="28"/>
                <w:szCs w:val="28"/>
                <w:highlight w:val="none"/>
                <w:lang w:val="en-US" w:eastAsia="zh-CN" w:bidi="ar-SA"/>
              </w:rPr>
              <w:t>（3分）</w:t>
            </w:r>
          </w:p>
        </w:tc>
        <w:tc>
          <w:tcPr>
            <w:tcW w:w="8913" w:type="dxa"/>
            <w:noWrap w:val="0"/>
            <w:vAlign w:val="center"/>
          </w:tcPr>
          <w:p w14:paraId="03D5D74E">
            <w:pPr>
              <w:spacing w:after="0"/>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1.投标人或核心产品制造商具有质量管理体系认证证书的，得1分，没有不得分；注：证书须提供清晰可辨的彩色扫描件，（在有效期内，认证依据需包含ISO 9001:2015标准，以中国认证认可监督</w:t>
            </w:r>
            <w:r>
              <w:rPr>
                <w:rFonts w:hint="eastAsia" w:ascii="仿宋" w:hAnsi="仿宋" w:eastAsia="仿宋" w:cs="仿宋"/>
                <w:color w:val="auto"/>
                <w:sz w:val="28"/>
                <w:szCs w:val="28"/>
                <w:highlight w:val="none"/>
                <w:lang w:val="en-US" w:eastAsia="zh-CN" w:bidi="ar-SA"/>
              </w:rPr>
              <w:t>平台查询结果为准，网址：http://cx.cnca.cn/，投标文件中附查询结果网页截图，否则不予认定。）</w:t>
            </w:r>
          </w:p>
          <w:p w14:paraId="31B53ABF">
            <w:pPr>
              <w:spacing w:after="0"/>
              <w:jc w:val="left"/>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2.投标人或核心产品制造商具有环境管理体系认证证书的，得1分，没有不得分；注：证书须提供清晰可辨的彩色扫描件，（在有效期内，认证依据需包含ISO 14001:2015标准，以中国认证认可监督平台查询结果为准，网址：http://cx.cnca.cn/，投标文件中附查询结果网</w:t>
            </w:r>
            <w:r>
              <w:rPr>
                <w:rFonts w:hint="eastAsia" w:ascii="仿宋" w:hAnsi="仿宋" w:eastAsia="仿宋" w:cs="仿宋"/>
                <w:color w:val="auto"/>
                <w:sz w:val="28"/>
                <w:szCs w:val="28"/>
                <w:highlight w:val="none"/>
                <w:lang w:val="en-US" w:eastAsia="zh-CN" w:bidi="ar-SA"/>
              </w:rPr>
              <w:t>页截图，否则不予认定。）</w:t>
            </w:r>
          </w:p>
          <w:p w14:paraId="12BC1988">
            <w:pPr>
              <w:spacing w:after="0"/>
              <w:jc w:val="left"/>
              <w:rPr>
                <w:rFonts w:hint="eastAsia" w:ascii="仿宋" w:hAnsi="仿宋" w:eastAsia="仿宋" w:cs="仿宋"/>
                <w:sz w:val="28"/>
                <w:szCs w:val="28"/>
                <w:highlight w:val="none"/>
                <w:lang w:val="en-US" w:eastAsia="zh-CN" w:bidi="ar-SA"/>
              </w:rPr>
            </w:pPr>
            <w:r>
              <w:rPr>
                <w:rFonts w:hint="eastAsia" w:ascii="仿宋" w:hAnsi="仿宋" w:eastAsia="仿宋" w:cs="仿宋"/>
                <w:color w:val="auto"/>
                <w:sz w:val="28"/>
                <w:szCs w:val="28"/>
                <w:highlight w:val="none"/>
                <w:lang w:val="en-US" w:eastAsia="zh-CN" w:bidi="ar-SA"/>
              </w:rPr>
              <w:t>3.投标人或核心产品制造商具有职业健康安全管理体系认证证书的，得1分，没有不得分；注：证书须提供清晰可辨的彩色扫描件，（在有效期内，认证依据需包含ISO 45001:2018标准，以中国认证认可监督平台查询结果为准，网址：http://cx.cnca.cn/，投标文件中附查询结</w:t>
            </w:r>
            <w:r>
              <w:rPr>
                <w:rFonts w:hint="eastAsia" w:ascii="仿宋" w:hAnsi="仿宋" w:eastAsia="仿宋" w:cs="仿宋"/>
                <w:color w:val="auto"/>
                <w:sz w:val="28"/>
                <w:szCs w:val="28"/>
                <w:highlight w:val="none"/>
                <w:lang w:val="en-US" w:eastAsia="zh-CN" w:bidi="ar-SA"/>
              </w:rPr>
              <w:t>果网页截图，否则不予认定。）</w:t>
            </w:r>
          </w:p>
        </w:tc>
      </w:tr>
      <w:tr w14:paraId="56330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8" w:hRule="atLeast"/>
          <w:jc w:val="center"/>
        </w:trPr>
        <w:tc>
          <w:tcPr>
            <w:tcW w:w="1577" w:type="dxa"/>
            <w:noWrap w:val="0"/>
            <w:vAlign w:val="center"/>
          </w:tcPr>
          <w:p w14:paraId="6BEB5359">
            <w:pPr>
              <w:spacing w:after="0"/>
              <w:jc w:val="cente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业绩（4分）</w:t>
            </w:r>
          </w:p>
        </w:tc>
        <w:tc>
          <w:tcPr>
            <w:tcW w:w="8913" w:type="dxa"/>
            <w:noWrap w:val="0"/>
            <w:vAlign w:val="center"/>
          </w:tcPr>
          <w:p w14:paraId="4B32FABD">
            <w:pPr>
              <w:spacing w:after="0"/>
              <w:jc w:val="both"/>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提供投标人或投标产品制造商自2023年1月1日以来与本次采购项目同类或相似的业绩（时间以合同签订时间为准），每提供一份得2分，本项最多得4分。</w:t>
            </w:r>
          </w:p>
          <w:p w14:paraId="3B8B9B08">
            <w:pPr>
              <w:spacing w:after="0"/>
              <w:jc w:val="both"/>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注：需同时提供合同扫描件、中标通知书和发票，未提供不得分。</w:t>
            </w:r>
          </w:p>
        </w:tc>
      </w:tr>
      <w:tr w14:paraId="06485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577" w:type="dxa"/>
            <w:noWrap w:val="0"/>
            <w:vAlign w:val="center"/>
          </w:tcPr>
          <w:p w14:paraId="0C377684">
            <w:pPr>
              <w:spacing w:after="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技术参数（</w:t>
            </w:r>
            <w:r>
              <w:rPr>
                <w:rFonts w:hint="eastAsia" w:ascii="仿宋" w:hAnsi="仿宋" w:eastAsia="仿宋" w:cs="仿宋"/>
                <w:sz w:val="28"/>
                <w:szCs w:val="28"/>
                <w:highlight w:val="none"/>
                <w:lang w:val="en-US" w:eastAsia="zh-CN"/>
              </w:rPr>
              <w:t>20</w:t>
            </w:r>
            <w:r>
              <w:rPr>
                <w:rFonts w:hint="eastAsia" w:ascii="仿宋" w:hAnsi="仿宋" w:eastAsia="仿宋" w:cs="仿宋"/>
                <w:sz w:val="28"/>
                <w:szCs w:val="28"/>
                <w:highlight w:val="none"/>
              </w:rPr>
              <w:t>分）</w:t>
            </w:r>
          </w:p>
        </w:tc>
        <w:tc>
          <w:tcPr>
            <w:tcW w:w="8913" w:type="dxa"/>
            <w:noWrap w:val="0"/>
            <w:vAlign w:val="center"/>
          </w:tcPr>
          <w:p w14:paraId="76EDB123">
            <w:pPr>
              <w:spacing w:after="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依据投标文件中偏离表、技术规格说明</w:t>
            </w:r>
            <w:r>
              <w:rPr>
                <w:rFonts w:hint="eastAsia" w:ascii="仿宋" w:hAnsi="仿宋" w:eastAsia="仿宋" w:cs="仿宋"/>
                <w:sz w:val="28"/>
                <w:szCs w:val="28"/>
                <w:highlight w:val="none"/>
                <w:lang w:eastAsia="zh-CN"/>
              </w:rPr>
              <w:t>、产品公告页截图（如有）</w:t>
            </w:r>
            <w:r>
              <w:rPr>
                <w:rFonts w:hint="eastAsia" w:ascii="仿宋" w:hAnsi="仿宋" w:eastAsia="仿宋" w:cs="仿宋"/>
                <w:sz w:val="28"/>
                <w:szCs w:val="28"/>
                <w:highlight w:val="none"/>
              </w:rPr>
              <w:t>对招标文件采购需求</w:t>
            </w:r>
            <w:r>
              <w:rPr>
                <w:rFonts w:hint="eastAsia" w:ascii="仿宋" w:hAnsi="仿宋" w:eastAsia="仿宋" w:cs="仿宋"/>
                <w:sz w:val="28"/>
                <w:szCs w:val="28"/>
                <w:highlight w:val="none"/>
                <w:lang w:val="en-US" w:eastAsia="zh-CN"/>
              </w:rPr>
              <w:t>中的</w:t>
            </w:r>
            <w:r>
              <w:rPr>
                <w:rFonts w:hint="eastAsia" w:ascii="仿宋" w:hAnsi="仿宋" w:eastAsia="仿宋" w:cs="仿宋"/>
                <w:sz w:val="28"/>
                <w:szCs w:val="28"/>
                <w:highlight w:val="none"/>
              </w:rPr>
              <w:t>“技术</w:t>
            </w:r>
            <w:r>
              <w:rPr>
                <w:rFonts w:hint="eastAsia" w:ascii="仿宋" w:hAnsi="仿宋" w:eastAsia="仿宋" w:cs="仿宋"/>
                <w:sz w:val="28"/>
                <w:szCs w:val="28"/>
                <w:highlight w:val="none"/>
                <w:lang w:val="en-US" w:eastAsia="zh-CN"/>
              </w:rPr>
              <w:t>参数及要求</w:t>
            </w:r>
            <w:r>
              <w:rPr>
                <w:rFonts w:hint="eastAsia" w:ascii="仿宋" w:hAnsi="仿宋" w:eastAsia="仿宋" w:cs="仿宋"/>
                <w:sz w:val="28"/>
                <w:szCs w:val="28"/>
                <w:highlight w:val="none"/>
              </w:rPr>
              <w:t>”满足程度进行评价。</w:t>
            </w:r>
          </w:p>
          <w:p w14:paraId="0C69BAE6">
            <w:pPr>
              <w:spacing w:after="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满足招标文件要求的得</w:t>
            </w:r>
            <w:r>
              <w:rPr>
                <w:rFonts w:hint="eastAsia" w:ascii="仿宋" w:hAnsi="仿宋" w:eastAsia="仿宋" w:cs="仿宋"/>
                <w:sz w:val="28"/>
                <w:szCs w:val="28"/>
                <w:highlight w:val="none"/>
                <w:lang w:val="en-US" w:eastAsia="zh-CN"/>
              </w:rPr>
              <w:t>20</w:t>
            </w:r>
            <w:r>
              <w:rPr>
                <w:rFonts w:hint="eastAsia" w:ascii="仿宋" w:hAnsi="仿宋" w:eastAsia="仿宋" w:cs="仿宋"/>
                <w:sz w:val="28"/>
                <w:szCs w:val="28"/>
                <w:highlight w:val="none"/>
              </w:rPr>
              <w:t>分，次重要响应指标不满足或负偏离每项扣</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分；</w:t>
            </w:r>
            <w:r>
              <w:rPr>
                <w:rFonts w:hint="eastAsia" w:ascii="仿宋" w:hAnsi="仿宋" w:eastAsia="仿宋" w:cs="仿宋"/>
                <w:sz w:val="28"/>
                <w:szCs w:val="28"/>
                <w:highlight w:val="none"/>
                <w:lang w:eastAsia="zh-CN"/>
              </w:rPr>
              <w:t>一般</w:t>
            </w:r>
            <w:r>
              <w:rPr>
                <w:rFonts w:hint="eastAsia" w:ascii="仿宋" w:hAnsi="仿宋" w:eastAsia="仿宋" w:cs="仿宋"/>
                <w:sz w:val="28"/>
                <w:szCs w:val="28"/>
                <w:highlight w:val="none"/>
              </w:rPr>
              <w:t>响应指标如有不满足或负偏离，每一项扣</w:t>
            </w:r>
            <w:r>
              <w:rPr>
                <w:rFonts w:hint="eastAsia" w:ascii="仿宋" w:hAnsi="仿宋" w:eastAsia="仿宋" w:cs="仿宋"/>
                <w:sz w:val="28"/>
                <w:szCs w:val="28"/>
                <w:highlight w:val="none"/>
                <w:lang w:val="en-US" w:eastAsia="zh-CN"/>
              </w:rPr>
              <w:t>0.5</w:t>
            </w:r>
            <w:r>
              <w:rPr>
                <w:rFonts w:hint="eastAsia" w:ascii="仿宋" w:hAnsi="仿宋" w:eastAsia="仿宋" w:cs="仿宋"/>
                <w:sz w:val="28"/>
                <w:szCs w:val="28"/>
                <w:highlight w:val="none"/>
              </w:rPr>
              <w:t>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扣完为止。本项最高得20分，最低得0分。</w:t>
            </w:r>
          </w:p>
          <w:p w14:paraId="6CD3F03B">
            <w:pPr>
              <w:spacing w:after="0"/>
              <w:jc w:val="both"/>
              <w:rPr>
                <w:rFonts w:hint="eastAsia" w:ascii="仿宋" w:hAnsi="仿宋" w:eastAsia="仿宋" w:cs="仿宋"/>
                <w:sz w:val="28"/>
                <w:szCs w:val="28"/>
                <w:highlight w:val="none"/>
                <w:lang w:val="en-US" w:eastAsia="zh-CN"/>
              </w:rPr>
            </w:pPr>
            <w:r>
              <w:rPr>
                <w:rFonts w:hint="eastAsia" w:ascii="仿宋" w:hAnsi="仿宋" w:eastAsia="仿宋" w:cs="仿宋"/>
                <w:b/>
                <w:bCs/>
                <w:sz w:val="28"/>
                <w:szCs w:val="28"/>
                <w:highlight w:val="none"/>
              </w:rPr>
              <w:t>注：加“★”标志为实质性响应指标不允许负偏离，否则按无效投标处理；加“▲”的指标为次重要响应指标，其他为一般响应指标，未按招标文件要求提供证明材料的视为负偏离。</w:t>
            </w:r>
          </w:p>
        </w:tc>
      </w:tr>
      <w:tr w14:paraId="4FC70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1577" w:type="dxa"/>
            <w:noWrap w:val="0"/>
            <w:vAlign w:val="center"/>
          </w:tcPr>
          <w:p w14:paraId="6920366B">
            <w:pPr>
              <w:spacing w:after="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产品配置</w:t>
            </w:r>
          </w:p>
          <w:p w14:paraId="26CC01EC">
            <w:pPr>
              <w:spacing w:after="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和技术方 案(</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w:t>
            </w:r>
          </w:p>
        </w:tc>
        <w:tc>
          <w:tcPr>
            <w:tcW w:w="8913" w:type="dxa"/>
            <w:noWrap w:val="0"/>
            <w:vAlign w:val="center"/>
          </w:tcPr>
          <w:p w14:paraId="7B7D3E51">
            <w:pPr>
              <w:spacing w:after="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rPr>
              <w:t>对投标人提供的</w:t>
            </w:r>
            <w:r>
              <w:rPr>
                <w:rFonts w:hint="eastAsia" w:ascii="仿宋" w:hAnsi="仿宋" w:eastAsia="仿宋" w:cs="仿宋"/>
                <w:sz w:val="28"/>
                <w:szCs w:val="28"/>
                <w:highlight w:val="none"/>
              </w:rPr>
              <w:t>产品配置和技术方案</w:t>
            </w:r>
            <w:r>
              <w:rPr>
                <w:rFonts w:hint="eastAsia" w:ascii="仿宋" w:hAnsi="仿宋" w:eastAsia="仿宋" w:cs="仿宋"/>
                <w:b w:val="0"/>
                <w:bCs w:val="0"/>
                <w:sz w:val="28"/>
                <w:szCs w:val="28"/>
                <w:highlight w:val="none"/>
              </w:rPr>
              <w:t>进行评价</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对内容的全面性、可行性、针对性进行打分。</w:t>
            </w:r>
          </w:p>
          <w:p w14:paraId="78505DE8">
            <w:pPr>
              <w:spacing w:after="0"/>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1、全面性（5分）：</w:t>
            </w:r>
            <w:r>
              <w:rPr>
                <w:rFonts w:hint="eastAsia" w:ascii="仿宋" w:hAnsi="仿宋" w:eastAsia="仿宋" w:cs="仿宋"/>
                <w:sz w:val="28"/>
                <w:szCs w:val="28"/>
                <w:highlight w:val="none"/>
              </w:rPr>
              <w:t>产品配置和技术方案</w:t>
            </w:r>
            <w:r>
              <w:rPr>
                <w:rFonts w:hint="eastAsia" w:ascii="仿宋" w:hAnsi="仿宋" w:eastAsia="仿宋" w:cs="仿宋"/>
                <w:sz w:val="28"/>
                <w:szCs w:val="28"/>
                <w:highlight w:val="none"/>
                <w:lang w:val="en-US" w:eastAsia="zh-CN"/>
              </w:rPr>
              <w:t>包含核心部件选型与配置、整车结构布局、整车冲压焊接及防腐工艺、工况适配能力，并扩充其他相关内容，方案全面具体详实、明确合理得5分；</w:t>
            </w:r>
            <w:r>
              <w:rPr>
                <w:rFonts w:hint="eastAsia" w:ascii="仿宋" w:hAnsi="仿宋" w:eastAsia="仿宋" w:cs="仿宋"/>
                <w:sz w:val="28"/>
                <w:szCs w:val="28"/>
                <w:highlight w:val="none"/>
              </w:rPr>
              <w:t>产品配置和技术方案</w:t>
            </w:r>
            <w:r>
              <w:rPr>
                <w:rFonts w:hint="eastAsia" w:ascii="仿宋" w:hAnsi="仿宋" w:eastAsia="仿宋" w:cs="仿宋"/>
                <w:sz w:val="28"/>
                <w:szCs w:val="28"/>
                <w:highlight w:val="none"/>
                <w:lang w:val="en-US" w:eastAsia="zh-CN"/>
              </w:rPr>
              <w:t>仅包含核心部件选型与配置、整车结构布局、整车冲压焊接及防腐工艺、工况适配能力，方案较详实、合理得3分；</w:t>
            </w:r>
            <w:r>
              <w:rPr>
                <w:rFonts w:hint="eastAsia" w:ascii="仿宋" w:hAnsi="仿宋" w:eastAsia="仿宋" w:cs="仿宋"/>
                <w:sz w:val="28"/>
                <w:szCs w:val="28"/>
                <w:highlight w:val="none"/>
              </w:rPr>
              <w:t>产品配置和技术方案</w:t>
            </w:r>
            <w:r>
              <w:rPr>
                <w:rFonts w:hint="eastAsia" w:ascii="仿宋" w:hAnsi="仿宋" w:eastAsia="仿宋" w:cs="仿宋"/>
                <w:sz w:val="28"/>
                <w:szCs w:val="28"/>
                <w:highlight w:val="none"/>
                <w:lang w:val="en-US" w:eastAsia="zh-CN"/>
              </w:rPr>
              <w:t>内容有缺项，不够全面得1分。</w:t>
            </w:r>
          </w:p>
          <w:p w14:paraId="0EF96677">
            <w:pPr>
              <w:spacing w:after="0"/>
              <w:ind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2、可行性（3分）：</w:t>
            </w:r>
            <w:r>
              <w:rPr>
                <w:rFonts w:hint="eastAsia" w:ascii="仿宋" w:hAnsi="仿宋" w:eastAsia="仿宋" w:cs="仿宋"/>
                <w:sz w:val="28"/>
                <w:szCs w:val="28"/>
                <w:highlight w:val="none"/>
              </w:rPr>
              <w:t>产品配置和技术方案</w:t>
            </w:r>
            <w:r>
              <w:rPr>
                <w:rFonts w:hint="eastAsia" w:ascii="仿宋" w:hAnsi="仿宋" w:eastAsia="仿宋" w:cs="仿宋"/>
                <w:sz w:val="28"/>
                <w:szCs w:val="28"/>
                <w:highlight w:val="none"/>
                <w:lang w:val="en-US" w:eastAsia="zh-CN"/>
              </w:rPr>
              <w:t>中，其核心部件选型与配置、整车结构布局、整车冲压焊接及防腐工艺、工况适配能力及扩充其他相关内容，能够在现实中稳定交付、使用，贴合实际，切实可行得3分；</w:t>
            </w:r>
            <w:r>
              <w:rPr>
                <w:rFonts w:hint="eastAsia" w:ascii="仿宋" w:hAnsi="仿宋" w:eastAsia="仿宋" w:cs="仿宋"/>
                <w:sz w:val="28"/>
                <w:szCs w:val="28"/>
                <w:highlight w:val="none"/>
              </w:rPr>
              <w:t>产品配置和技术方案</w:t>
            </w:r>
            <w:r>
              <w:rPr>
                <w:rFonts w:hint="eastAsia" w:ascii="仿宋" w:hAnsi="仿宋" w:eastAsia="仿宋" w:cs="仿宋"/>
                <w:sz w:val="28"/>
                <w:szCs w:val="28"/>
                <w:highlight w:val="none"/>
                <w:lang w:val="en-US" w:eastAsia="zh-CN"/>
              </w:rPr>
              <w:t>仅含核心部件选型与配置、整车结构布局、整车冲压焊接及防腐工艺、工况适配能力，方案较切实可行得2分；</w:t>
            </w:r>
            <w:r>
              <w:rPr>
                <w:rFonts w:hint="eastAsia" w:ascii="仿宋" w:hAnsi="仿宋" w:eastAsia="仿宋" w:cs="仿宋"/>
                <w:sz w:val="28"/>
                <w:szCs w:val="28"/>
                <w:highlight w:val="none"/>
              </w:rPr>
              <w:t>产品配置和技术方案</w:t>
            </w:r>
            <w:r>
              <w:rPr>
                <w:rFonts w:hint="eastAsia" w:ascii="仿宋" w:hAnsi="仿宋" w:eastAsia="仿宋" w:cs="仿宋"/>
                <w:sz w:val="28"/>
                <w:szCs w:val="28"/>
                <w:highlight w:val="none"/>
                <w:lang w:val="en-US" w:eastAsia="zh-CN"/>
              </w:rPr>
              <w:t>内容有缺项，且方案不贴合实际可行性欠缺得1分；</w:t>
            </w:r>
          </w:p>
          <w:p w14:paraId="17FE4DCF">
            <w:pPr>
              <w:spacing w:after="0"/>
              <w:ind w:firstLine="280" w:firstLineChars="1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3、针对性（2分）：</w:t>
            </w:r>
            <w:r>
              <w:rPr>
                <w:rFonts w:hint="eastAsia" w:ascii="仿宋" w:hAnsi="仿宋" w:eastAsia="仿宋" w:cs="仿宋"/>
                <w:sz w:val="28"/>
                <w:szCs w:val="28"/>
                <w:highlight w:val="none"/>
              </w:rPr>
              <w:t>产品配置和技术方案</w:t>
            </w:r>
            <w:r>
              <w:rPr>
                <w:rFonts w:hint="eastAsia" w:ascii="仿宋" w:hAnsi="仿宋" w:eastAsia="仿宋" w:cs="仿宋"/>
                <w:sz w:val="28"/>
                <w:szCs w:val="28"/>
                <w:highlight w:val="none"/>
                <w:lang w:val="en-US" w:eastAsia="zh-CN"/>
              </w:rPr>
              <w:t>包含核心部件选型与配置、整车结构布局、整车冲压焊接及防腐工艺、工况适配能力及扩充的相关内容针对性强得2分；</w:t>
            </w:r>
            <w:r>
              <w:rPr>
                <w:rFonts w:hint="eastAsia" w:ascii="仿宋" w:hAnsi="仿宋" w:eastAsia="仿宋" w:cs="仿宋"/>
                <w:sz w:val="28"/>
                <w:szCs w:val="28"/>
                <w:highlight w:val="none"/>
              </w:rPr>
              <w:t>产品配置和技术方案</w:t>
            </w:r>
            <w:r>
              <w:rPr>
                <w:rFonts w:hint="eastAsia" w:ascii="仿宋" w:hAnsi="仿宋" w:eastAsia="仿宋" w:cs="仿宋"/>
                <w:sz w:val="28"/>
                <w:szCs w:val="28"/>
                <w:highlight w:val="none"/>
                <w:lang w:val="en-US" w:eastAsia="zh-CN"/>
              </w:rPr>
              <w:t>仅含核心部件选型与配置、整车结构布局、整车冲压焊接及防腐工艺、工况适配能力，方案针对性较强得1分；针对性差得0分；</w:t>
            </w:r>
          </w:p>
          <w:p w14:paraId="02DA9A1A">
            <w:pPr>
              <w:spacing w:after="0"/>
              <w:ind w:firstLine="280" w:firstLineChars="100"/>
              <w:jc w:val="both"/>
              <w:rPr>
                <w:rFonts w:hint="eastAsia" w:ascii="仿宋" w:hAnsi="仿宋" w:eastAsia="仿宋" w:cs="仿宋"/>
                <w:b/>
                <w:bCs/>
                <w:sz w:val="28"/>
                <w:szCs w:val="28"/>
                <w:highlight w:val="none"/>
              </w:rPr>
            </w:pPr>
            <w:r>
              <w:rPr>
                <w:rFonts w:hint="eastAsia" w:ascii="仿宋" w:hAnsi="仿宋" w:eastAsia="仿宋" w:cs="仿宋"/>
                <w:sz w:val="28"/>
                <w:szCs w:val="28"/>
                <w:highlight w:val="none"/>
                <w:lang w:val="en-US" w:eastAsia="zh-CN"/>
              </w:rPr>
              <w:t>未提供的得0分。本项最高得10分，最低得0分。</w:t>
            </w:r>
          </w:p>
        </w:tc>
      </w:tr>
      <w:tr w14:paraId="584C1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jc w:val="center"/>
        </w:trPr>
        <w:tc>
          <w:tcPr>
            <w:tcW w:w="1577" w:type="dxa"/>
            <w:noWrap w:val="0"/>
            <w:vAlign w:val="center"/>
          </w:tcPr>
          <w:p w14:paraId="57DC7803">
            <w:pPr>
              <w:spacing w:after="0"/>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项目实施方案</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分）</w:t>
            </w:r>
          </w:p>
        </w:tc>
        <w:tc>
          <w:tcPr>
            <w:tcW w:w="8913" w:type="dxa"/>
            <w:noWrap w:val="0"/>
            <w:vAlign w:val="center"/>
          </w:tcPr>
          <w:p w14:paraId="3DFBDDAB">
            <w:pPr>
              <w:spacing w:after="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根据投标人提供的项目实施方案包括但不限于实施过程中的生产进度计划、供货方案、应急保障方案、以及运输方案等进行评价：</w:t>
            </w:r>
          </w:p>
          <w:p w14:paraId="1C464954">
            <w:pPr>
              <w:spacing w:after="0"/>
              <w:ind w:firstLine="280" w:firstLineChars="1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全面性（5分）：项目实施方案包括实施过程中的生产进度计划、供货方案、应急保障方案、以及运输方案，并扩充其他内容，方案全面具体详实、明确合理得5分；项目实施方案仅包含实施过程中的生产进度计划、供货方案、应急保障方案、以及运输方案，方案较详实、合理得3分；项目实施方案内容有缺项，不够全面得1分。</w:t>
            </w:r>
          </w:p>
          <w:p w14:paraId="7E5A0F44">
            <w:pPr>
              <w:spacing w:after="0"/>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可行性（3分）：项目实施方案包括实施过程中的生产进度计划、供货方案、应急保障方案、以及运输方案，并扩充其他内容，方案贴合实际，能够在现实中稳定实施、使用，切实可行得3分；项目实施方案仅含实施过程中的生产进度计划、供货方案、应急保障方案、以及运输方案，方案较切实可行得2分；项目实施方案内容有缺项，且方案不贴合实际，可行性欠缺得1分；</w:t>
            </w:r>
          </w:p>
          <w:p w14:paraId="33BB58F4">
            <w:pPr>
              <w:spacing w:after="0"/>
              <w:ind w:firstLine="280" w:firstLineChars="1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针对性（2分）：项目实施方案包括实施过程中的生产进度计划、供货方案、应急保障方案、以及运输方案，并扩充其他内容，方案针对性强得2分；项目实施方案仅含实施过程中的生产进度计划、供货方案、应急保障方案、以及运输方案，针对性较强得1分；针对性差得0分；</w:t>
            </w:r>
          </w:p>
          <w:p w14:paraId="796D9D3F">
            <w:pPr>
              <w:spacing w:after="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未提供的得0分。本项最高得10分，最低得0分。</w:t>
            </w:r>
          </w:p>
        </w:tc>
      </w:tr>
      <w:tr w14:paraId="4E67A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jc w:val="center"/>
        </w:trPr>
        <w:tc>
          <w:tcPr>
            <w:tcW w:w="1577" w:type="dxa"/>
            <w:noWrap w:val="0"/>
            <w:vAlign w:val="center"/>
          </w:tcPr>
          <w:p w14:paraId="297F89E5">
            <w:pPr>
              <w:spacing w:after="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质量保障措施（10分）</w:t>
            </w:r>
          </w:p>
        </w:tc>
        <w:tc>
          <w:tcPr>
            <w:tcW w:w="8913" w:type="dxa"/>
            <w:noWrap w:val="0"/>
            <w:vAlign w:val="center"/>
          </w:tcPr>
          <w:p w14:paraId="2BC4CD07">
            <w:pPr>
              <w:spacing w:after="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根据投标人提供的质量保证措施包含但不限于生产过程的控制、质量的检测、质量保障制度等相关内容进行评价：</w:t>
            </w:r>
          </w:p>
          <w:p w14:paraId="15C25403">
            <w:pPr>
              <w:spacing w:after="0"/>
              <w:ind w:firstLine="280" w:firstLineChars="1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全面性（5分）：质量保障措施方案中能够包含生产过程的控制、质量的检测、质量保障制度，并扩充其他相关内容，方案全面具体详实、明确合理得5分；质量保障措施方案中仅包含生产过程的控制、质量的检测、质量保障制度，方案较详实合理得3分；质量保障措施方案中内容有缺项，不够全面得1分。</w:t>
            </w:r>
          </w:p>
          <w:p w14:paraId="54E5ABC8">
            <w:pPr>
              <w:spacing w:after="0"/>
              <w:ind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可行性（3分）：质量保障措施方案中生产过程的控制、质量的检测、质量保障制度及扩充的相关内容贴合实际，切实可行得3分；质量保障措施方案中生产过程的控制、质量的检测、质量保障制度较切实可行得2分；质量保障措施方案中内容有缺项，且方案不贴合实际可行性欠缺得1分；</w:t>
            </w:r>
          </w:p>
          <w:p w14:paraId="5122E37B">
            <w:pPr>
              <w:spacing w:after="0"/>
              <w:ind w:firstLine="280" w:firstLineChars="1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针对性（2分）：质量保障措施方案中生产过程的控制、质量的检测、质量保障制度及扩充的相关内容针对性强得2分；质量保障措施方案中生产过程的控制、质量的检测、质量保障制度针对性较强得1分；针对性差得0分；</w:t>
            </w:r>
          </w:p>
          <w:p w14:paraId="2CAA644A">
            <w:pPr>
              <w:spacing w:after="0"/>
              <w:jc w:val="both"/>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未提供的得0分。本项最高得10分，最低得0分。</w:t>
            </w:r>
          </w:p>
        </w:tc>
      </w:tr>
      <w:tr w14:paraId="4C6C7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1577" w:type="dxa"/>
            <w:noWrap w:val="0"/>
            <w:vAlign w:val="center"/>
          </w:tcPr>
          <w:p w14:paraId="78CBDC10">
            <w:pPr>
              <w:spacing w:after="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售后服务方案</w:t>
            </w:r>
          </w:p>
          <w:p w14:paraId="0BE78DA7">
            <w:pPr>
              <w:spacing w:after="0"/>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（10分）</w:t>
            </w:r>
          </w:p>
        </w:tc>
        <w:tc>
          <w:tcPr>
            <w:tcW w:w="8913" w:type="dxa"/>
            <w:noWrap w:val="0"/>
            <w:vAlign w:val="center"/>
          </w:tcPr>
          <w:p w14:paraId="051F07C1">
            <w:pPr>
              <w:spacing w:after="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供应商提供完整的售后服务方案，包括但不限于服务承诺及条款、服务响应方案、备件（易耗品）供应方案、服务人员配备、应急措施、质保期内和质保期外服务措施、人员培训方案等进行综合评价：  </w:t>
            </w:r>
          </w:p>
          <w:p w14:paraId="7F4E7FA5">
            <w:pPr>
              <w:spacing w:after="0"/>
              <w:ind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全面性（5分）：售后服务方案中能包含服务承诺及条款、服务响应方案、备件（易耗品）供应方案、服务人员配备、应急措施、质保期内和质保期外服务措施、人员培训方案，并能扩充其他相关内容方案全面具体详实、明确合理得5分；售后服务方案中仅包含服务承诺及条款、服务响应方案、备件（易耗品）供应方案、服务人员配备、应急措施、质保期内和质保期外服务措施、人员培训方案，方案较详实、合理得3分；售后服务方案中内容有缺项，不够全面得1分。</w:t>
            </w:r>
          </w:p>
          <w:p w14:paraId="5FC26841">
            <w:pPr>
              <w:spacing w:after="0"/>
              <w:ind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可行性（3分）：售后服务方案中能包含服务承诺及条款、服务响应方案、备件（易耗品）供应方案、服务人员配备、应急措施、质保期内和质保期外服务措施、人员培训方案及扩充的其他相关内容贴合实际，切实可行得3分；售后服务方案中仅包含服务承诺及条款、服务响应方案、备件（易耗品）供应方案、服务人员配备、应急措施、质保期内和质保期外服务措施、人员培训方案，较切实可行得2分；售后服务方案内容有缺项，且方案不贴合实际可行性欠缺得1分；</w:t>
            </w:r>
          </w:p>
          <w:p w14:paraId="293A50EC">
            <w:pPr>
              <w:spacing w:after="0"/>
              <w:ind w:firstLine="280" w:firstLineChars="1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针对性（2分）：售后服务方案中能包含服务承诺及条款、服务响应方案、备件（易耗品）供应方案、服务人员配备、应急措施、质保期内和质保期外服务措施、人员培训方案，并能扩充其他相关内容针对性强得2分；售后服务方案中仅包含服务承诺及条款、服务响应方案、备件（易耗品）供应方案、服务人员配备、应急措施、质保期内和质保期外服务措施、人员培训方案针对性较强得1分；针对性差得0分；</w:t>
            </w:r>
          </w:p>
          <w:p w14:paraId="6070F0B2">
            <w:pPr>
              <w:spacing w:after="0"/>
              <w:ind w:firstLine="280" w:firstLineChars="100"/>
              <w:jc w:val="both"/>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未提供的得0分。本项最高得10分，最低得0分。</w:t>
            </w:r>
          </w:p>
        </w:tc>
      </w:tr>
      <w:tr w14:paraId="59F47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1577" w:type="dxa"/>
            <w:noWrap w:val="0"/>
            <w:vAlign w:val="center"/>
          </w:tcPr>
          <w:p w14:paraId="1FB641AD">
            <w:pPr>
              <w:pStyle w:val="6"/>
              <w:pageBreakBefore w:val="0"/>
              <w:spacing w:line="440" w:lineRule="exact"/>
              <w:rPr>
                <w:rFonts w:hint="eastAsia" w:ascii="仿宋" w:hAnsi="仿宋" w:eastAsia="仿宋" w:cs="仿宋"/>
                <w:sz w:val="28"/>
                <w:szCs w:val="28"/>
                <w:highlight w:val="none"/>
                <w:lang w:val="en-US" w:eastAsia="zh-CN" w:bidi="ar-SA"/>
              </w:rPr>
            </w:pPr>
            <w:r>
              <w:rPr>
                <w:rFonts w:hint="eastAsia" w:ascii="仿宋" w:hAnsi="仿宋" w:eastAsia="仿宋" w:cs="仿宋"/>
                <w:sz w:val="28"/>
                <w:szCs w:val="28"/>
                <w:highlight w:val="none"/>
                <w:lang w:val="en-US" w:eastAsia="zh-CN" w:bidi="ar-SA"/>
              </w:rPr>
              <w:t>质保期</w:t>
            </w:r>
          </w:p>
          <w:p w14:paraId="73E19E4A">
            <w:pPr>
              <w:pStyle w:val="6"/>
              <w:pageBreakBefore w:val="0"/>
              <w:spacing w:line="44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bidi="ar-SA"/>
              </w:rPr>
              <w:t>（3分）</w:t>
            </w:r>
          </w:p>
        </w:tc>
        <w:tc>
          <w:tcPr>
            <w:tcW w:w="8913" w:type="dxa"/>
            <w:noWrap w:val="0"/>
            <w:vAlign w:val="center"/>
          </w:tcPr>
          <w:p w14:paraId="5A2599C6">
            <w:pPr>
              <w:spacing w:after="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综合评比各投标人的免费质保期内及质保期外的质保承诺：</w:t>
            </w:r>
          </w:p>
          <w:p w14:paraId="66F20136">
            <w:pPr>
              <w:spacing w:after="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1、整车质保3年、三电系统质保8年的得3分；</w:t>
            </w:r>
          </w:p>
          <w:p w14:paraId="41D4330E">
            <w:pPr>
              <w:spacing w:after="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2、整车质保2年、三电系统质保5年的得1分；</w:t>
            </w:r>
          </w:p>
          <w:p w14:paraId="53A62954">
            <w:pPr>
              <w:spacing w:after="0"/>
              <w:jc w:val="both"/>
              <w:rPr>
                <w:rFonts w:hint="eastAsia" w:ascii="仿宋" w:hAnsi="仿宋" w:eastAsia="仿宋" w:cs="仿宋"/>
                <w:sz w:val="28"/>
                <w:szCs w:val="28"/>
                <w:highlight w:val="none"/>
                <w:lang w:val="en-US" w:eastAsia="zh-CN"/>
              </w:rPr>
            </w:pPr>
            <w:r>
              <w:rPr>
                <w:rFonts w:hint="eastAsia" w:ascii="仿宋" w:hAnsi="仿宋" w:eastAsia="仿宋" w:cs="仿宋"/>
                <w:b/>
                <w:bCs/>
                <w:sz w:val="28"/>
                <w:szCs w:val="28"/>
                <w:highlight w:val="none"/>
                <w:lang w:val="en-US" w:eastAsia="zh-CN"/>
              </w:rPr>
              <w:t>注：投标人提供整车质保、三电系统质保的承诺书为准，承诺书格式自拟。如投标人为代理商，需同时提供相应生产厂家的质保期承诺书，否则不得分。</w:t>
            </w:r>
          </w:p>
        </w:tc>
      </w:tr>
    </w:tbl>
    <w:p w14:paraId="5B68CA60">
      <w:pPr>
        <w:numPr>
          <w:numId w:val="0"/>
        </w:numPr>
        <w:rPr>
          <w:rFonts w:hint="eastAsia" w:ascii="仿宋" w:hAnsi="仿宋" w:eastAsia="仿宋" w:cs="仿宋"/>
          <w:sz w:val="28"/>
          <w:szCs w:val="28"/>
          <w:highlight w:val="none"/>
        </w:rPr>
      </w:pPr>
      <w:r>
        <w:rPr>
          <w:rFonts w:hint="eastAsia" w:ascii="仿宋" w:hAnsi="仿宋" w:eastAsia="仿宋" w:cs="仿宋"/>
          <w:sz w:val="28"/>
          <w:szCs w:val="28"/>
          <w:highlight w:val="none"/>
        </w:rPr>
        <w:t>本章说明：本项目采用综合评分法。</w:t>
      </w:r>
    </w:p>
    <w:p w14:paraId="7C831F46">
      <w:pPr>
        <w:numPr>
          <w:numId w:val="0"/>
        </w:numPr>
        <w:rPr>
          <w:rFonts w:hint="eastAsia" w:ascii="仿宋" w:hAnsi="仿宋" w:eastAsia="仿宋" w:cs="仿宋"/>
          <w:sz w:val="28"/>
          <w:szCs w:val="28"/>
          <w:highlight w:val="none"/>
        </w:rPr>
      </w:pPr>
    </w:p>
    <w:p w14:paraId="6A7410B6">
      <w:pPr>
        <w:pBdr>
          <w:top w:val="none" w:color="000000" w:sz="0" w:space="0"/>
          <w:left w:val="none" w:color="000000" w:sz="0" w:space="0"/>
          <w:bottom w:val="none" w:color="000000" w:sz="0" w:space="0"/>
          <w:right w:val="none" w:color="000000" w:sz="0" w:space="0"/>
        </w:pBdr>
        <w:spacing w:before="0" w:after="0" w:line="519" w:lineRule="atLeast"/>
        <w:ind w:right="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三、原招标文件</w:t>
      </w:r>
      <w:r>
        <w:rPr>
          <w:rFonts w:hint="eastAsia" w:ascii="仿宋" w:hAnsi="仿宋" w:eastAsia="仿宋" w:cs="仿宋"/>
          <w:sz w:val="28"/>
          <w:szCs w:val="28"/>
          <w:highlight w:val="none"/>
          <w:lang w:val="en-US" w:eastAsia="zh-CN"/>
        </w:rPr>
        <w:t>合同专用条款中，5.5如果卖方未能按照合同规定的交货期限交货，卖方应按每天迟交合同标的金额的百分之一(1%)的比率支付违约金。违约金的总金额不超过合同总价的百分之十(10%)，违约金的支付不能免除卖方继续交付相关合同标的的义务。</w:t>
      </w:r>
    </w:p>
    <w:p w14:paraId="25B61239">
      <w:pPr>
        <w:pBdr>
          <w:top w:val="none" w:color="000000" w:sz="0" w:space="0"/>
          <w:left w:val="none" w:color="000000" w:sz="0" w:space="0"/>
          <w:bottom w:val="none" w:color="000000" w:sz="0" w:space="0"/>
          <w:right w:val="none" w:color="000000" w:sz="0" w:space="0"/>
        </w:pBdr>
        <w:spacing w:before="0" w:after="0" w:line="519" w:lineRule="atLeast"/>
        <w:ind w:right="0"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修改为：5.5如果卖方未能按照合同规定的交货期限交货，卖方应按每天迟交合同标的金额的百分之一(1%)的比率支付违约金。违约金的总金额不超过合同总价的百分之二十(20%)，违约金的支付不能免除卖方继续交付相关合同标的的义务。</w:t>
      </w:r>
    </w:p>
    <w:p w14:paraId="7C8FD5CC">
      <w:pPr>
        <w:pBdr>
          <w:top w:val="none" w:color="000000" w:sz="0" w:space="0"/>
          <w:left w:val="none" w:color="000000" w:sz="0" w:space="0"/>
          <w:bottom w:val="none" w:color="000000" w:sz="0" w:space="0"/>
          <w:right w:val="none" w:color="000000" w:sz="0" w:space="0"/>
        </w:pBdr>
        <w:spacing w:before="0" w:after="0" w:line="519" w:lineRule="atLeast"/>
        <w:ind w:right="0"/>
        <w:jc w:val="both"/>
        <w:rPr>
          <w:rFonts w:hint="eastAsia" w:ascii="仿宋" w:hAnsi="仿宋" w:eastAsia="仿宋" w:cs="仿宋"/>
          <w:sz w:val="28"/>
          <w:szCs w:val="28"/>
          <w:highlight w:val="none"/>
          <w:lang w:val="en-US" w:eastAsia="zh-CN"/>
        </w:rPr>
      </w:pPr>
    </w:p>
    <w:p w14:paraId="56A23102">
      <w:pPr>
        <w:numPr>
          <w:numId w:val="0"/>
        </w:numPr>
        <w:pBdr>
          <w:top w:val="none" w:color="000000" w:sz="0" w:space="0"/>
          <w:left w:val="none" w:color="000000" w:sz="0" w:space="0"/>
          <w:bottom w:val="none" w:color="000000" w:sz="0" w:space="0"/>
          <w:right w:val="none" w:color="000000" w:sz="0" w:space="0"/>
        </w:pBdr>
        <w:spacing w:before="0" w:after="0" w:line="519" w:lineRule="atLeast"/>
        <w:ind w:leftChars="0" w:right="0" w:rightChars="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四、招标文件合同履行的期限修改为：合同签订之日起40日内交货并调试完毕。</w:t>
      </w:r>
    </w:p>
    <w:p w14:paraId="12B08D72">
      <w:pPr>
        <w:numPr>
          <w:numId w:val="0"/>
        </w:numPr>
        <w:pBdr>
          <w:top w:val="none" w:color="000000" w:sz="0" w:space="0"/>
          <w:left w:val="none" w:color="000000" w:sz="0" w:space="0"/>
          <w:bottom w:val="none" w:color="000000" w:sz="0" w:space="0"/>
          <w:right w:val="none" w:color="000000" w:sz="0" w:space="0"/>
        </w:pBdr>
        <w:spacing w:before="0" w:after="0" w:line="519" w:lineRule="atLeast"/>
        <w:ind w:leftChars="0" w:right="0" w:rightChars="0"/>
        <w:jc w:val="both"/>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五、招标文件中采购清单修改为：</w:t>
      </w:r>
    </w:p>
    <w:tbl>
      <w:tblPr>
        <w:tblStyle w:val="4"/>
        <w:tblpPr w:leftFromText="180" w:rightFromText="180" w:vertAnchor="text" w:horzAnchor="page" w:tblpX="2251" w:tblpY="195"/>
        <w:tblOverlap w:val="never"/>
        <w:tblW w:w="7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4116"/>
        <w:gridCol w:w="817"/>
        <w:gridCol w:w="1483"/>
      </w:tblGrid>
      <w:tr w14:paraId="21F3F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045" w:type="dxa"/>
            <w:noWrap w:val="0"/>
            <w:vAlign w:val="center"/>
          </w:tcPr>
          <w:p w14:paraId="44EB3EB4">
            <w:pPr>
              <w:pageBreakBefore w:val="0"/>
              <w:wordWrap/>
              <w:topLinePunct w:val="0"/>
              <w:autoSpaceDE/>
              <w:autoSpaceDN/>
              <w:bidi w:val="0"/>
              <w:adjustRightInd/>
              <w:snapToGrid/>
              <w:spacing w:line="440" w:lineRule="exact"/>
              <w:jc w:val="center"/>
              <w:textAlignment w:val="auto"/>
              <w:rPr>
                <w:rFonts w:ascii="仿宋" w:hAnsi="仿宋" w:eastAsia="仿宋" w:cs="仿宋"/>
                <w:b/>
                <w:bCs/>
                <w:sz w:val="28"/>
                <w:szCs w:val="28"/>
              </w:rPr>
            </w:pPr>
            <w:r>
              <w:rPr>
                <w:rFonts w:hint="eastAsia" w:ascii="仿宋" w:hAnsi="仿宋" w:eastAsia="仿宋" w:cs="仿宋"/>
                <w:b/>
                <w:bCs/>
                <w:sz w:val="28"/>
                <w:szCs w:val="28"/>
              </w:rPr>
              <w:t>序号</w:t>
            </w:r>
          </w:p>
        </w:tc>
        <w:tc>
          <w:tcPr>
            <w:tcW w:w="4116" w:type="dxa"/>
            <w:noWrap w:val="0"/>
            <w:vAlign w:val="center"/>
          </w:tcPr>
          <w:p w14:paraId="73026323">
            <w:pPr>
              <w:pageBreakBefore w:val="0"/>
              <w:wordWrap/>
              <w:topLinePunct w:val="0"/>
              <w:autoSpaceDE/>
              <w:autoSpaceDN/>
              <w:bidi w:val="0"/>
              <w:adjustRightInd/>
              <w:snapToGrid/>
              <w:spacing w:line="440" w:lineRule="exact"/>
              <w:jc w:val="center"/>
              <w:textAlignment w:val="auto"/>
              <w:rPr>
                <w:rFonts w:ascii="仿宋" w:hAnsi="仿宋" w:eastAsia="仿宋" w:cs="仿宋"/>
                <w:b/>
                <w:bCs/>
                <w:sz w:val="28"/>
                <w:szCs w:val="28"/>
              </w:rPr>
            </w:pPr>
            <w:r>
              <w:rPr>
                <w:rFonts w:hint="eastAsia" w:ascii="仿宋" w:hAnsi="仿宋" w:eastAsia="仿宋" w:cs="仿宋"/>
                <w:b/>
                <w:bCs/>
                <w:sz w:val="28"/>
                <w:szCs w:val="28"/>
              </w:rPr>
              <w:t>名称</w:t>
            </w:r>
          </w:p>
        </w:tc>
        <w:tc>
          <w:tcPr>
            <w:tcW w:w="817" w:type="dxa"/>
            <w:noWrap w:val="0"/>
            <w:vAlign w:val="center"/>
          </w:tcPr>
          <w:p w14:paraId="45F82CB1">
            <w:pPr>
              <w:pageBreakBefore w:val="0"/>
              <w:wordWrap/>
              <w:topLinePunct w:val="0"/>
              <w:autoSpaceDE/>
              <w:autoSpaceDN/>
              <w:bidi w:val="0"/>
              <w:adjustRightInd/>
              <w:snapToGrid/>
              <w:spacing w:line="440" w:lineRule="exact"/>
              <w:jc w:val="center"/>
              <w:textAlignment w:val="auto"/>
              <w:rPr>
                <w:rFonts w:ascii="仿宋" w:hAnsi="仿宋" w:eastAsia="仿宋" w:cs="仿宋"/>
                <w:b/>
                <w:bCs/>
                <w:sz w:val="28"/>
                <w:szCs w:val="28"/>
              </w:rPr>
            </w:pPr>
            <w:r>
              <w:rPr>
                <w:rFonts w:hint="eastAsia" w:ascii="仿宋" w:hAnsi="仿宋" w:eastAsia="仿宋" w:cs="仿宋"/>
                <w:b/>
                <w:bCs/>
                <w:sz w:val="28"/>
                <w:szCs w:val="28"/>
              </w:rPr>
              <w:t>单位</w:t>
            </w:r>
          </w:p>
        </w:tc>
        <w:tc>
          <w:tcPr>
            <w:tcW w:w="1483" w:type="dxa"/>
            <w:noWrap w:val="0"/>
            <w:vAlign w:val="center"/>
          </w:tcPr>
          <w:p w14:paraId="01DBB716">
            <w:pPr>
              <w:pageBreakBefore w:val="0"/>
              <w:wordWrap/>
              <w:topLinePunct w:val="0"/>
              <w:autoSpaceDE/>
              <w:autoSpaceDN/>
              <w:bidi w:val="0"/>
              <w:adjustRightInd/>
              <w:snapToGrid/>
              <w:spacing w:line="440" w:lineRule="exact"/>
              <w:jc w:val="center"/>
              <w:textAlignment w:val="auto"/>
              <w:rPr>
                <w:rFonts w:ascii="仿宋" w:hAnsi="仿宋" w:eastAsia="仿宋" w:cs="仿宋"/>
                <w:b/>
                <w:bCs/>
                <w:sz w:val="28"/>
                <w:szCs w:val="28"/>
              </w:rPr>
            </w:pPr>
            <w:r>
              <w:rPr>
                <w:rFonts w:hint="eastAsia" w:ascii="仿宋" w:hAnsi="仿宋" w:eastAsia="仿宋" w:cs="仿宋"/>
                <w:b/>
                <w:bCs/>
                <w:sz w:val="28"/>
                <w:szCs w:val="28"/>
              </w:rPr>
              <w:t>数量</w:t>
            </w:r>
          </w:p>
        </w:tc>
      </w:tr>
      <w:tr w14:paraId="485AD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045" w:type="dxa"/>
            <w:noWrap w:val="0"/>
            <w:vAlign w:val="center"/>
          </w:tcPr>
          <w:p w14:paraId="5F56BEBE">
            <w:pPr>
              <w:pageBreakBefore w:val="0"/>
              <w:wordWrap/>
              <w:topLinePunct w:val="0"/>
              <w:autoSpaceDE/>
              <w:autoSpaceDN/>
              <w:bidi w:val="0"/>
              <w:adjustRightInd/>
              <w:snapToGrid/>
              <w:spacing w:line="440" w:lineRule="exact"/>
              <w:jc w:val="center"/>
              <w:textAlignment w:val="auto"/>
              <w:rPr>
                <w:rFonts w:hint="eastAsia" w:ascii="仿宋" w:hAnsi="仿宋" w:eastAsia="仿宋" w:cs="仿宋"/>
                <w:kern w:val="2"/>
                <w:sz w:val="28"/>
                <w:szCs w:val="28"/>
                <w:lang w:eastAsia="zh-CN"/>
              </w:rPr>
            </w:pPr>
            <w:r>
              <w:rPr>
                <w:rFonts w:hint="eastAsia" w:ascii="仿宋" w:hAnsi="仿宋" w:eastAsia="仿宋" w:cs="仿宋"/>
                <w:sz w:val="28"/>
                <w:szCs w:val="28"/>
                <w:lang w:val="en-US" w:eastAsia="zh-CN"/>
              </w:rPr>
              <w:t>1</w:t>
            </w:r>
          </w:p>
        </w:tc>
        <w:tc>
          <w:tcPr>
            <w:tcW w:w="4116" w:type="dxa"/>
            <w:noWrap w:val="0"/>
            <w:vAlign w:val="center"/>
          </w:tcPr>
          <w:p w14:paraId="4FB9CCA0">
            <w:pPr>
              <w:pageBreakBefore w:val="0"/>
              <w:wordWrap/>
              <w:topLinePunct w:val="0"/>
              <w:autoSpaceDE/>
              <w:autoSpaceDN/>
              <w:bidi w:val="0"/>
              <w:adjustRightInd/>
              <w:snapToGrid/>
              <w:spacing w:line="440" w:lineRule="exact"/>
              <w:textAlignment w:val="auto"/>
              <w:rPr>
                <w:rFonts w:hint="eastAsia" w:ascii="仿宋" w:hAnsi="仿宋" w:eastAsia="仿宋" w:cs="仿宋"/>
                <w:b/>
                <w:bCs/>
                <w:iCs/>
                <w:sz w:val="28"/>
                <w:szCs w:val="28"/>
              </w:rPr>
            </w:pPr>
            <w:r>
              <w:rPr>
                <w:rFonts w:hint="eastAsia" w:ascii="仿宋" w:hAnsi="仿宋" w:eastAsia="仿宋" w:cs="仿宋"/>
                <w:b/>
                <w:bCs/>
                <w:iCs/>
                <w:sz w:val="28"/>
                <w:szCs w:val="28"/>
                <w:lang w:val="en-US" w:eastAsia="zh-CN"/>
              </w:rPr>
              <w:t>31吨新能源</w:t>
            </w:r>
            <w:r>
              <w:rPr>
                <w:rFonts w:hint="eastAsia" w:ascii="仿宋" w:hAnsi="仿宋" w:eastAsia="仿宋" w:cs="仿宋"/>
                <w:b/>
                <w:bCs/>
                <w:iCs/>
                <w:sz w:val="28"/>
                <w:szCs w:val="28"/>
              </w:rPr>
              <w:t>车厢可卸式垃圾车</w:t>
            </w:r>
          </w:p>
        </w:tc>
        <w:tc>
          <w:tcPr>
            <w:tcW w:w="817" w:type="dxa"/>
            <w:noWrap w:val="0"/>
            <w:vAlign w:val="center"/>
          </w:tcPr>
          <w:p w14:paraId="2FDA462F">
            <w:pPr>
              <w:pageBreakBefore w:val="0"/>
              <w:wordWrap/>
              <w:topLinePunct w:val="0"/>
              <w:autoSpaceDE/>
              <w:autoSpaceDN/>
              <w:bidi w:val="0"/>
              <w:adjustRightInd/>
              <w:snapToGrid/>
              <w:spacing w:line="440" w:lineRule="exact"/>
              <w:jc w:val="center"/>
              <w:textAlignment w:val="auto"/>
              <w:rPr>
                <w:rFonts w:ascii="仿宋" w:hAnsi="仿宋" w:eastAsia="仿宋" w:cs="仿宋"/>
                <w:sz w:val="28"/>
                <w:szCs w:val="28"/>
              </w:rPr>
            </w:pPr>
            <w:r>
              <w:rPr>
                <w:rFonts w:hint="eastAsia" w:ascii="仿宋" w:hAnsi="仿宋" w:eastAsia="仿宋" w:cs="仿宋"/>
                <w:sz w:val="28"/>
                <w:szCs w:val="28"/>
              </w:rPr>
              <w:t>台</w:t>
            </w:r>
          </w:p>
        </w:tc>
        <w:tc>
          <w:tcPr>
            <w:tcW w:w="1483" w:type="dxa"/>
            <w:noWrap w:val="0"/>
            <w:vAlign w:val="center"/>
          </w:tcPr>
          <w:p w14:paraId="01DDC7DE">
            <w:pPr>
              <w:pageBreakBefore w:val="0"/>
              <w:wordWrap/>
              <w:topLinePunct w:val="0"/>
              <w:autoSpaceDE/>
              <w:autoSpaceDN/>
              <w:bidi w:val="0"/>
              <w:adjustRightInd/>
              <w:snapToGrid/>
              <w:spacing w:line="44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p>
        </w:tc>
      </w:tr>
      <w:tr w14:paraId="1D6F9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045" w:type="dxa"/>
            <w:noWrap w:val="0"/>
            <w:vAlign w:val="center"/>
          </w:tcPr>
          <w:p w14:paraId="4B242615">
            <w:pPr>
              <w:pageBreakBefore w:val="0"/>
              <w:wordWrap/>
              <w:topLinePunct w:val="0"/>
              <w:autoSpaceDE/>
              <w:autoSpaceDN/>
              <w:bidi w:val="0"/>
              <w:adjustRightInd/>
              <w:snapToGrid/>
              <w:spacing w:line="44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4116" w:type="dxa"/>
            <w:noWrap w:val="0"/>
            <w:vAlign w:val="center"/>
          </w:tcPr>
          <w:p w14:paraId="784F4EBC">
            <w:pPr>
              <w:pageBreakBefore w:val="0"/>
              <w:wordWrap/>
              <w:topLinePunct w:val="0"/>
              <w:autoSpaceDE/>
              <w:autoSpaceDN/>
              <w:bidi w:val="0"/>
              <w:adjustRightInd/>
              <w:snapToGrid/>
              <w:spacing w:line="440" w:lineRule="exact"/>
              <w:textAlignment w:val="auto"/>
              <w:rPr>
                <w:rFonts w:hint="default" w:ascii="仿宋" w:hAnsi="仿宋" w:eastAsia="仿宋" w:cs="仿宋"/>
                <w:b/>
                <w:bCs/>
                <w:iCs/>
                <w:sz w:val="28"/>
                <w:szCs w:val="28"/>
                <w:lang w:val="en-US" w:eastAsia="zh-CN"/>
              </w:rPr>
            </w:pPr>
            <w:r>
              <w:rPr>
                <w:rFonts w:hint="eastAsia" w:ascii="仿宋" w:hAnsi="仿宋" w:eastAsia="仿宋" w:cs="仿宋"/>
                <w:b/>
                <w:bCs/>
                <w:iCs/>
                <w:sz w:val="28"/>
                <w:szCs w:val="28"/>
                <w:lang w:val="en-US" w:eastAsia="zh-CN"/>
              </w:rPr>
              <w:t>240KW充电桩</w:t>
            </w:r>
          </w:p>
        </w:tc>
        <w:tc>
          <w:tcPr>
            <w:tcW w:w="817" w:type="dxa"/>
            <w:noWrap w:val="0"/>
            <w:vAlign w:val="center"/>
          </w:tcPr>
          <w:p w14:paraId="1C7938C0">
            <w:pPr>
              <w:pageBreakBefore w:val="0"/>
              <w:wordWrap/>
              <w:topLinePunct w:val="0"/>
              <w:autoSpaceDE/>
              <w:autoSpaceDN/>
              <w:bidi w:val="0"/>
              <w:adjustRightInd/>
              <w:snapToGrid/>
              <w:spacing w:line="44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套</w:t>
            </w:r>
          </w:p>
        </w:tc>
        <w:tc>
          <w:tcPr>
            <w:tcW w:w="1483" w:type="dxa"/>
            <w:noWrap w:val="0"/>
            <w:vAlign w:val="center"/>
          </w:tcPr>
          <w:p w14:paraId="1FC09BDF">
            <w:pPr>
              <w:pageBreakBefore w:val="0"/>
              <w:wordWrap/>
              <w:topLinePunct w:val="0"/>
              <w:autoSpaceDE/>
              <w:autoSpaceDN/>
              <w:bidi w:val="0"/>
              <w:adjustRightInd/>
              <w:snapToGrid/>
              <w:spacing w:line="440" w:lineRule="exact"/>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p>
        </w:tc>
      </w:tr>
      <w:tr w14:paraId="42866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045" w:type="dxa"/>
            <w:noWrap w:val="0"/>
            <w:vAlign w:val="center"/>
          </w:tcPr>
          <w:p w14:paraId="5CD83E78">
            <w:pPr>
              <w:pageBreakBefore w:val="0"/>
              <w:wordWrap/>
              <w:topLinePunct w:val="0"/>
              <w:autoSpaceDE/>
              <w:autoSpaceDN/>
              <w:bidi w:val="0"/>
              <w:adjustRightInd/>
              <w:snapToGrid/>
              <w:spacing w:line="44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4116" w:type="dxa"/>
            <w:noWrap w:val="0"/>
            <w:vAlign w:val="center"/>
          </w:tcPr>
          <w:p w14:paraId="4CC28CFA">
            <w:pPr>
              <w:pageBreakBefore w:val="0"/>
              <w:wordWrap/>
              <w:topLinePunct w:val="0"/>
              <w:autoSpaceDE/>
              <w:autoSpaceDN/>
              <w:bidi w:val="0"/>
              <w:adjustRightInd/>
              <w:snapToGrid/>
              <w:spacing w:line="440" w:lineRule="exact"/>
              <w:textAlignment w:val="auto"/>
              <w:rPr>
                <w:rFonts w:hint="eastAsia" w:ascii="仿宋" w:hAnsi="仿宋" w:eastAsia="仿宋" w:cs="仿宋"/>
                <w:b/>
                <w:bCs/>
                <w:iCs/>
                <w:sz w:val="28"/>
                <w:szCs w:val="28"/>
                <w:lang w:val="en-US" w:eastAsia="zh-CN"/>
              </w:rPr>
            </w:pPr>
            <w:r>
              <w:rPr>
                <w:rFonts w:hint="eastAsia" w:ascii="仿宋" w:hAnsi="仿宋" w:eastAsia="仿宋" w:cs="仿宋"/>
                <w:b/>
                <w:bCs/>
                <w:iCs/>
                <w:sz w:val="28"/>
                <w:szCs w:val="28"/>
                <w:lang w:val="en-US" w:eastAsia="zh-CN"/>
              </w:rPr>
              <w:t>400KW充电桩</w:t>
            </w:r>
          </w:p>
        </w:tc>
        <w:tc>
          <w:tcPr>
            <w:tcW w:w="817" w:type="dxa"/>
            <w:noWrap w:val="0"/>
            <w:vAlign w:val="center"/>
          </w:tcPr>
          <w:p w14:paraId="04069EC4">
            <w:pPr>
              <w:pageBreakBefore w:val="0"/>
              <w:wordWrap/>
              <w:topLinePunct w:val="0"/>
              <w:autoSpaceDE/>
              <w:autoSpaceDN/>
              <w:bidi w:val="0"/>
              <w:adjustRightInd/>
              <w:snapToGrid/>
              <w:spacing w:line="44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套</w:t>
            </w:r>
          </w:p>
        </w:tc>
        <w:tc>
          <w:tcPr>
            <w:tcW w:w="1483" w:type="dxa"/>
            <w:noWrap w:val="0"/>
            <w:vAlign w:val="center"/>
          </w:tcPr>
          <w:p w14:paraId="338E7352">
            <w:pPr>
              <w:pageBreakBefore w:val="0"/>
              <w:wordWrap/>
              <w:topLinePunct w:val="0"/>
              <w:autoSpaceDE/>
              <w:autoSpaceDN/>
              <w:bidi w:val="0"/>
              <w:adjustRightInd/>
              <w:snapToGrid/>
              <w:spacing w:line="440" w:lineRule="exact"/>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p>
        </w:tc>
      </w:tr>
    </w:tbl>
    <w:p w14:paraId="4FADFB73">
      <w:pPr>
        <w:numPr>
          <w:numId w:val="0"/>
        </w:numPr>
        <w:pBdr>
          <w:top w:val="none" w:color="000000" w:sz="0" w:space="0"/>
          <w:left w:val="none" w:color="000000" w:sz="0" w:space="0"/>
          <w:bottom w:val="none" w:color="000000" w:sz="0" w:space="0"/>
          <w:right w:val="none" w:color="000000" w:sz="0" w:space="0"/>
        </w:pBdr>
        <w:spacing w:before="0" w:after="0" w:line="519" w:lineRule="atLeast"/>
        <w:ind w:leftChars="0" w:right="0" w:rightChars="0"/>
        <w:jc w:val="both"/>
        <w:rPr>
          <w:rFonts w:hint="default" w:ascii="仿宋" w:hAnsi="仿宋" w:eastAsia="仿宋" w:cs="仿宋"/>
          <w:sz w:val="28"/>
          <w:szCs w:val="28"/>
          <w:highlight w:val="none"/>
          <w:lang w:val="en-US" w:eastAsia="zh-CN"/>
        </w:rPr>
      </w:pPr>
      <w:r>
        <w:rPr>
          <w:rFonts w:hint="eastAsia" w:cs="宋体"/>
          <w:b/>
          <w:bCs/>
          <w:sz w:val="24"/>
          <w:szCs w:val="21"/>
          <w:highlight w:val="none"/>
          <w:u w:val="none"/>
          <w:lang w:eastAsia="zh-CN"/>
        </w:rPr>
        <w:t>（</w:t>
      </w:r>
      <w:r>
        <w:rPr>
          <w:rFonts w:hint="eastAsia" w:cs="宋体"/>
          <w:b/>
          <w:bCs/>
          <w:sz w:val="24"/>
          <w:szCs w:val="21"/>
          <w:highlight w:val="none"/>
          <w:u w:val="none"/>
          <w:lang w:val="en-US" w:eastAsia="zh-CN"/>
        </w:rPr>
        <w:t>本项目核心产品为31吨新能源车厢可卸式垃圾车）</w:t>
      </w:r>
    </w:p>
    <w:p w14:paraId="2CA150E2">
      <w:pPr>
        <w:pStyle w:val="16"/>
        <w:ind w:left="1120" w:hanging="1120" w:hangingChars="400"/>
        <w:jc w:val="both"/>
        <w:rPr>
          <w:rFonts w:hint="eastAsia" w:ascii="仿宋" w:hAnsi="仿宋" w:eastAsia="仿宋" w:cs="仿宋"/>
          <w:b/>
          <w:bCs/>
          <w:color w:val="auto"/>
          <w:sz w:val="28"/>
          <w:szCs w:val="28"/>
          <w:highlight w:val="none"/>
          <w:lang w:val="en-US" w:eastAsia="zh-CN" w:bidi="ar-SA"/>
        </w:rPr>
      </w:pPr>
      <w:r>
        <w:rPr>
          <w:rFonts w:hint="eastAsia" w:ascii="仿宋" w:hAnsi="仿宋" w:eastAsia="仿宋" w:cs="仿宋"/>
          <w:sz w:val="28"/>
          <w:szCs w:val="28"/>
          <w:highlight w:val="none"/>
          <w:lang w:val="en-US" w:eastAsia="zh-CN"/>
        </w:rPr>
        <w:t>六、招标文件中</w:t>
      </w:r>
      <w:r>
        <w:rPr>
          <w:rFonts w:hint="eastAsia" w:ascii="仿宋" w:hAnsi="仿宋" w:eastAsia="仿宋" w:cs="仿宋"/>
          <w:sz w:val="28"/>
          <w:szCs w:val="28"/>
          <w:highlight w:val="none"/>
          <w:lang w:val="en-US" w:eastAsia="zh-CN"/>
        </w:rPr>
        <w:t xml:space="preserve">技术参数及要求修改为：                         </w:t>
      </w:r>
      <w:r>
        <w:rPr>
          <w:rFonts w:hint="eastAsia" w:ascii="仿宋" w:hAnsi="仿宋" w:eastAsia="仿宋" w:cs="仿宋"/>
          <w:b/>
          <w:bCs/>
          <w:color w:val="auto"/>
          <w:sz w:val="28"/>
          <w:szCs w:val="28"/>
          <w:highlight w:val="none"/>
          <w:lang w:val="en-US" w:eastAsia="zh-CN" w:bidi="ar-SA"/>
        </w:rPr>
        <w:t>31吨新能源车厢可卸式垃圾车技术参数</w:t>
      </w:r>
    </w:p>
    <w:p w14:paraId="1A6E5DB3">
      <w:pPr>
        <w:spacing w:line="360" w:lineRule="auto"/>
        <w:rPr>
          <w:rFonts w:hint="eastAsia" w:ascii="宋体" w:hAnsi="宋体" w:cs="宋体"/>
          <w:b/>
          <w:bCs/>
          <w:iCs/>
          <w:sz w:val="24"/>
          <w:highlight w:val="yellow"/>
          <w:lang w:eastAsia="zh-CN"/>
        </w:rPr>
      </w:pPr>
    </w:p>
    <w:p w14:paraId="55593480">
      <w:pPr>
        <w:spacing w:line="360" w:lineRule="auto"/>
        <w:rPr>
          <w:rFonts w:ascii="宋体"/>
          <w:sz w:val="24"/>
          <w:szCs w:val="24"/>
        </w:rPr>
      </w:pPr>
      <w:r>
        <w:rPr>
          <w:rFonts w:hint="eastAsia" w:ascii="宋体" w:hAnsi="宋体" w:cs="宋体"/>
          <w:b/>
          <w:bCs/>
          <w:iCs/>
          <w:sz w:val="24"/>
          <w:lang w:eastAsia="zh-CN"/>
        </w:rPr>
        <w:t>（</w:t>
      </w:r>
      <w:r>
        <w:rPr>
          <w:rFonts w:hint="eastAsia" w:ascii="宋体" w:hAnsi="宋体" w:cs="宋体"/>
          <w:b/>
          <w:bCs/>
          <w:iCs/>
          <w:sz w:val="24"/>
          <w:lang w:val="en-US" w:eastAsia="zh-CN"/>
        </w:rPr>
        <w:t>一</w:t>
      </w:r>
      <w:r>
        <w:rPr>
          <w:rFonts w:hint="eastAsia" w:ascii="宋体" w:hAnsi="宋体" w:cs="宋体"/>
          <w:b/>
          <w:bCs/>
          <w:iCs/>
          <w:sz w:val="24"/>
          <w:lang w:eastAsia="zh-CN"/>
        </w:rPr>
        <w:t>）</w:t>
      </w:r>
      <w:r>
        <w:rPr>
          <w:rFonts w:hint="eastAsia" w:ascii="宋体" w:hAnsi="宋体" w:cs="宋体"/>
          <w:b/>
          <w:bCs/>
          <w:iCs/>
          <w:sz w:val="24"/>
        </w:rPr>
        <w:t>主要技术参数</w:t>
      </w:r>
    </w:p>
    <w:p w14:paraId="195D0F50">
      <w:pPr>
        <w:pStyle w:val="17"/>
        <w:numPr>
          <w:ilvl w:val="0"/>
          <w:numId w:val="1"/>
        </w:numPr>
        <w:spacing w:line="360" w:lineRule="auto"/>
        <w:rPr>
          <w:rFonts w:ascii="宋体"/>
          <w:sz w:val="24"/>
          <w:szCs w:val="24"/>
        </w:rPr>
      </w:pPr>
      <w:r>
        <w:rPr>
          <w:rFonts w:hint="eastAsia" w:ascii="仿宋" w:hAnsi="仿宋" w:eastAsia="仿宋" w:cs="仿宋"/>
          <w:sz w:val="24"/>
        </w:rPr>
        <w:t>★</w:t>
      </w:r>
      <w:r>
        <w:rPr>
          <w:rFonts w:hint="eastAsia" w:ascii="宋体" w:hAnsi="宋体"/>
          <w:sz w:val="24"/>
          <w:szCs w:val="24"/>
        </w:rPr>
        <w:t>总质量(</w:t>
      </w:r>
      <w:r>
        <w:rPr>
          <w:rFonts w:ascii="宋体" w:hAnsi="宋体"/>
          <w:sz w:val="24"/>
          <w:szCs w:val="24"/>
        </w:rPr>
        <w:t>kg</w:t>
      </w:r>
      <w:r>
        <w:rPr>
          <w:rFonts w:hint="eastAsia" w:ascii="宋体" w:hAnsi="宋体"/>
          <w:sz w:val="24"/>
          <w:szCs w:val="24"/>
        </w:rPr>
        <w:t>)≥</w:t>
      </w:r>
      <w:r>
        <w:rPr>
          <w:rFonts w:ascii="宋体" w:hAnsi="宋体"/>
          <w:sz w:val="24"/>
          <w:szCs w:val="24"/>
        </w:rPr>
        <w:t>31000</w:t>
      </w:r>
    </w:p>
    <w:p w14:paraId="6B75AE35">
      <w:pPr>
        <w:pStyle w:val="17"/>
        <w:numPr>
          <w:ilvl w:val="0"/>
          <w:numId w:val="1"/>
        </w:numPr>
        <w:spacing w:line="360" w:lineRule="auto"/>
        <w:rPr>
          <w:rFonts w:ascii="宋体"/>
          <w:sz w:val="24"/>
          <w:szCs w:val="24"/>
        </w:rPr>
      </w:pPr>
      <w:r>
        <w:rPr>
          <w:rFonts w:hint="eastAsia" w:ascii="仿宋" w:hAnsi="仿宋" w:eastAsia="仿宋" w:cs="仿宋"/>
          <w:b/>
          <w:bCs/>
          <w:sz w:val="28"/>
          <w:szCs w:val="28"/>
          <w:highlight w:val="none"/>
        </w:rPr>
        <w:t>▲</w:t>
      </w:r>
      <w:r>
        <w:rPr>
          <w:rFonts w:hint="eastAsia" w:ascii="宋体" w:hAnsi="宋体"/>
          <w:sz w:val="24"/>
          <w:szCs w:val="24"/>
          <w:lang w:val="en-US" w:eastAsia="zh-CN"/>
        </w:rPr>
        <w:t>整备</w:t>
      </w:r>
      <w:r>
        <w:rPr>
          <w:rFonts w:hint="eastAsia" w:ascii="宋体" w:hAnsi="宋体"/>
          <w:sz w:val="24"/>
          <w:szCs w:val="24"/>
        </w:rPr>
        <w:t>质量(</w:t>
      </w:r>
      <w:r>
        <w:rPr>
          <w:rFonts w:ascii="宋体" w:hAnsi="宋体"/>
          <w:sz w:val="24"/>
          <w:szCs w:val="24"/>
        </w:rPr>
        <w:t>kg</w:t>
      </w:r>
      <w:r>
        <w:rPr>
          <w:rFonts w:hint="eastAsia" w:ascii="宋体" w:hAnsi="宋体"/>
          <w:sz w:val="24"/>
          <w:szCs w:val="24"/>
        </w:rPr>
        <w:t>)≥</w:t>
      </w:r>
      <w:r>
        <w:rPr>
          <w:rFonts w:ascii="宋体" w:hAnsi="宋体"/>
          <w:sz w:val="24"/>
          <w:szCs w:val="24"/>
        </w:rPr>
        <w:t>15</w:t>
      </w:r>
      <w:r>
        <w:rPr>
          <w:rFonts w:hint="eastAsia" w:ascii="宋体" w:hAnsi="宋体"/>
          <w:sz w:val="24"/>
          <w:szCs w:val="24"/>
          <w:lang w:val="en-US" w:eastAsia="zh-CN"/>
        </w:rPr>
        <w:t>6</w:t>
      </w:r>
      <w:r>
        <w:rPr>
          <w:rFonts w:ascii="宋体" w:hAnsi="宋体"/>
          <w:sz w:val="24"/>
          <w:szCs w:val="24"/>
        </w:rPr>
        <w:t>00</w:t>
      </w:r>
    </w:p>
    <w:p w14:paraId="174EBCEE">
      <w:pPr>
        <w:pStyle w:val="17"/>
        <w:numPr>
          <w:ilvl w:val="0"/>
          <w:numId w:val="1"/>
        </w:numPr>
        <w:spacing w:line="360" w:lineRule="auto"/>
        <w:rPr>
          <w:rFonts w:ascii="宋体"/>
          <w:sz w:val="24"/>
          <w:szCs w:val="24"/>
        </w:rPr>
      </w:pPr>
      <w:r>
        <w:rPr>
          <w:rFonts w:hint="eastAsia" w:ascii="仿宋" w:hAnsi="仿宋" w:eastAsia="仿宋" w:cs="仿宋"/>
          <w:b/>
          <w:bCs/>
          <w:sz w:val="28"/>
          <w:szCs w:val="28"/>
          <w:highlight w:val="none"/>
        </w:rPr>
        <w:t>▲</w:t>
      </w:r>
      <w:r>
        <w:rPr>
          <w:rFonts w:hint="eastAsia" w:ascii="宋体" w:hAnsi="宋体"/>
          <w:sz w:val="24"/>
          <w:szCs w:val="24"/>
        </w:rPr>
        <w:t>额定载质量(</w:t>
      </w:r>
      <w:r>
        <w:rPr>
          <w:rFonts w:ascii="宋体" w:hAnsi="宋体"/>
          <w:sz w:val="24"/>
          <w:szCs w:val="24"/>
        </w:rPr>
        <w:t>kg</w:t>
      </w:r>
      <w:r>
        <w:rPr>
          <w:rFonts w:hint="eastAsia" w:ascii="宋体" w:hAnsi="宋体"/>
          <w:sz w:val="24"/>
          <w:szCs w:val="24"/>
        </w:rPr>
        <w:t>)≥</w:t>
      </w:r>
      <w:r>
        <w:rPr>
          <w:rFonts w:ascii="宋体" w:hAnsi="宋体"/>
          <w:sz w:val="24"/>
          <w:szCs w:val="24"/>
        </w:rPr>
        <w:t>15000</w:t>
      </w:r>
    </w:p>
    <w:p w14:paraId="3384B025">
      <w:pPr>
        <w:pStyle w:val="17"/>
        <w:numPr>
          <w:ilvl w:val="0"/>
          <w:numId w:val="1"/>
        </w:numPr>
        <w:spacing w:line="360" w:lineRule="auto"/>
        <w:rPr>
          <w:rFonts w:ascii="宋体"/>
          <w:sz w:val="24"/>
          <w:szCs w:val="24"/>
        </w:rPr>
      </w:pPr>
      <w:r>
        <w:rPr>
          <w:rFonts w:hint="eastAsia" w:ascii="仿宋" w:hAnsi="仿宋" w:eastAsia="仿宋" w:cs="仿宋"/>
          <w:b/>
          <w:bCs/>
          <w:sz w:val="28"/>
          <w:szCs w:val="28"/>
          <w:highlight w:val="none"/>
        </w:rPr>
        <w:t>▲</w:t>
      </w:r>
      <w:r>
        <w:rPr>
          <w:rFonts w:hint="eastAsia" w:ascii="宋体" w:hAnsi="宋体"/>
          <w:sz w:val="24"/>
          <w:szCs w:val="24"/>
        </w:rPr>
        <w:t>外型尺寸</w:t>
      </w:r>
      <w:r>
        <w:rPr>
          <w:rFonts w:hint="eastAsia" w:ascii="宋体"/>
          <w:sz w:val="24"/>
          <w:szCs w:val="24"/>
        </w:rPr>
        <w:t>:</w:t>
      </w:r>
      <w:r>
        <w:rPr>
          <w:rFonts w:hint="eastAsia" w:ascii="宋体" w:hAnsi="宋体"/>
          <w:sz w:val="24"/>
          <w:szCs w:val="24"/>
        </w:rPr>
        <w:t>长×宽×高(mm)≥</w:t>
      </w:r>
      <w:r>
        <w:rPr>
          <w:rFonts w:hint="eastAsia" w:ascii="宋体" w:hAnsi="宋体"/>
          <w:sz w:val="24"/>
          <w:szCs w:val="24"/>
          <w:lang w:val="en-US" w:eastAsia="zh-CN"/>
        </w:rPr>
        <w:t>10</w:t>
      </w:r>
      <w:r>
        <w:rPr>
          <w:rFonts w:ascii="宋体" w:hAnsi="宋体"/>
          <w:sz w:val="24"/>
          <w:szCs w:val="24"/>
        </w:rPr>
        <w:t>00</w:t>
      </w:r>
      <w:r>
        <w:rPr>
          <w:rFonts w:hint="eastAsia" w:ascii="宋体" w:hAnsi="宋体"/>
          <w:sz w:val="24"/>
          <w:szCs w:val="24"/>
          <w:lang w:val="en-US" w:eastAsia="zh-CN"/>
        </w:rPr>
        <w:t>0</w:t>
      </w:r>
      <w:r>
        <w:rPr>
          <w:rFonts w:ascii="宋体" w:hAnsi="宋体"/>
          <w:sz w:val="24"/>
          <w:szCs w:val="24"/>
        </w:rPr>
        <w:t>×25</w:t>
      </w:r>
      <w:r>
        <w:rPr>
          <w:rFonts w:hint="eastAsia" w:ascii="宋体" w:hAnsi="宋体"/>
          <w:sz w:val="24"/>
          <w:szCs w:val="24"/>
        </w:rPr>
        <w:t>0</w:t>
      </w:r>
      <w:r>
        <w:rPr>
          <w:rFonts w:ascii="宋体" w:hAnsi="宋体"/>
          <w:sz w:val="24"/>
          <w:szCs w:val="24"/>
        </w:rPr>
        <w:t>0×32</w:t>
      </w:r>
      <w:r>
        <w:rPr>
          <w:rFonts w:hint="eastAsia" w:ascii="宋体" w:hAnsi="宋体"/>
          <w:sz w:val="24"/>
          <w:szCs w:val="24"/>
        </w:rPr>
        <w:t>00</w:t>
      </w:r>
    </w:p>
    <w:p w14:paraId="581C3E07">
      <w:pPr>
        <w:pStyle w:val="17"/>
        <w:numPr>
          <w:ilvl w:val="0"/>
          <w:numId w:val="1"/>
        </w:numPr>
        <w:spacing w:line="360" w:lineRule="auto"/>
        <w:rPr>
          <w:rFonts w:ascii="宋体"/>
          <w:sz w:val="24"/>
          <w:szCs w:val="24"/>
        </w:rPr>
      </w:pPr>
      <w:r>
        <w:rPr>
          <w:rFonts w:hint="eastAsia" w:ascii="宋体" w:hAnsi="宋体" w:eastAsia="宋体"/>
          <w:sz w:val="24"/>
          <w:szCs w:val="24"/>
        </w:rPr>
        <w:t>接近角/离去角(°)≥</w:t>
      </w:r>
      <w:r>
        <w:rPr>
          <w:rFonts w:ascii="宋体" w:hAnsi="宋体" w:eastAsia="宋体"/>
          <w:sz w:val="24"/>
          <w:szCs w:val="24"/>
        </w:rPr>
        <w:t>15</w:t>
      </w:r>
      <w:r>
        <w:rPr>
          <w:rFonts w:hint="eastAsia" w:ascii="宋体" w:hAnsi="宋体" w:eastAsia="宋体"/>
          <w:sz w:val="24"/>
          <w:szCs w:val="24"/>
        </w:rPr>
        <w:t>/</w:t>
      </w:r>
      <w:r>
        <w:rPr>
          <w:rFonts w:ascii="宋体" w:hAnsi="宋体" w:eastAsia="宋体"/>
          <w:sz w:val="24"/>
          <w:szCs w:val="24"/>
        </w:rPr>
        <w:t>20</w:t>
      </w:r>
    </w:p>
    <w:p w14:paraId="6827BB1D">
      <w:pPr>
        <w:pStyle w:val="17"/>
        <w:numPr>
          <w:ilvl w:val="0"/>
          <w:numId w:val="1"/>
        </w:numPr>
        <w:spacing w:line="360" w:lineRule="auto"/>
        <w:rPr>
          <w:rFonts w:ascii="宋体"/>
          <w:sz w:val="24"/>
          <w:szCs w:val="24"/>
          <w:highlight w:val="none"/>
        </w:rPr>
      </w:pPr>
      <w:r>
        <w:rPr>
          <w:rFonts w:hint="eastAsia" w:ascii="仿宋" w:hAnsi="仿宋" w:eastAsia="仿宋" w:cs="仿宋"/>
          <w:b/>
          <w:bCs/>
          <w:sz w:val="28"/>
          <w:szCs w:val="28"/>
          <w:highlight w:val="none"/>
        </w:rPr>
        <w:t>▲</w:t>
      </w:r>
      <w:r>
        <w:rPr>
          <w:rFonts w:hint="eastAsia" w:ascii="宋体" w:hAnsi="宋体"/>
          <w:sz w:val="24"/>
          <w:szCs w:val="24"/>
          <w:highlight w:val="none"/>
          <w:lang w:val="en-US" w:eastAsia="zh-CN"/>
        </w:rPr>
        <w:t>前悬/后悬（mm）</w:t>
      </w:r>
      <w:r>
        <w:rPr>
          <w:rFonts w:hint="eastAsia" w:ascii="宋体" w:hAnsi="宋体"/>
          <w:sz w:val="24"/>
          <w:szCs w:val="24"/>
          <w:highlight w:val="none"/>
        </w:rPr>
        <w:t>≥</w:t>
      </w:r>
      <w:r>
        <w:rPr>
          <w:rFonts w:hint="eastAsia" w:ascii="宋体" w:hAnsi="宋体"/>
          <w:sz w:val="24"/>
          <w:szCs w:val="24"/>
          <w:highlight w:val="none"/>
          <w:lang w:val="en-US" w:eastAsia="zh-CN"/>
        </w:rPr>
        <w:t>1500</w:t>
      </w:r>
      <w:r>
        <w:rPr>
          <w:rFonts w:ascii="宋体" w:hAnsi="宋体"/>
          <w:sz w:val="24"/>
          <w:szCs w:val="24"/>
          <w:highlight w:val="none"/>
        </w:rPr>
        <w:t>/</w:t>
      </w:r>
      <w:r>
        <w:rPr>
          <w:rFonts w:hint="eastAsia" w:ascii="宋体" w:hAnsi="宋体"/>
          <w:sz w:val="24"/>
          <w:szCs w:val="24"/>
          <w:highlight w:val="none"/>
          <w:lang w:val="en-US" w:eastAsia="zh-CN"/>
        </w:rPr>
        <w:t>1300</w:t>
      </w:r>
    </w:p>
    <w:p w14:paraId="6CE7BED0">
      <w:pPr>
        <w:pStyle w:val="17"/>
        <w:numPr>
          <w:ilvl w:val="0"/>
          <w:numId w:val="1"/>
        </w:numPr>
        <w:spacing w:line="360" w:lineRule="auto"/>
        <w:rPr>
          <w:rFonts w:ascii="宋体" w:hAnsi="宋体" w:eastAsia="宋体"/>
          <w:sz w:val="24"/>
          <w:szCs w:val="24"/>
        </w:rPr>
      </w:pPr>
      <w:r>
        <w:rPr>
          <w:rFonts w:hint="eastAsia" w:ascii="仿宋" w:hAnsi="仿宋" w:eastAsia="仿宋" w:cs="仿宋"/>
          <w:sz w:val="24"/>
        </w:rPr>
        <w:t>★</w:t>
      </w:r>
      <w:r>
        <w:rPr>
          <w:rFonts w:hint="eastAsia" w:ascii="宋体"/>
          <w:sz w:val="24"/>
          <w:szCs w:val="24"/>
        </w:rPr>
        <w:t>电池总</w:t>
      </w:r>
      <w:r>
        <w:rPr>
          <w:rFonts w:hint="eastAsia" w:ascii="宋体" w:hAnsi="宋体" w:eastAsia="宋体"/>
          <w:sz w:val="24"/>
          <w:szCs w:val="24"/>
        </w:rPr>
        <w:t>储电量(</w:t>
      </w:r>
      <w:r>
        <w:rPr>
          <w:rFonts w:ascii="宋体" w:hAnsi="宋体" w:eastAsia="宋体"/>
          <w:sz w:val="24"/>
          <w:szCs w:val="24"/>
        </w:rPr>
        <w:t>kwh</w:t>
      </w:r>
      <w:r>
        <w:rPr>
          <w:rFonts w:hint="eastAsia" w:ascii="宋体" w:hAnsi="宋体" w:eastAsia="宋体"/>
          <w:sz w:val="24"/>
          <w:szCs w:val="24"/>
        </w:rPr>
        <w:t>)≥</w:t>
      </w:r>
      <w:r>
        <w:rPr>
          <w:rFonts w:ascii="宋体" w:hAnsi="宋体" w:eastAsia="宋体"/>
          <w:sz w:val="24"/>
          <w:szCs w:val="24"/>
        </w:rPr>
        <w:t>350</w:t>
      </w:r>
    </w:p>
    <w:p w14:paraId="3FF91189">
      <w:pPr>
        <w:pStyle w:val="17"/>
        <w:numPr>
          <w:ilvl w:val="0"/>
          <w:numId w:val="0"/>
        </w:numPr>
        <w:spacing w:line="360" w:lineRule="auto"/>
        <w:ind w:leftChars="0"/>
        <w:rPr>
          <w:rFonts w:hint="eastAsia" w:ascii="宋体" w:hAnsi="宋体" w:eastAsia="宋体"/>
          <w:sz w:val="24"/>
          <w:szCs w:val="24"/>
        </w:rPr>
      </w:pPr>
      <w:r>
        <w:rPr>
          <w:rFonts w:hint="eastAsia" w:ascii="宋体" w:hAnsi="宋体"/>
          <w:sz w:val="24"/>
          <w:szCs w:val="24"/>
          <w:lang w:val="en-US" w:eastAsia="zh-CN"/>
        </w:rPr>
        <w:t>8.</w:t>
      </w:r>
      <w:r>
        <w:rPr>
          <w:rFonts w:hint="eastAsia" w:ascii="宋体" w:hAnsi="宋体" w:eastAsia="宋体"/>
          <w:sz w:val="24"/>
          <w:szCs w:val="24"/>
        </w:rPr>
        <w:t>★</w:t>
      </w:r>
      <w:r>
        <w:rPr>
          <w:rFonts w:hint="eastAsia" w:ascii="宋体" w:hAnsi="宋体" w:eastAsia="宋体"/>
          <w:sz w:val="24"/>
          <w:szCs w:val="24"/>
          <w:lang w:val="en-US" w:eastAsia="zh-CN"/>
        </w:rPr>
        <w:t>轴距（</w:t>
      </w:r>
      <w:r>
        <w:rPr>
          <w:rFonts w:hint="eastAsia" w:ascii="宋体" w:hAnsi="宋体" w:eastAsia="宋体"/>
          <w:sz w:val="24"/>
          <w:szCs w:val="24"/>
        </w:rPr>
        <w:t>mm</w:t>
      </w:r>
      <w:r>
        <w:rPr>
          <w:rFonts w:hint="eastAsia" w:ascii="宋体" w:hAnsi="宋体" w:eastAsia="宋体"/>
          <w:sz w:val="24"/>
          <w:szCs w:val="24"/>
          <w:lang w:val="en-US" w:eastAsia="zh-CN"/>
        </w:rPr>
        <w:t>）</w:t>
      </w:r>
      <w:r>
        <w:rPr>
          <w:rFonts w:hint="eastAsia" w:ascii="宋体" w:hAnsi="宋体" w:eastAsia="宋体"/>
          <w:sz w:val="24"/>
          <w:szCs w:val="24"/>
        </w:rPr>
        <w:t>≥1800+</w:t>
      </w:r>
      <w:r>
        <w:rPr>
          <w:rFonts w:hint="eastAsia" w:ascii="宋体" w:hAnsi="宋体" w:eastAsia="宋体"/>
          <w:sz w:val="24"/>
          <w:szCs w:val="24"/>
          <w:lang w:val="en-US" w:eastAsia="zh-CN"/>
        </w:rPr>
        <w:t>3820</w:t>
      </w:r>
      <w:r>
        <w:rPr>
          <w:rFonts w:hint="eastAsia" w:ascii="宋体" w:hAnsi="宋体" w:eastAsia="宋体"/>
          <w:sz w:val="24"/>
          <w:szCs w:val="24"/>
        </w:rPr>
        <w:t>+1</w:t>
      </w:r>
      <w:r>
        <w:rPr>
          <w:rFonts w:hint="eastAsia" w:ascii="宋体" w:hAnsi="宋体" w:eastAsia="宋体"/>
          <w:sz w:val="24"/>
          <w:szCs w:val="24"/>
          <w:lang w:val="en-US" w:eastAsia="zh-CN"/>
        </w:rPr>
        <w:t>35</w:t>
      </w:r>
      <w:r>
        <w:rPr>
          <w:rFonts w:hint="eastAsia" w:ascii="宋体" w:hAnsi="宋体" w:eastAsia="宋体"/>
          <w:sz w:val="24"/>
          <w:szCs w:val="24"/>
        </w:rPr>
        <w:t>0</w:t>
      </w:r>
    </w:p>
    <w:p w14:paraId="1B76BE8E">
      <w:pPr>
        <w:pStyle w:val="17"/>
        <w:numPr>
          <w:ilvl w:val="0"/>
          <w:numId w:val="0"/>
        </w:numPr>
        <w:spacing w:line="360" w:lineRule="auto"/>
        <w:ind w:leftChars="0"/>
        <w:rPr>
          <w:rFonts w:hint="eastAsia" w:ascii="宋体" w:hAnsi="宋体" w:eastAsia="宋体"/>
          <w:sz w:val="24"/>
          <w:szCs w:val="24"/>
        </w:rPr>
      </w:pPr>
      <w:r>
        <w:rPr>
          <w:rFonts w:hint="eastAsia" w:ascii="宋体" w:hAnsi="宋体"/>
          <w:sz w:val="24"/>
          <w:szCs w:val="24"/>
          <w:lang w:val="en-US" w:eastAsia="zh-CN"/>
        </w:rPr>
        <w:t>9.</w:t>
      </w:r>
      <w:r>
        <w:rPr>
          <w:rFonts w:hint="eastAsia" w:ascii="宋体" w:hAnsi="宋体" w:eastAsia="宋体"/>
          <w:sz w:val="24"/>
          <w:szCs w:val="24"/>
          <w:lang w:val="zh-CN"/>
        </w:rPr>
        <w:t>钩心高度</w:t>
      </w:r>
      <w:r>
        <w:rPr>
          <w:rFonts w:hint="eastAsia" w:ascii="宋体" w:hAnsi="宋体" w:eastAsia="宋体"/>
          <w:sz w:val="24"/>
          <w:szCs w:val="24"/>
        </w:rPr>
        <w:t>(mm):1570±10</w:t>
      </w:r>
    </w:p>
    <w:p w14:paraId="71186DB3">
      <w:pPr>
        <w:pStyle w:val="17"/>
        <w:numPr>
          <w:ilvl w:val="0"/>
          <w:numId w:val="0"/>
        </w:numPr>
        <w:spacing w:line="360" w:lineRule="auto"/>
        <w:ind w:leftChars="0"/>
        <w:rPr>
          <w:rFonts w:ascii="宋体" w:hAnsi="宋体" w:eastAsia="宋体"/>
          <w:sz w:val="24"/>
          <w:szCs w:val="24"/>
        </w:rPr>
      </w:pPr>
      <w:r>
        <w:rPr>
          <w:rFonts w:hint="eastAsia" w:ascii="宋体" w:hAnsi="宋体" w:eastAsia="宋体"/>
          <w:sz w:val="24"/>
          <w:szCs w:val="24"/>
          <w:lang w:val="en-US" w:eastAsia="zh-CN"/>
        </w:rPr>
        <w:t>10.</w:t>
      </w:r>
      <w:r>
        <w:rPr>
          <w:rFonts w:hint="eastAsia" w:ascii="宋体" w:hAnsi="宋体" w:eastAsia="宋体"/>
          <w:sz w:val="24"/>
          <w:szCs w:val="24"/>
        </w:rPr>
        <w:t>外导入宽度</w:t>
      </w:r>
      <w:r>
        <w:rPr>
          <w:rFonts w:ascii="宋体" w:hAnsi="宋体" w:eastAsia="宋体"/>
          <w:sz w:val="24"/>
          <w:szCs w:val="24"/>
        </w:rPr>
        <w:t>(mm):1070±10</w:t>
      </w:r>
    </w:p>
    <w:p w14:paraId="4BAF4CE1">
      <w:pPr>
        <w:pStyle w:val="6"/>
        <w:tabs>
          <w:tab w:val="left" w:pos="1080"/>
          <w:tab w:val="left" w:pos="1260"/>
          <w:tab w:val="left" w:pos="1620"/>
          <w:tab w:val="left" w:pos="1800"/>
          <w:tab w:val="left" w:pos="1980"/>
          <w:tab w:val="left" w:pos="2160"/>
        </w:tabs>
        <w:spacing w:line="360" w:lineRule="auto"/>
        <w:jc w:val="left"/>
        <w:rPr>
          <w:rFonts w:ascii="宋体" w:hAnsi="宋体" w:cs="宋体"/>
          <w:b/>
          <w:bCs/>
        </w:rPr>
      </w:pPr>
      <w:r>
        <w:rPr>
          <w:rFonts w:hint="eastAsia" w:ascii="宋体" w:hAnsi="宋体" w:cs="宋体"/>
          <w:b/>
          <w:bCs/>
          <w:lang w:eastAsia="zh-CN"/>
        </w:rPr>
        <w:t>（</w:t>
      </w:r>
      <w:r>
        <w:rPr>
          <w:rFonts w:hint="eastAsia" w:ascii="宋体" w:hAnsi="宋体" w:cs="宋体"/>
          <w:b/>
          <w:bCs/>
          <w:lang w:val="en-US" w:eastAsia="zh-CN"/>
        </w:rPr>
        <w:t>二</w:t>
      </w:r>
      <w:r>
        <w:rPr>
          <w:rFonts w:hint="eastAsia" w:ascii="宋体" w:hAnsi="宋体" w:cs="宋体"/>
          <w:b/>
          <w:bCs/>
          <w:lang w:eastAsia="zh-CN"/>
        </w:rPr>
        <w:t>）</w:t>
      </w:r>
      <w:r>
        <w:rPr>
          <w:rFonts w:hint="eastAsia" w:ascii="宋体" w:hAnsi="宋体" w:cs="宋体"/>
          <w:b/>
          <w:bCs/>
        </w:rPr>
        <w:t>主要性能特点</w:t>
      </w:r>
    </w:p>
    <w:p w14:paraId="1643CDE9">
      <w:pPr>
        <w:pStyle w:val="17"/>
        <w:numPr>
          <w:ilvl w:val="0"/>
          <w:numId w:val="2"/>
        </w:numPr>
        <w:spacing w:line="360" w:lineRule="auto"/>
        <w:rPr>
          <w:rFonts w:ascii="宋体" w:hAnsi="宋体" w:eastAsia="宋体"/>
          <w:sz w:val="24"/>
          <w:szCs w:val="24"/>
        </w:rPr>
      </w:pPr>
      <w:r>
        <w:rPr>
          <w:rFonts w:hint="eastAsia" w:ascii="宋体" w:hAnsi="宋体"/>
          <w:sz w:val="24"/>
          <w:szCs w:val="24"/>
          <w:lang w:val="en-US" w:eastAsia="zh-CN"/>
        </w:rPr>
        <w:t>为</w:t>
      </w:r>
      <w:r>
        <w:rPr>
          <w:rFonts w:hint="eastAsia" w:ascii="宋体" w:hAnsi="宋体" w:eastAsia="宋体"/>
          <w:sz w:val="24"/>
          <w:szCs w:val="24"/>
        </w:rPr>
        <w:t>保护空气环境</w:t>
      </w:r>
      <w:r>
        <w:rPr>
          <w:rFonts w:hint="eastAsia" w:ascii="宋体" w:hAnsi="宋体"/>
          <w:sz w:val="24"/>
          <w:szCs w:val="24"/>
          <w:lang w:eastAsia="zh-CN"/>
        </w:rPr>
        <w:t>，</w:t>
      </w:r>
      <w:r>
        <w:rPr>
          <w:rFonts w:hint="eastAsia" w:ascii="宋体" w:hAnsi="宋体" w:eastAsia="宋体"/>
          <w:sz w:val="24"/>
          <w:szCs w:val="24"/>
        </w:rPr>
        <w:t>需采用纯电动底盘，</w:t>
      </w:r>
      <w:r>
        <w:rPr>
          <w:rFonts w:hint="eastAsia" w:ascii="宋体" w:hAnsi="宋体"/>
          <w:sz w:val="24"/>
          <w:szCs w:val="24"/>
          <w:lang w:val="en-US" w:eastAsia="zh-CN"/>
        </w:rPr>
        <w:t>电池为全新的</w:t>
      </w:r>
      <w:r>
        <w:rPr>
          <w:rFonts w:hint="eastAsia" w:ascii="宋体"/>
          <w:sz w:val="24"/>
          <w:szCs w:val="24"/>
        </w:rPr>
        <w:t>磷酸铁锂电池或优于</w:t>
      </w:r>
      <w:r>
        <w:rPr>
          <w:rFonts w:hint="eastAsia" w:ascii="宋体"/>
          <w:sz w:val="24"/>
          <w:szCs w:val="24"/>
          <w:lang w:eastAsia="zh-CN"/>
        </w:rPr>
        <w:t>，</w:t>
      </w:r>
      <w:r>
        <w:rPr>
          <w:rFonts w:hint="eastAsia" w:ascii="宋体"/>
          <w:sz w:val="24"/>
          <w:szCs w:val="24"/>
          <w:lang w:val="en-US" w:eastAsia="zh-CN"/>
        </w:rPr>
        <w:t>驱动电机峰值功率不低于400kw。</w:t>
      </w:r>
    </w:p>
    <w:p w14:paraId="09124088">
      <w:pPr>
        <w:pStyle w:val="17"/>
        <w:numPr>
          <w:ilvl w:val="0"/>
          <w:numId w:val="2"/>
        </w:numPr>
        <w:spacing w:line="360" w:lineRule="auto"/>
        <w:rPr>
          <w:rFonts w:ascii="宋体" w:hAnsi="宋体" w:eastAsia="宋体"/>
          <w:sz w:val="24"/>
          <w:szCs w:val="24"/>
        </w:rPr>
      </w:pPr>
      <w:r>
        <w:rPr>
          <w:rFonts w:hint="eastAsia" w:ascii="宋体" w:hAnsi="宋体"/>
          <w:sz w:val="24"/>
          <w:szCs w:val="24"/>
        </w:rPr>
        <w:t>需</w:t>
      </w:r>
      <w:r>
        <w:rPr>
          <w:rFonts w:ascii="宋体" w:hAnsi="宋体"/>
          <w:sz w:val="24"/>
          <w:szCs w:val="24"/>
        </w:rPr>
        <w:t>配有</w:t>
      </w:r>
      <w:r>
        <w:rPr>
          <w:rFonts w:hint="eastAsia" w:ascii="宋体" w:hAnsi="宋体"/>
          <w:sz w:val="24"/>
          <w:szCs w:val="24"/>
        </w:rPr>
        <w:t>拉臂装置，具有拉箱、卸箱和卸料功能</w:t>
      </w:r>
      <w:r>
        <w:rPr>
          <w:rFonts w:hint="eastAsia" w:ascii="宋体" w:hAnsi="宋体"/>
          <w:sz w:val="24"/>
          <w:szCs w:val="24"/>
          <w:lang w:eastAsia="zh-CN"/>
        </w:rPr>
        <w:t>，</w:t>
      </w:r>
      <w:r>
        <w:rPr>
          <w:rFonts w:hint="eastAsia" w:ascii="宋体" w:hAnsi="宋体"/>
          <w:sz w:val="24"/>
          <w:szCs w:val="24"/>
          <w:lang w:val="en-US" w:eastAsia="zh-CN"/>
        </w:rPr>
        <w:t>要求提升能力不低于26吨</w:t>
      </w:r>
      <w:r>
        <w:rPr>
          <w:rFonts w:hint="eastAsia" w:ascii="宋体" w:hAnsi="宋体"/>
          <w:sz w:val="24"/>
          <w:szCs w:val="24"/>
        </w:rPr>
        <w:t>。</w:t>
      </w:r>
    </w:p>
    <w:p w14:paraId="2C03B0D7">
      <w:pPr>
        <w:pStyle w:val="17"/>
        <w:numPr>
          <w:ilvl w:val="0"/>
          <w:numId w:val="2"/>
        </w:numPr>
        <w:spacing w:line="360" w:lineRule="auto"/>
        <w:rPr>
          <w:rFonts w:ascii="宋体" w:hAnsi="宋体" w:eastAsia="宋体"/>
          <w:sz w:val="24"/>
          <w:szCs w:val="24"/>
        </w:rPr>
      </w:pPr>
      <w:r>
        <w:rPr>
          <w:rFonts w:hint="eastAsia" w:ascii="宋体" w:hAnsi="宋体"/>
          <w:sz w:val="24"/>
          <w:szCs w:val="24"/>
        </w:rPr>
        <w:t>拉臂装置需</w:t>
      </w:r>
      <w:r>
        <w:rPr>
          <w:rFonts w:ascii="宋体" w:hAnsi="宋体"/>
          <w:sz w:val="24"/>
          <w:szCs w:val="24"/>
        </w:rPr>
        <w:t>装有</w:t>
      </w:r>
      <w:r>
        <w:rPr>
          <w:rFonts w:hint="eastAsia" w:ascii="宋体" w:hAnsi="宋体"/>
          <w:sz w:val="24"/>
          <w:szCs w:val="24"/>
        </w:rPr>
        <w:t>箱体锁，用于锁紧箱体，限制箱体移动，保证安全运输，在卸料过程中起到保护拉臂装置的作用。</w:t>
      </w:r>
    </w:p>
    <w:p w14:paraId="6ED16998">
      <w:pPr>
        <w:pStyle w:val="17"/>
        <w:numPr>
          <w:ilvl w:val="0"/>
          <w:numId w:val="2"/>
        </w:numPr>
        <w:spacing w:line="360" w:lineRule="auto"/>
        <w:rPr>
          <w:rFonts w:ascii="宋体" w:hAnsi="宋体" w:eastAsia="宋体"/>
          <w:sz w:val="24"/>
          <w:szCs w:val="24"/>
        </w:rPr>
      </w:pPr>
      <w:r>
        <w:rPr>
          <w:rFonts w:hint="eastAsia" w:ascii="宋体" w:hAnsi="宋体" w:eastAsia="宋体"/>
          <w:sz w:val="24"/>
          <w:szCs w:val="24"/>
        </w:rPr>
        <w:t>拉臂的关键部位需采用高强度精铸件，提高安全性和延长使用寿命</w:t>
      </w:r>
      <w:r>
        <w:rPr>
          <w:rFonts w:hint="eastAsia" w:ascii="宋体" w:hAnsi="宋体"/>
          <w:sz w:val="24"/>
          <w:szCs w:val="24"/>
          <w:lang w:eastAsia="zh-CN"/>
        </w:rPr>
        <w:t>；</w:t>
      </w:r>
      <w:r>
        <w:rPr>
          <w:rFonts w:hint="eastAsia" w:ascii="宋体" w:hAnsi="宋体" w:eastAsia="宋体"/>
          <w:sz w:val="24"/>
          <w:szCs w:val="24"/>
        </w:rPr>
        <w:t>拉臂上装需设置有多层电液互锁逻辑控制装置，如</w:t>
      </w:r>
      <w:r>
        <w:rPr>
          <w:rFonts w:ascii="宋体" w:hAnsi="宋体" w:eastAsia="宋体"/>
          <w:sz w:val="24"/>
          <w:szCs w:val="24"/>
        </w:rPr>
        <w:t>：</w:t>
      </w:r>
      <w:r>
        <w:rPr>
          <w:rFonts w:hint="eastAsia" w:ascii="宋体" w:hAnsi="宋体" w:eastAsia="宋体"/>
          <w:sz w:val="24"/>
          <w:szCs w:val="24"/>
        </w:rPr>
        <w:t>在卸料工况时，需要箱体锁和自卸锁锁上以后，箱体才能举升卸料；卸料过程中，箱体锁与前架不能动作。</w:t>
      </w:r>
    </w:p>
    <w:p w14:paraId="5BB90146">
      <w:pPr>
        <w:pStyle w:val="17"/>
        <w:numPr>
          <w:ilvl w:val="0"/>
          <w:numId w:val="2"/>
        </w:numPr>
        <w:spacing w:line="360" w:lineRule="auto"/>
        <w:rPr>
          <w:rFonts w:ascii="宋体" w:hAnsi="宋体" w:eastAsia="宋体"/>
          <w:sz w:val="24"/>
          <w:szCs w:val="24"/>
        </w:rPr>
      </w:pPr>
      <w:r>
        <w:rPr>
          <w:rFonts w:hint="eastAsia" w:ascii="宋体" w:hAnsi="宋体"/>
          <w:sz w:val="24"/>
          <w:szCs w:val="24"/>
          <w:lang w:val="en-US" w:eastAsia="zh-CN"/>
        </w:rPr>
        <w:t>操作者既可以</w:t>
      </w:r>
      <w:r>
        <w:rPr>
          <w:rFonts w:hint="eastAsia" w:ascii="宋体" w:hAnsi="宋体"/>
          <w:sz w:val="24"/>
          <w:szCs w:val="24"/>
        </w:rPr>
        <w:t>在驾驶室内通过操作盒完成所有动作的</w:t>
      </w:r>
      <w:r>
        <w:rPr>
          <w:rFonts w:ascii="宋体" w:hAnsi="宋体"/>
          <w:sz w:val="24"/>
          <w:szCs w:val="24"/>
        </w:rPr>
        <w:t>控制</w:t>
      </w:r>
      <w:r>
        <w:rPr>
          <w:rFonts w:hint="eastAsia" w:ascii="宋体" w:hAnsi="宋体"/>
          <w:sz w:val="24"/>
          <w:szCs w:val="24"/>
          <w:lang w:eastAsia="zh-CN"/>
        </w:rPr>
        <w:t>，</w:t>
      </w:r>
      <w:r>
        <w:rPr>
          <w:rFonts w:hint="eastAsia" w:ascii="宋体" w:hAnsi="宋体"/>
          <w:sz w:val="24"/>
          <w:szCs w:val="24"/>
          <w:lang w:val="en-US" w:eastAsia="zh-CN"/>
        </w:rPr>
        <w:t>又</w:t>
      </w:r>
      <w:r>
        <w:rPr>
          <w:rFonts w:hint="eastAsia" w:ascii="宋体" w:hAnsi="宋体"/>
          <w:sz w:val="24"/>
          <w:szCs w:val="24"/>
        </w:rPr>
        <w:t>可坐在驾驶座上或站立于驾驶室外，通过手持操作盒</w:t>
      </w:r>
      <w:r>
        <w:rPr>
          <w:rFonts w:hint="eastAsia" w:ascii="宋体" w:hAnsi="宋体"/>
          <w:sz w:val="24"/>
          <w:szCs w:val="24"/>
          <w:lang w:val="en-US" w:eastAsia="zh-CN"/>
        </w:rPr>
        <w:t>完成</w:t>
      </w:r>
      <w:r>
        <w:rPr>
          <w:rFonts w:hint="eastAsia" w:ascii="宋体" w:hAnsi="宋体"/>
          <w:sz w:val="24"/>
          <w:szCs w:val="24"/>
        </w:rPr>
        <w:t>动作。</w:t>
      </w:r>
    </w:p>
    <w:p w14:paraId="5BA56C20">
      <w:pPr>
        <w:pStyle w:val="17"/>
        <w:numPr>
          <w:ilvl w:val="0"/>
          <w:numId w:val="2"/>
        </w:numPr>
        <w:spacing w:line="360" w:lineRule="auto"/>
        <w:rPr>
          <w:rFonts w:ascii="宋体" w:hAnsi="宋体" w:eastAsia="宋体"/>
          <w:sz w:val="24"/>
          <w:szCs w:val="24"/>
        </w:rPr>
      </w:pPr>
      <w:r>
        <w:rPr>
          <w:rFonts w:hint="eastAsia" w:ascii="宋体" w:hAnsi="宋体" w:eastAsia="宋体"/>
          <w:sz w:val="24"/>
          <w:szCs w:val="24"/>
        </w:rPr>
        <w:t>液压系统中需设置箱体缓冲回落装置，当箱体下降到一定角度后，电路控制液压系统中的缓冲阀，使箱体能平缓的下降到车辆上，避免刚性冲击。</w:t>
      </w:r>
    </w:p>
    <w:p w14:paraId="5B5C264B">
      <w:pPr>
        <w:pStyle w:val="17"/>
        <w:numPr>
          <w:ilvl w:val="0"/>
          <w:numId w:val="2"/>
        </w:numPr>
        <w:spacing w:line="360" w:lineRule="auto"/>
        <w:rPr>
          <w:rFonts w:ascii="宋体" w:hAnsi="宋体" w:eastAsia="宋体"/>
          <w:sz w:val="24"/>
          <w:szCs w:val="24"/>
        </w:rPr>
      </w:pPr>
      <w:r>
        <w:rPr>
          <w:rFonts w:hint="eastAsia" w:ascii="宋体" w:hAnsi="宋体" w:eastAsia="宋体"/>
          <w:sz w:val="24"/>
          <w:szCs w:val="24"/>
        </w:rPr>
        <w:t>车辆需配置蜂鸣器，车辆拉臂上装进行动作时发出声音报警，对作业区域人员提出警示，确保人身设备安全。</w:t>
      </w:r>
    </w:p>
    <w:p w14:paraId="646E55E8">
      <w:pPr>
        <w:pStyle w:val="17"/>
        <w:numPr>
          <w:ilvl w:val="0"/>
          <w:numId w:val="2"/>
        </w:numPr>
        <w:spacing w:line="360" w:lineRule="auto"/>
        <w:rPr>
          <w:rFonts w:ascii="宋体" w:hAnsi="宋体" w:eastAsia="宋体"/>
          <w:sz w:val="24"/>
          <w:szCs w:val="24"/>
        </w:rPr>
      </w:pPr>
      <w:r>
        <w:rPr>
          <w:rFonts w:hint="eastAsia" w:ascii="宋体" w:hAnsi="宋体"/>
          <w:sz w:val="24"/>
          <w:szCs w:val="24"/>
        </w:rPr>
        <w:t>车辆尾部需安装有后滚轮支撑装置，</w:t>
      </w:r>
      <w:r>
        <w:rPr>
          <w:rFonts w:ascii="宋体" w:hAnsi="宋体" w:cs="宋体"/>
          <w:color w:val="000000"/>
          <w:sz w:val="24"/>
        </w:rPr>
        <w:t>钩臂车</w:t>
      </w:r>
      <w:r>
        <w:rPr>
          <w:rFonts w:hint="eastAsia" w:ascii="宋体" w:hAnsi="宋体"/>
          <w:sz w:val="24"/>
          <w:szCs w:val="24"/>
        </w:rPr>
        <w:t>拉满载箱体前将后滚轮支撑在地面，防止车辆向后倾翻。</w:t>
      </w:r>
      <w:r>
        <w:rPr>
          <w:rFonts w:hint="eastAsia" w:ascii="宋体" w:hAnsi="宋体"/>
          <w:sz w:val="24"/>
          <w:szCs w:val="24"/>
          <w:lang w:eastAsia="zh-CN"/>
        </w:rPr>
        <w:t>（</w:t>
      </w:r>
      <w:r>
        <w:rPr>
          <w:rFonts w:hint="eastAsia" w:ascii="宋体" w:hAnsi="宋体"/>
          <w:sz w:val="24"/>
          <w:szCs w:val="24"/>
          <w:lang w:val="en-US" w:eastAsia="zh-CN"/>
        </w:rPr>
        <w:t>考虑安全性能，需提供实物照片证明</w:t>
      </w:r>
      <w:r>
        <w:rPr>
          <w:rFonts w:hint="eastAsia" w:ascii="宋体" w:hAnsi="宋体"/>
          <w:sz w:val="24"/>
          <w:szCs w:val="24"/>
          <w:lang w:eastAsia="zh-CN"/>
        </w:rPr>
        <w:t>）</w:t>
      </w:r>
    </w:p>
    <w:p w14:paraId="7F1FADC6">
      <w:pPr>
        <w:pStyle w:val="17"/>
        <w:numPr>
          <w:ilvl w:val="0"/>
          <w:numId w:val="2"/>
        </w:numPr>
        <w:spacing w:line="360" w:lineRule="auto"/>
        <w:rPr>
          <w:rFonts w:ascii="宋体" w:hAnsi="宋体" w:eastAsia="宋体"/>
          <w:sz w:val="24"/>
          <w:szCs w:val="24"/>
        </w:rPr>
      </w:pPr>
      <w:r>
        <w:rPr>
          <w:rFonts w:hint="eastAsia" w:ascii="宋体" w:hAnsi="宋体"/>
          <w:sz w:val="24"/>
          <w:szCs w:val="24"/>
        </w:rPr>
        <w:t>车辆需装配有安全支撑装置，车辆因维修需要举升拉臂时，可撑起安全撑杆，保护维修人员安</w:t>
      </w:r>
      <w:r>
        <w:rPr>
          <w:rFonts w:hint="eastAsia" w:ascii="宋体" w:hAnsi="宋体"/>
          <w:sz w:val="24"/>
          <w:szCs w:val="24"/>
          <w:highlight w:val="none"/>
        </w:rPr>
        <w:t>全。</w:t>
      </w:r>
      <w:r>
        <w:rPr>
          <w:rFonts w:hint="eastAsia" w:ascii="宋体" w:hAnsi="宋体"/>
          <w:sz w:val="24"/>
          <w:szCs w:val="24"/>
          <w:lang w:eastAsia="zh-CN"/>
        </w:rPr>
        <w:t>（</w:t>
      </w:r>
      <w:r>
        <w:rPr>
          <w:rFonts w:hint="eastAsia" w:ascii="宋体" w:hAnsi="宋体"/>
          <w:sz w:val="24"/>
          <w:szCs w:val="24"/>
          <w:lang w:val="en-US" w:eastAsia="zh-CN"/>
        </w:rPr>
        <w:t>考虑安全性能，需提供实物照片证明</w:t>
      </w:r>
      <w:r>
        <w:rPr>
          <w:rFonts w:hint="eastAsia" w:ascii="宋体" w:hAnsi="宋体"/>
          <w:sz w:val="24"/>
          <w:szCs w:val="24"/>
          <w:lang w:eastAsia="zh-CN"/>
        </w:rPr>
        <w:t>）</w:t>
      </w:r>
    </w:p>
    <w:p w14:paraId="035B5511">
      <w:pPr>
        <w:pStyle w:val="17"/>
        <w:numPr>
          <w:ilvl w:val="0"/>
          <w:numId w:val="2"/>
        </w:numPr>
        <w:spacing w:line="360" w:lineRule="auto"/>
        <w:rPr>
          <w:rFonts w:hint="eastAsia" w:ascii="宋体" w:hAnsi="宋体"/>
          <w:sz w:val="24"/>
          <w:szCs w:val="24"/>
        </w:rPr>
      </w:pPr>
      <w:r>
        <w:rPr>
          <w:rFonts w:hint="eastAsia" w:ascii="宋体" w:hAnsi="宋体"/>
          <w:sz w:val="24"/>
          <w:szCs w:val="24"/>
          <w:lang w:val="en-US" w:eastAsia="zh-CN"/>
        </w:rPr>
        <w:t>★投标车辆必须和当地现有28立方垃圾箱配套使用，和现有车厢可卸式垃圾车通用使用。（此条须出具承诺书，格式自拟）。</w:t>
      </w:r>
    </w:p>
    <w:p w14:paraId="37B6BF8C">
      <w:pPr>
        <w:pStyle w:val="2"/>
        <w:spacing w:before="0" w:after="0"/>
        <w:ind w:left="0" w:right="0" w:firstLine="0"/>
        <w:jc w:val="both"/>
        <w:rPr>
          <w:rFonts w:hint="eastAsia" w:ascii="仿宋" w:hAnsi="仿宋" w:eastAsia="仿宋" w:cs="仿宋"/>
          <w:b/>
          <w:bCs/>
          <w:color w:val="auto"/>
          <w:sz w:val="28"/>
          <w:szCs w:val="28"/>
          <w:highlight w:val="none"/>
          <w:lang w:val="en-US" w:eastAsia="zh-CN" w:bidi="ar-SA"/>
        </w:rPr>
      </w:pPr>
    </w:p>
    <w:p w14:paraId="7B91A293">
      <w:pPr>
        <w:pStyle w:val="2"/>
        <w:spacing w:before="0" w:after="0"/>
        <w:ind w:left="0" w:right="0" w:firstLine="3092"/>
        <w:jc w:val="both"/>
        <w:rPr>
          <w:rFonts w:hint="eastAsia" w:ascii="仿宋" w:hAnsi="仿宋" w:eastAsia="仿宋" w:cs="仿宋"/>
          <w:b/>
          <w:bCs/>
          <w:color w:val="auto"/>
          <w:sz w:val="28"/>
          <w:szCs w:val="28"/>
          <w:highlight w:val="none"/>
          <w:lang w:val="en-US" w:eastAsia="zh-CN" w:bidi="ar-SA"/>
        </w:rPr>
      </w:pPr>
      <w:r>
        <w:rPr>
          <w:rFonts w:hint="eastAsia" w:ascii="仿宋" w:hAnsi="仿宋" w:eastAsia="仿宋" w:cs="仿宋"/>
          <w:b/>
          <w:bCs/>
          <w:color w:val="auto"/>
          <w:sz w:val="28"/>
          <w:szCs w:val="28"/>
          <w:highlight w:val="none"/>
          <w:lang w:val="en-US" w:eastAsia="zh-CN" w:bidi="ar-SA"/>
        </w:rPr>
        <w:t>240KW充电桩</w:t>
      </w:r>
    </w:p>
    <w:p w14:paraId="5823D0AC">
      <w:pPr>
        <w:pStyle w:val="3"/>
        <w:numPr>
          <w:ilvl w:val="0"/>
          <w:numId w:val="3"/>
        </w:numPr>
        <w:ind w:left="0" w:leftChars="0" w:firstLine="0" w:firstLineChars="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参数要求：额定功率（kw）≥240，具备双枪充电。</w:t>
      </w:r>
    </w:p>
    <w:p w14:paraId="1CA459E0">
      <w:pPr>
        <w:pStyle w:val="3"/>
        <w:numPr>
          <w:ilvl w:val="0"/>
          <w:numId w:val="3"/>
        </w:numPr>
        <w:ind w:left="0" w:leftChars="0" w:firstLine="0" w:firstLineChars="0"/>
        <w:rPr>
          <w:rFonts w:hint="default"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主机尺寸（mm）：≥900（宽）×650（深）×1850（高）。</w:t>
      </w:r>
    </w:p>
    <w:p w14:paraId="12395DBF"/>
    <w:p w14:paraId="2AA5256F">
      <w:pPr>
        <w:rPr>
          <w:rFonts w:hint="eastAsia"/>
        </w:rPr>
      </w:pPr>
    </w:p>
    <w:p w14:paraId="0F64EB03">
      <w:pPr>
        <w:pStyle w:val="2"/>
        <w:spacing w:before="0" w:after="0"/>
        <w:ind w:left="0" w:right="0" w:firstLine="0"/>
        <w:jc w:val="center"/>
        <w:rPr>
          <w:rFonts w:hint="eastAsia" w:ascii="仿宋" w:hAnsi="仿宋" w:eastAsia="仿宋" w:cs="仿宋"/>
          <w:b/>
          <w:bCs/>
          <w:sz w:val="28"/>
          <w:szCs w:val="28"/>
        </w:rPr>
      </w:pPr>
      <w:r>
        <w:rPr>
          <w:rFonts w:hint="eastAsia" w:ascii="仿宋" w:hAnsi="仿宋" w:eastAsia="仿宋" w:cs="仿宋"/>
          <w:b/>
          <w:bCs/>
          <w:sz w:val="28"/>
          <w:szCs w:val="28"/>
        </w:rPr>
        <w:t>4</w:t>
      </w:r>
      <w:r>
        <w:rPr>
          <w:rFonts w:ascii="仿宋" w:hAnsi="仿宋" w:eastAsia="仿宋" w:cs="仿宋"/>
          <w:b/>
          <w:bCs/>
          <w:sz w:val="28"/>
          <w:szCs w:val="28"/>
        </w:rPr>
        <w:t>00KW</w:t>
      </w:r>
      <w:r>
        <w:rPr>
          <w:rFonts w:hint="eastAsia" w:ascii="仿宋" w:hAnsi="仿宋" w:eastAsia="仿宋" w:cs="仿宋"/>
          <w:b/>
          <w:bCs/>
          <w:sz w:val="28"/>
          <w:szCs w:val="28"/>
        </w:rPr>
        <w:t>充电桩</w:t>
      </w:r>
    </w:p>
    <w:p w14:paraId="0B6F49E0">
      <w:pPr>
        <w:pStyle w:val="3"/>
        <w:numPr>
          <w:ilvl w:val="0"/>
          <w:numId w:val="4"/>
        </w:numPr>
        <w:ind w:left="0" w:leftChars="0" w:firstLine="0" w:firstLineChars="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参数要求：额定功率（kw）≥400，具备双枪充电。</w:t>
      </w:r>
    </w:p>
    <w:p w14:paraId="7952F707">
      <w:pPr>
        <w:pStyle w:val="3"/>
        <w:numPr>
          <w:ilvl w:val="0"/>
          <w:numId w:val="4"/>
        </w:numPr>
        <w:ind w:left="0" w:leftChars="0" w:firstLine="0" w:firstLineChars="0"/>
        <w:rPr>
          <w:rFonts w:hint="eastAsia" w:ascii="宋体" w:hAnsi="宋体" w:eastAsia="宋体" w:cs="Times New Roman"/>
          <w:sz w:val="24"/>
          <w:szCs w:val="24"/>
          <w:lang w:val="en-US" w:eastAsia="zh-CN" w:bidi="ar-SA"/>
        </w:rPr>
      </w:pPr>
      <w:r>
        <w:rPr>
          <w:rFonts w:hint="eastAsia" w:ascii="宋体" w:hAnsi="宋体" w:eastAsia="宋体" w:cs="Times New Roman"/>
          <w:sz w:val="24"/>
          <w:szCs w:val="24"/>
          <w:lang w:val="en-US" w:eastAsia="zh-CN" w:bidi="ar-SA"/>
        </w:rPr>
        <w:t>主机尺寸（mm），≥900（宽）×650（深）×1850（高）。</w:t>
      </w:r>
    </w:p>
    <w:p w14:paraId="794CD116">
      <w:pPr>
        <w:numPr>
          <w:numId w:val="0"/>
        </w:numPr>
        <w:spacing w:line="360" w:lineRule="auto"/>
        <w:rPr>
          <w:rFonts w:hint="default" w:ascii="仿宋" w:hAnsi="仿宋" w:eastAsia="仿宋" w:cs="仿宋"/>
          <w:sz w:val="28"/>
          <w:szCs w:val="28"/>
          <w:highlight w:val="none"/>
          <w:lang w:val="en-US" w:eastAsia="zh-CN"/>
        </w:rPr>
      </w:pPr>
    </w:p>
    <w:p w14:paraId="108781B5">
      <w:pPr>
        <w:numPr>
          <w:numId w:val="0"/>
        </w:num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七、招标文件采购需求中，项目实施要求修改为：投标人所投货物必须为原厂原装、全新的、原包装未拆封的、符合中华人民共和国强制性技术标准的产品。同时采购人有权要求投标人对产品的合法供货渠道进行说明，经核实如投标人提供非法渠道的产品，视为欺诈，为维护采购人合法权益，投标人要承担商品价值双倍的赔偿；同时采购人有权依据现行的国家法律法规追究其他责任，并连带追究所投产品生产企业的责任。（注：投标人在投标文件中提供承诺函，格式自拟，对产品的合法渠道进行说明。）</w:t>
      </w:r>
    </w:p>
    <w:p w14:paraId="4E4066F7">
      <w:pPr>
        <w:numPr>
          <w:numId w:val="0"/>
        </w:numP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八、招标文件中售后服务要求，修改为：2、在质保期内，对采购人所提出的维修要求在30分钟内响应，并提供应急策略；严格按照招标文件要求及时供货，并向采购人提供及时的完善的售前、售中、售后服务。</w:t>
      </w:r>
    </w:p>
    <w:p w14:paraId="3D4CBAD8">
      <w:pPr>
        <w:numPr>
          <w:numId w:val="0"/>
        </w:numPr>
        <w:rPr>
          <w:rFonts w:hint="default" w:ascii="仿宋" w:hAnsi="仿宋" w:eastAsia="仿宋" w:cs="仿宋"/>
          <w:sz w:val="28"/>
          <w:szCs w:val="2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60101010101"/>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6522D61"/>
    <w:multiLevelType w:val="singleLevel"/>
    <w:tmpl w:val="16522D61"/>
    <w:lvl w:ilvl="0" w:tentative="0">
      <w:start w:val="1"/>
      <w:numFmt w:val="decimal"/>
      <w:lvlText w:val="%1."/>
      <w:lvlJc w:val="left"/>
      <w:pPr>
        <w:tabs>
          <w:tab w:val="left" w:pos="312"/>
        </w:tabs>
      </w:pPr>
    </w:lvl>
  </w:abstractNum>
  <w:abstractNum w:abstractNumId="2">
    <w:nsid w:val="3F7045E9"/>
    <w:multiLevelType w:val="singleLevel"/>
    <w:tmpl w:val="3F7045E9"/>
    <w:lvl w:ilvl="0" w:tentative="0">
      <w:start w:val="1"/>
      <w:numFmt w:val="decimal"/>
      <w:lvlText w:val="%1."/>
      <w:lvlJc w:val="left"/>
      <w:pPr>
        <w:tabs>
          <w:tab w:val="left" w:pos="312"/>
        </w:tabs>
      </w:pPr>
    </w:lvl>
  </w:abstractNum>
  <w:abstractNum w:abstractNumId="3">
    <w:nsid w:val="59ADCABA"/>
    <w:multiLevelType w:val="multilevel"/>
    <w:tmpl w:val="59ADCA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A0811"/>
    <w:rsid w:val="63AC11BD"/>
    <w:rsid w:val="76814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1"/>
    <w:basedOn w:val="3"/>
    <w:next w:val="3"/>
    <w:qFormat/>
    <w:uiPriority w:val="9"/>
    <w:pPr>
      <w:keepNext/>
      <w:keepLines/>
      <w:spacing w:before="480" w:after="200"/>
      <w:outlineLvl w:val="0"/>
    </w:pPr>
    <w:rPr>
      <w:rFonts w:ascii="Arial" w:hAnsi="Arial" w:eastAsia="Arial" w:cs="Arial"/>
      <w:sz w:val="40"/>
      <w:szCs w:val="4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lock Text"/>
    <w:basedOn w:val="1"/>
    <w:qFormat/>
    <w:uiPriority w:val="0"/>
    <w:pPr>
      <w:ind w:left="256" w:right="6" w:firstLine="624"/>
    </w:pPr>
    <w:rPr>
      <w:rFonts w:eastAsia="仿宋_GB2312"/>
      <w:sz w:val="28"/>
      <w:szCs w:val="20"/>
    </w:rPr>
  </w:style>
  <w:style w:type="paragraph" w:customStyle="1" w:styleId="6">
    <w:name w:val="正文1"/>
    <w:basedOn w:val="7"/>
    <w:next w:val="15"/>
    <w:qFormat/>
    <w:uiPriority w:val="0"/>
    <w:pPr>
      <w:spacing w:line="360" w:lineRule="atLeast"/>
      <w:jc w:val="left"/>
    </w:pPr>
    <w:rPr>
      <w:rFonts w:ascii="宋体" w:hAnsi="Calibri"/>
      <w:sz w:val="24"/>
      <w:szCs w:val="20"/>
    </w:rPr>
  </w:style>
  <w:style w:type="paragraph" w:customStyle="1" w:styleId="7">
    <w:name w:val="正文111"/>
    <w:next w:val="8"/>
    <w:qFormat/>
    <w:uiPriority w:val="0"/>
    <w:pPr>
      <w:widowControl w:val="0"/>
      <w:jc w:val="both"/>
    </w:pPr>
    <w:rPr>
      <w:rFonts w:hint="default" w:ascii="Calibri" w:hAnsi="Calibri" w:eastAsia="宋体" w:cs="Calibri"/>
      <w:color w:val="000000"/>
      <w:sz w:val="22"/>
      <w:szCs w:val="22"/>
      <w:lang w:val="en-US" w:eastAsia="zh-CN" w:bidi="ar-SA"/>
    </w:rPr>
  </w:style>
  <w:style w:type="paragraph" w:customStyle="1" w:styleId="8">
    <w:name w:val="标题 41"/>
    <w:basedOn w:val="9"/>
    <w:next w:val="7"/>
    <w:qFormat/>
    <w:uiPriority w:val="9"/>
    <w:pPr>
      <w:keepNext/>
      <w:keepLines/>
      <w:spacing w:before="320" w:after="200"/>
      <w:outlineLvl w:val="3"/>
    </w:pPr>
    <w:rPr>
      <w:rFonts w:ascii="Arial" w:hAnsi="Arial" w:eastAsia="Arial" w:cs="Arial"/>
      <w:b/>
      <w:bCs/>
      <w:sz w:val="26"/>
      <w:szCs w:val="26"/>
    </w:rPr>
  </w:style>
  <w:style w:type="paragraph" w:customStyle="1" w:styleId="9">
    <w:name w:val="正文12"/>
    <w:next w:val="1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0">
    <w:name w:val="脚注文本1"/>
    <w:basedOn w:val="11"/>
    <w:next w:val="14"/>
    <w:qFormat/>
    <w:uiPriority w:val="0"/>
    <w:pPr>
      <w:jc w:val="left"/>
    </w:pPr>
    <w:rPr>
      <w:rFonts w:ascii="宋体" w:hAnsi="Times New Roman" w:eastAsia="Times New Roman" w:cs="Times New Roman"/>
      <w:sz w:val="18"/>
      <w:szCs w:val="18"/>
    </w:rPr>
  </w:style>
  <w:style w:type="paragraph" w:customStyle="1" w:styleId="11">
    <w:name w:val="正文1111"/>
    <w:next w:val="12"/>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2">
    <w:name w:val="标题 211"/>
    <w:basedOn w:val="13"/>
    <w:next w:val="11"/>
    <w:qFormat/>
    <w:uiPriority w:val="0"/>
    <w:pPr>
      <w:keepNext/>
      <w:keepLines/>
      <w:spacing w:before="260" w:after="260" w:line="416" w:lineRule="auto"/>
      <w:outlineLvl w:val="1"/>
    </w:pPr>
    <w:rPr>
      <w:rFonts w:ascii="Calibri Light" w:hAnsi="Calibri Light"/>
      <w:bCs/>
      <w:sz w:val="32"/>
      <w:szCs w:val="32"/>
    </w:rPr>
  </w:style>
  <w:style w:type="paragraph" w:customStyle="1" w:styleId="13">
    <w:name w:val="正文11"/>
    <w:next w:val="1"/>
    <w:qFormat/>
    <w:uiPriority w:val="0"/>
    <w:pPr>
      <w:jc w:val="both"/>
    </w:pPr>
    <w:rPr>
      <w:rFonts w:hint="default" w:ascii="Times New Roman" w:hAnsi="Times New Roman" w:eastAsia="宋体" w:cs="Times New Roman"/>
      <w:lang w:val="en-US" w:eastAsia="zh-CN" w:bidi="ar-SA"/>
    </w:rPr>
  </w:style>
  <w:style w:type="paragraph" w:customStyle="1" w:styleId="14">
    <w:name w:val="索引 51"/>
    <w:basedOn w:val="7"/>
    <w:next w:val="6"/>
    <w:qFormat/>
    <w:uiPriority w:val="0"/>
    <w:pPr>
      <w:ind w:left="798"/>
      <w:jc w:val="left"/>
    </w:pPr>
    <w:rPr>
      <w:rFonts w:ascii="Calibri" w:hAnsi="Calibri" w:eastAsia="宋体" w:cs="Times New Roman"/>
    </w:rPr>
  </w:style>
  <w:style w:type="paragraph" w:customStyle="1" w:styleId="15">
    <w:name w:val="文本块1"/>
    <w:basedOn w:val="1"/>
    <w:next w:val="8"/>
    <w:qFormat/>
    <w:uiPriority w:val="99"/>
    <w:pPr>
      <w:spacing w:after="120"/>
      <w:ind w:left="1440" w:right="1440"/>
    </w:pPr>
  </w:style>
  <w:style w:type="paragraph" w:customStyle="1" w:styleId="16">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styleId="1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74</Words>
  <Characters>84</Characters>
  <Lines>0</Lines>
  <Paragraphs>0</Paragraphs>
  <TotalTime>1</TotalTime>
  <ScaleCrop>false</ScaleCrop>
  <LinksUpToDate>false</LinksUpToDate>
  <CharactersWithSpaces>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2026-03-23T01:15:00Z</dcterms:created>
  <dc:creator>Administrator</dc:creator>
  <cp:lastModifiedBy>Funny</cp:lastModifiedBy>
  <dcterms:modified xsi:type="dcterms:W3CDTF">2026-03-23T06:19:10Z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eyJoZGlkIjoiNjI1ZTE0Zjg0NzgzMzc4MTY0Zjg0Zjg0MzJjNWNhYjAiLCJ1c2VySWQiOiI2MTQ5OTU1MzQifQ==</vt:lpwstr>
  </property>
  <property fmtid="{D5CDD505-2E9C-101B-9397-08002B2CF9AE}" pid="4" name="ICV">
    <vt:lpwstr>3A05D6E549C84D63B23354C1DB697B9E_12</vt:lpwstr>
  </property>
</Properties>
</file>