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hint="eastAsia" w:ascii="Times New Roman" w:hAnsi="Times New Roman"/>
          <w:b/>
          <w:bCs/>
          <w:color w:val="000000" w:themeColor="text1"/>
          <w:sz w:val="52"/>
          <w:szCs w:val="52"/>
          <w:highlight w:val="none"/>
          <w14:textFill>
            <w14:solidFill>
              <w14:schemeClr w14:val="tx1"/>
            </w14:solidFill>
          </w14:textFill>
        </w:rPr>
        <w:t xml:space="preserve">魏楼河、东夏河底泥处置项目</w:t>
      </w:r>
      <w:bookmarkStart w:id="131" w:name="_GoBack"/>
      <w:r/>
      <w:bookmarkEnd w:id="131"/>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43"/>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t xml:space="preserve">竞争性磋商文件</w:t>
      </w:r>
      <w:r/>
    </w:p>
    <w:p>
      <w:pPr>
        <w:pStyle w:val="1343"/>
        <w:ind w:firstLine="0"/>
        <w:jc w:val="center"/>
        <w:rPr>
          <w:rFonts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w:t>
      </w:r>
      <w:r>
        <w:rPr>
          <w:rFonts w:ascii="Times New Roman" w:hAnsi="Times New Roman"/>
          <w:color w:val="000000" w:themeColor="text1"/>
          <w:sz w:val="28"/>
          <w:szCs w:val="28"/>
          <w:highlight w:val="none"/>
          <w14:textFill>
            <w14:solidFill>
              <w14:schemeClr w14:val="tx1"/>
            </w14:solidFill>
          </w14:textFill>
        </w:rPr>
        <w:t xml:space="preserve">全流程电子化不见面开标）</w:t>
      </w:r>
      <w:r/>
    </w:p>
    <w:p>
      <w:pPr>
        <w:pStyle w:val="1343"/>
        <w:ind w:firstLine="0"/>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r>
      <w:r/>
    </w:p>
    <w:p>
      <w:pPr>
        <w:pStyle w:val="1343"/>
        <w:ind w:firstLine="0"/>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43"/>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pStyle w:val="1343"/>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pStyle w:val="1343"/>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采购人：</w:t>
      </w:r>
      <w:r>
        <w:rPr>
          <w:rFonts w:hint="eastAsia" w:ascii="宋体" w:hAnsi="宋体" w:cs="宋体"/>
          <w:b/>
          <w:bCs/>
          <w:color w:val="000000" w:themeColor="text1"/>
          <w:sz w:val="36"/>
          <w:szCs w:val="36"/>
          <w:highlight w:val="none"/>
          <w:lang w:eastAsia="zh-CN"/>
          <w14:textFill>
            <w14:solidFill>
              <w14:schemeClr w14:val="tx1"/>
            </w14:solidFill>
          </w14:textFill>
        </w:rPr>
        <w:t xml:space="preserve">泰州市九龙镇人民政府</w:t>
      </w:r>
      <w:r/>
    </w:p>
    <w:p>
      <w:pPr>
        <w:jc w:val="center"/>
        <w:spacing w:line="360" w:lineRule="auto"/>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代理机构：</w:t>
      </w:r>
      <w:r>
        <w:rPr>
          <w:rFonts w:hint="eastAsia" w:ascii="宋体" w:hAnsi="宋体" w:cs="宋体"/>
          <w:b/>
          <w:bCs/>
          <w:color w:val="000000" w:themeColor="text1"/>
          <w:sz w:val="36"/>
          <w:szCs w:val="36"/>
          <w:highlight w:val="none"/>
          <w:lang w:eastAsia="zh-CN"/>
          <w14:textFill>
            <w14:solidFill>
              <w14:schemeClr w14:val="tx1"/>
            </w14:solidFill>
          </w14:textFill>
        </w:rPr>
        <w:t xml:space="preserve">泰州天平会计师事务所有限公司</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二〇二六年</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三</w:t>
      </w:r>
      <w:r>
        <w:rPr>
          <w:rFonts w:hint="eastAsia" w:ascii="宋体" w:hAnsi="宋体" w:cs="宋体"/>
          <w:b/>
          <w:bCs/>
          <w:color w:val="000000" w:themeColor="text1"/>
          <w:sz w:val="36"/>
          <w:szCs w:val="36"/>
          <w:highlight w:val="none"/>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目  录</w:t>
      </w:r>
      <w:r/>
    </w:p>
    <w:p>
      <w:pPr>
        <w:pStyle w:val="1185"/>
        <w:ind w:firstLine="301"/>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"_Toc16887"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竞争性磋商公告</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"_Toc28896"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参加磋商的供应商须知</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"_Toc20325"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"_Toc32522"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第四章  采购需求</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"_Toc10158"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第五章  评审方法和评审标准</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"_Toc31610"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响应文件的组成和格式</w:t>
      </w:r>
      <w:r>
        <w:rPr>
          <w:rFonts w:hint="eastAsia" w:ascii="宋体" w:hAnsi="宋体" w:cs="宋体"/>
          <w:color w:val="000000" w:themeColor="text1"/>
          <w:sz w:val="28"/>
          <w:szCs w:val="28"/>
          <w:highlight w:val="none"/>
          <w14:textFill>
            <w14:solidFill>
              <w14:schemeClr w14:val="tx1"/>
            </w14:solidFill>
          </w14:textFill>
        </w:rPr>
        <w:fldChar w:fldCharType="end"/>
      </w:r>
      <w:r/>
    </w:p>
    <w:p>
      <w:pPr>
        <w:spacing w:line="480" w:lineRule="auto"/>
        <w:rPr>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148"/>
        <w:numPr>
          <w:ilvl w:val="0"/>
          <w:numId w:val="1"/>
        </w:numPr>
        <w:spacing w:line="480" w:lineRule="auto"/>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 </w:t>
      </w:r>
      <w:bookmarkStart w:id="0" w:name="_Toc16887"/>
      <w:r>
        <w:rPr>
          <w:color w:val="000000" w:themeColor="text1"/>
          <w:sz w:val="32"/>
          <w:szCs w:val="32"/>
          <w:highlight w:val="none"/>
          <w14:textFill>
            <w14:solidFill>
              <w14:schemeClr w14:val="tx1"/>
            </w14:solidFill>
          </w14:textFill>
        </w:rPr>
        <w:t xml:space="preserve">竞争性磋商</w:t>
      </w:r>
      <w:r>
        <w:rPr>
          <w:rFonts w:hint="eastAsia"/>
          <w:color w:val="000000" w:themeColor="text1"/>
          <w:sz w:val="32"/>
          <w:szCs w:val="32"/>
          <w:highlight w:val="none"/>
          <w14:textFill>
            <w14:solidFill>
              <w14:schemeClr w14:val="tx1"/>
            </w14:solidFill>
          </w14:textFill>
        </w:rPr>
        <w:t xml:space="preserve">公告</w:t>
      </w:r>
      <w:bookmarkEnd w:id="0"/>
      <w:r/>
      <w:r/>
    </w:p>
    <w:p>
      <w:pPr>
        <w:spacing w:line="420" w:lineRule="exact"/>
        <w:rPr>
          <w:rFonts w:hint="eastAsia" w:ascii="宋体" w:hAnsi="宋体" w:cs="宋体"/>
          <w:color w:val="000000" w:themeColor="text1"/>
          <w:spacing w:val="-2"/>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 w:name="_Toc14577347"/>
      <w:r/>
      <w:bookmarkStart w:id="2" w:name="_Toc513029209"/>
      <w:r/>
      <w:bookmarkStart w:id="3" w:name="_Toc61149549"/>
      <w:r>
        <w:rPr>
          <w:rFonts w:hint="eastAsia" w:ascii="宋体" w:hAnsi="宋体" w:cs="宋体"/>
          <w:color w:val="000000" w:themeColor="text1"/>
          <w:spacing w:val="-2"/>
          <w:sz w:val="24"/>
          <w:highlight w:val="none"/>
          <w14:textFill>
            <w14:solidFill>
              <w14:schemeClr w14:val="tx1"/>
            </w14:solidFill>
          </w14:textFill>
        </w:rPr>
        <w:t xml:space="preserve">项目概况</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28359089"/>
      <w:r/>
      <w:bookmarkStart w:id="5" w:name="_Toc35393629"/>
      <w:r/>
      <w:bookmarkStart w:id="6" w:name="_Toc28359012"/>
      <w:r/>
      <w:bookmarkStart w:id="7" w:name="_Toc35393798"/>
      <w:r>
        <w:rPr>
          <w:rFonts w:hint="eastAsia" w:ascii="宋体" w:hAnsi="宋体" w:cs="宋体"/>
          <w:color w:val="000000" w:themeColor="text1"/>
          <w:sz w:val="24"/>
          <w:highlight w:val="none"/>
          <w:lang w:eastAsia="zh-CN"/>
          <w14:textFill>
            <w14:solidFill>
              <w14:schemeClr w14:val="tx1"/>
            </w14:solidFill>
          </w14:textFill>
        </w:rPr>
        <w:t xml:space="preserve">魏楼河、东夏河底泥处置项目JSZC-321202-TZTP-C2026-0001</w:t>
      </w:r>
      <w:r>
        <w:rPr>
          <w:rFonts w:hint="eastAsia" w:ascii="宋体" w:hAnsi="宋体" w:cs="宋体"/>
          <w:color w:val="000000" w:themeColor="text1"/>
          <w:sz w:val="24"/>
          <w:highlight w:val="none"/>
          <w14:textFill>
            <w14:solidFill>
              <w14:schemeClr w14:val="tx1"/>
            </w14:solidFill>
          </w14:textFill>
        </w:rPr>
        <w:t xml:space="preserve">采购项目的潜在供应商应在江苏</w:t>
      </w:r>
      <w:r>
        <w:rPr>
          <w:rFonts w:hint="eastAsia" w:ascii="宋体" w:hAnsi="宋体" w:cs="宋体"/>
          <w:color w:val="000000" w:themeColor="text1"/>
          <w:sz w:val="24"/>
          <w:highlight w:val="none"/>
          <w14:textFill>
            <w14:solidFill>
              <w14:schemeClr w14:val="tx1"/>
            </w14:solidFill>
          </w14:textFill>
        </w:rPr>
        <w:t xml:space="preserve">省</w:t>
      </w:r>
      <w:r>
        <w:rPr>
          <w:rFonts w:hint="eastAsia" w:ascii="宋体" w:hAnsi="宋体" w:cs="宋体"/>
          <w:color w:val="000000" w:themeColor="text1"/>
          <w:sz w:val="24"/>
          <w:highlight w:val="none"/>
          <w14:textFill>
            <w14:solidFill>
              <w14:schemeClr w14:val="tx1"/>
            </w14:solidFill>
          </w14:textFill>
        </w:rPr>
        <w:t xml:space="preserve">政府采购“苏采云”系统获取采购文件，并于2026</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19日14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114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JSZC-321202-TZTP-C2026-0001</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bookmarkStart w:id="8" w:name="OLE_LINK4"/>
      <w:r>
        <w:rPr>
          <w:rFonts w:hint="eastAsia" w:ascii="宋体" w:hAnsi="宋体" w:cs="宋体"/>
          <w:color w:val="000000" w:themeColor="text1"/>
          <w:sz w:val="24"/>
          <w:highlight w:val="none"/>
          <w:lang w:eastAsia="zh-CN"/>
          <w14:textFill>
            <w14:solidFill>
              <w14:schemeClr w14:val="tx1"/>
            </w14:solidFill>
          </w14:textFill>
        </w:rPr>
        <w:t xml:space="preserve">魏楼河、东夏河底泥处置项目</w:t>
      </w:r>
      <w:bookmarkEnd w:id="8"/>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340万</w:t>
      </w:r>
      <w:r>
        <w:rPr>
          <w:rFonts w:hint="eastAsia" w:ascii="宋体" w:hAnsi="宋体" w:cs="宋体"/>
          <w:color w:val="000000" w:themeColor="text1"/>
          <w:sz w:val="24"/>
          <w:highlight w:val="none"/>
          <w14:textFill>
            <w14:solidFill>
              <w14:schemeClr w14:val="tx1"/>
            </w14:solidFill>
          </w14:textFill>
        </w:rPr>
        <w:t xml:space="preserve">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本项目最高限价340万元，污泥处置单价限价200元/吨，供应商报价均不得超过上述单价与总价限价，否则按无效响应处理；</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前期已完成三村干河魏楼段、东夏河河道清淤施工，产生污泥约17000吨，拟按一般固体废物规范处置。现通过竞争性磋商方式，择优确定第三方专业单位承担本次污泥处置工作，具体服务内容、技术要求及相关标准详见磋商文件第四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0"/>
          <w:highlight w:val="none"/>
          <w:lang w:val="en-US" w:eastAsia="zh-CN"/>
          <w14:textFill>
            <w14:solidFill>
              <w14:schemeClr w14:val="tx1"/>
            </w14:solidFill>
          </w14:textFill>
        </w:rPr>
        <w:t xml:space="preserve">30天。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w:t>
      </w:r>
      <w:r/>
    </w:p>
    <w:p>
      <w:pPr>
        <w:pStyle w:val="114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bookmarkStart w:id="9" w:name="_Toc35393799"/>
      <w:r/>
      <w:bookmarkStart w:id="10" w:name="_Toc35393630"/>
      <w:r/>
      <w:bookmarkStart w:id="11" w:name="_Toc28359013"/>
      <w:r/>
      <w:bookmarkStart w:id="12" w:name="_Toc28359090"/>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（二）落实政府采购政策需满足的资格要求：本项目专门面向中小企业，供应商应为中小微企业、监狱企业、残疾人福利性单位。</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1.供应商</w:t>
      </w:r>
      <w:r>
        <w:rPr>
          <w:rFonts w:hint="eastAsia" w:ascii="宋体" w:hAnsi="宋体" w:cs="宋体"/>
          <w:color w:val="000000" w:themeColor="text1"/>
          <w:sz w:val="24"/>
          <w:highlight w:val="none"/>
          <w14:textFill>
            <w14:solidFill>
              <w14:schemeClr w14:val="tx1"/>
            </w14:solidFill>
          </w14:textFill>
        </w:rPr>
        <w:t xml:space="preserve">具备环保部门或行政审批部门核发的关于污泥处置项目的环评批复或审批意见</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2.供应商</w:t>
      </w:r>
      <w:r>
        <w:rPr>
          <w:rFonts w:hint="eastAsia" w:ascii="宋体" w:hAnsi="宋体" w:cs="宋体"/>
          <w:color w:val="000000" w:themeColor="text1"/>
          <w:sz w:val="24"/>
          <w:highlight w:val="none"/>
          <w14:textFill>
            <w14:solidFill>
              <w14:schemeClr w14:val="tx1"/>
            </w14:solidFill>
          </w14:textFill>
        </w:rPr>
        <w:t xml:space="preserve">具备环境保护行政主管部门出具的排污许可证明材料；</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3.供应商须提供</w:t>
      </w:r>
      <w:r>
        <w:rPr>
          <w:rFonts w:hint="eastAsia" w:ascii="宋体" w:hAnsi="宋体" w:eastAsia="宋体" w:cs="宋体"/>
          <w:color w:val="000000" w:themeColor="text1"/>
          <w:sz w:val="24"/>
          <w:highlight w:val="none"/>
          <w14:textFill>
            <w14:solidFill>
              <w14:schemeClr w14:val="tx1"/>
            </w14:solidFill>
          </w14:textFill>
        </w:rPr>
        <w:t xml:space="preserve">江苏省污染源“一企一档”管理系统（江苏省固体废物管理信息系统）上，其固态（废物）申报代码：900-001-S91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废物名称</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清淤疏浚污泥SW91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，且</w:t>
      </w:r>
      <w:r>
        <w:rPr>
          <w:rFonts w:hint="eastAsia" w:ascii="宋体" w:hAnsi="宋体" w:cs="宋体"/>
          <w:color w:val="000000" w:themeColor="text1"/>
          <w:sz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核准量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2万吨（提供江苏省固体废物管理信息系统中，本单位已备案通过的固废类别、代码及核准能力截图）</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3" w:name="_Toc35393631"/>
      <w:r/>
      <w:bookmarkStart w:id="14" w:name="_Toc28359091"/>
      <w:r/>
      <w:bookmarkStart w:id="15" w:name="_Toc35393800"/>
      <w:r/>
      <w:bookmarkStart w:id="16" w:name="_Toc28359014"/>
      <w:r>
        <w:rPr>
          <w:rFonts w:hint="eastAsia" w:ascii="宋体" w:hAnsi="宋体" w:cs="宋体"/>
          <w:color w:val="000000" w:themeColor="text1"/>
          <w:sz w:val="24"/>
          <w:highlight w:val="none"/>
          <w14:textFill>
            <w14:solidFill>
              <w14:schemeClr w14:val="tx1"/>
            </w14:solidFill>
          </w14:textFill>
        </w:rPr>
        <w:t xml:space="preserve">注：1.凡为本采购项目提供整体设计、规范编制或者项目管理、监理、检测等服务的供应商，不得再参加本采购项目的其他采购活动；</w:t>
      </w:r>
      <w:r/>
    </w:p>
    <w:p>
      <w:pPr>
        <w:ind w:firstLine="9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三、获取采购文件</w:t>
      </w:r>
      <w:bookmarkEnd w:id="13"/>
      <w:r/>
      <w:bookmarkEnd w:id="14"/>
      <w:r/>
      <w:bookmarkEnd w:id="15"/>
      <w:r/>
      <w:bookmarkEnd w:id="1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7" w:name="_Toc28359092"/>
      <w:r/>
      <w:bookmarkStart w:id="18" w:name="_Toc28359015"/>
      <w:r/>
      <w:bookmarkStart w:id="19" w:name="_Toc35393632"/>
      <w:r/>
      <w:bookmarkStart w:id="20" w:name="_Toc35393801"/>
      <w:r>
        <w:rPr>
          <w:rFonts w:hint="eastAsia" w:ascii="宋体" w:hAnsi="宋体" w:cs="宋体"/>
          <w:color w:val="000000" w:themeColor="text1"/>
          <w:sz w:val="24"/>
          <w:highlight w:val="none"/>
          <w14:textFill>
            <w14:solidFill>
              <w14:schemeClr w14:val="tx1"/>
            </w14:solidFill>
          </w14:textFill>
        </w:rPr>
        <w:t xml:space="preserve">时间：自公告发布之日起5个工作日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w:t>
      </w:r>
      <w:r>
        <w:rPr>
          <w:rFonts w:hint="eastAsia" w:ascii="宋体" w:hAnsi="宋体" w:cs="宋体"/>
          <w:color w:val="000000" w:themeColor="text1"/>
          <w:sz w:val="24"/>
          <w:highlight w:val="none"/>
          <w14:textFill>
            <w14:solidFill>
              <w14:schemeClr w14:val="tx1"/>
            </w14:solidFill>
          </w14:textFill>
        </w:rPr>
        <w:t xml:space="preserve">省</w:t>
      </w:r>
      <w:r>
        <w:rPr>
          <w:rFonts w:hint="eastAsia" w:ascii="宋体" w:hAnsi="宋体" w:cs="宋体"/>
          <w:color w:val="000000" w:themeColor="text1"/>
          <w:sz w:val="24"/>
          <w:highlight w:val="none"/>
          <w14:textFill>
            <w14:solidFill>
              <w14:schemeClr w14:val="tx1"/>
            </w14:solidFill>
          </w14:textFill>
        </w:rPr>
        <w:t xml:space="preserve">政府采购“苏采云”系统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方式：供应商完成注册并办理CA证书后登录江苏</w:t>
      </w:r>
      <w:r>
        <w:rPr>
          <w:rFonts w:hint="eastAsia" w:ascii="宋体" w:hAnsi="宋体" w:cs="宋体"/>
          <w:color w:val="000000" w:themeColor="text1"/>
          <w:sz w:val="24"/>
          <w:highlight w:val="none"/>
          <w14:textFill>
            <w14:solidFill>
              <w14:schemeClr w14:val="tx1"/>
            </w14:solidFill>
          </w14:textFill>
        </w:rPr>
        <w:t xml:space="preserve">省</w:t>
      </w:r>
      <w:r>
        <w:rPr>
          <w:rFonts w:hint="eastAsia" w:ascii="宋体" w:hAnsi="宋体" w:cs="宋体"/>
          <w:color w:val="000000" w:themeColor="text1"/>
          <w:sz w:val="24"/>
          <w:highlight w:val="none"/>
          <w14:textFill>
            <w14:solidFill>
              <w14:schemeClr w14:val="tx1"/>
            </w14:solidFill>
          </w14:textFill>
        </w:rPr>
        <w:t xml:space="preserve">政府采购“苏采云”系统下载本项目采购文件。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bookmarkEnd w:id="17"/>
      <w:r/>
      <w:bookmarkEnd w:id="18"/>
      <w:r/>
      <w:bookmarkEnd w:id="19"/>
      <w:r/>
      <w:bookmarkEnd w:id="20"/>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四、响应文件提交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截止时间：2026</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19日14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地点：“苏采云”系统（网址：http://jszfcg.jsczt.cn/）</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1" w:name="_Toc28359016"/>
      <w:r/>
      <w:bookmarkStart w:id="22" w:name="_Toc35393802"/>
      <w:r/>
      <w:bookmarkStart w:id="23" w:name="_Toc28359093"/>
      <w:r/>
      <w:bookmarkStart w:id="24" w:name="_Toc35393633"/>
      <w:r>
        <w:rPr>
          <w:rFonts w:hint="eastAsia" w:ascii="宋体" w:hAnsi="宋体" w:cs="宋体"/>
          <w:b/>
          <w:bCs/>
          <w:color w:val="000000" w:themeColor="text1"/>
          <w:sz w:val="24"/>
          <w:highlight w:val="none"/>
          <w14:textFill>
            <w14:solidFill>
              <w14:schemeClr w14:val="tx1"/>
            </w14:solidFill>
          </w14:textFill>
        </w:rPr>
        <w:t xml:space="preserve">五、开启</w:t>
      </w:r>
      <w:bookmarkEnd w:id="21"/>
      <w:r/>
      <w:bookmarkEnd w:id="22"/>
      <w:r/>
      <w:bookmarkEnd w:id="23"/>
      <w:r/>
      <w:bookmarkEnd w:id="24"/>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时间：2026</w:t>
      </w:r>
      <w:r>
        <w:rPr>
          <w:rFonts w:hint="eastAsia" w:ascii="宋体" w:hAnsi="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19日14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地点：“苏采云”系统（网址：http://jszfcg.jsczt.cn/）“开标大厅”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5" w:name="_Toc35393634"/>
      <w:r/>
      <w:bookmarkStart w:id="26" w:name="_Toc35393803"/>
      <w:r/>
      <w:bookmarkStart w:id="27" w:name="_Toc28359017"/>
      <w:r/>
      <w:bookmarkStart w:id="28" w:name="_Toc28359094"/>
      <w:r>
        <w:rPr>
          <w:rFonts w:hint="eastAsia" w:ascii="宋体" w:hAnsi="宋体" w:cs="宋体"/>
          <w:b/>
          <w:bCs/>
          <w:color w:val="000000" w:themeColor="text1"/>
          <w:sz w:val="24"/>
          <w:highlight w:val="none"/>
          <w14:textFill>
            <w14:solidFill>
              <w14:schemeClr w14:val="tx1"/>
            </w14:solidFill>
          </w14:textFill>
        </w:rPr>
        <w:t xml:space="preserve">六、公告期限</w:t>
      </w:r>
      <w:bookmarkEnd w:id="25"/>
      <w:r/>
      <w:bookmarkEnd w:id="26"/>
      <w:r/>
      <w:bookmarkEnd w:id="27"/>
      <w:r/>
      <w:bookmarkEnd w:id="28"/>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numPr>
          <w:ilvl w:val="0"/>
          <w:numId w:val="2"/>
        </w:num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其他补充事项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政府采购促进中小企业发展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政府采购支持监狱企业发展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政府采购促进残疾人就业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政府采购鼓励采购绿色节能环保产品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商品包装符合环保要求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2.本项目采用电子化交易模式，具体详见《江苏省政府采购管理交易系统（苏采云）供应商操作指南》，特别注意以下事项：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（1）“苏采云”系统的网址为：http://jszfcg.jsczt.cn/</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（2）投标供应商需办理“CA 数字证书”的，可参阅“江苏政府采购网/办事指南/资料下载”中有关资料。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（3）供应商应当通过“苏采云”系统提交电子投标文件。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CA办理电话：0523-81568158。技术支持电话：0523-87633965、0523-86897512；客服QQ：709339244、1195486789。</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3.有关本次采购的事项若存在变动或修改，敬请及时关注“江苏政府采购网”发布的更正公告。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在评标结束前，各投标供应商授权代表应保持手机畅通，以便及时澄清答疑</w:t>
      </w:r>
      <w:r>
        <w:rPr>
          <w:rFonts w:hint="eastAsia" w:ascii="宋体" w:hAnsi="宋体" w:cs="宋体"/>
          <w:color w:val="000000" w:themeColor="text1"/>
          <w:sz w:val="24"/>
          <w:highlight w:val="none"/>
          <w14:textFill>
            <w14:solidFill>
              <w14:schemeClr w14:val="tx1"/>
            </w14:solidFill>
          </w14:textFill>
        </w:rPr>
        <w:t xml:space="preserve">、磋商。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如潜在投标供应商未按上述要求操作，将自行承担所产生的一切风险。</w:t>
      </w:r>
      <w:r/>
    </w:p>
    <w:p>
      <w:pPr>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6.如认为上述公告中，有违反公平竞争审查标准的内容，联系泰州市九龙镇人民政府或泰州天平会计师事务所有限公司，联系人：俞先生，联系方式：18921730973。</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八、凡对本次采购提出询问，请按以下方式联系。</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bookmarkStart w:id="29" w:name="_Toc28359009"/>
      <w:r/>
      <w:bookmarkStart w:id="30" w:name="_Toc28359086"/>
      <w:r>
        <w:rPr>
          <w:rFonts w:hint="eastAsia" w:ascii="宋体" w:hAnsi="宋体" w:cs="宋体"/>
          <w:color w:val="000000" w:themeColor="text1"/>
          <w:sz w:val="24"/>
          <w:highlight w:val="none"/>
          <w14:textFill>
            <w14:solidFill>
              <w14:schemeClr w14:val="tx1"/>
            </w14:solidFill>
          </w14:textFill>
        </w:rPr>
        <w:t xml:space="preserve">1.采购人</w:t>
      </w:r>
      <w:r/>
    </w:p>
    <w:p>
      <w:pPr>
        <w:ind w:firstLine="482"/>
        <w:jc w:val="left"/>
        <w:keepLines w:val="0"/>
        <w:keepNext w:val="0"/>
        <w:pageBreakBefore w:val="0"/>
        <w:spacing w:line="420" w:lineRule="exact"/>
        <w:shd w:val="clear" w:color="auto" w:fill="ffffff"/>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w:t>
      </w:r>
      <w:r>
        <w:rPr>
          <w:rFonts w:hint="eastAsia" w:ascii="宋体" w:hAnsi="宋体" w:cs="宋体"/>
          <w:color w:val="000000" w:themeColor="text1"/>
          <w:sz w:val="24"/>
          <w:szCs w:val="20"/>
          <w:highlight w:val="none"/>
          <w14:textFill>
            <w14:solidFill>
              <w14:schemeClr w14:val="tx1"/>
            </w14:solidFill>
          </w14:textFill>
        </w:rPr>
        <w:t xml:space="preserve">位名称：</w:t>
      </w:r>
      <w:r>
        <w:rPr>
          <w:rFonts w:hint="eastAsia" w:ascii="宋体" w:hAnsi="宋体" w:cs="宋体"/>
          <w:color w:val="000000" w:themeColor="text1"/>
          <w:sz w:val="24"/>
          <w:szCs w:val="20"/>
          <w:highlight w:val="none"/>
          <w:lang w:eastAsia="zh-CN"/>
          <w14:textFill>
            <w14:solidFill>
              <w14:schemeClr w14:val="tx1"/>
            </w14:solidFill>
          </w14:textFill>
        </w:rPr>
        <w:t xml:space="preserve">泰州市九龙镇人民政府</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联系地址：泰州市海陵区九龙镇龙园路201号</w:t>
      </w:r>
      <w:r/>
    </w:p>
    <w:p>
      <w:pPr>
        <w:ind w:firstLine="482"/>
        <w:jc w:val="left"/>
        <w:keepLines w:val="0"/>
        <w:keepNext w:val="0"/>
        <w:pageBreakBefore w:val="0"/>
        <w:spacing w:line="42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eastAsia="zh-CN"/>
          <w14:textFill>
            <w14:solidFill>
              <w14:schemeClr w14:val="tx1"/>
            </w14:solidFill>
          </w14:textFill>
        </w:rPr>
        <w:t xml:space="preserve">联系人</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0"/>
          <w:highlight w:val="none"/>
          <w:lang w:val="en-US" w:eastAsia="zh-CN"/>
          <w14:textFill>
            <w14:solidFill>
              <w14:schemeClr w14:val="tx1"/>
            </w14:solidFill>
          </w14:textFill>
        </w:rPr>
        <w:t xml:space="preserve">栾先生</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联系电话：18036799051 　</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bookmarkEnd w:id="29"/>
      <w:r/>
      <w:bookmarkEnd w:id="30"/>
      <w:r/>
      <w:r/>
    </w:p>
    <w:p>
      <w:pPr>
        <w:ind w:firstLine="482"/>
        <w:jc w:val="left"/>
        <w:keepLines w:val="0"/>
        <w:keepNext w:val="0"/>
        <w:pageBreakBefore w:val="0"/>
        <w:spacing w:line="420" w:lineRule="exact"/>
        <w:shd w:val="clear" w:color="auto" w:fill="ffffff"/>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泰州天平会计师事务所有限公司</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址：泰州市海陵区青年北路313号</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联系人：俞先生　　　　　　　　　　</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联系方式：18921730973</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项目联系人：俞先生</w:t>
      </w:r>
      <w:r/>
    </w:p>
    <w:p>
      <w:pPr>
        <w:ind w:firstLine="482"/>
        <w:jc w:val="left"/>
        <w:keepLines w:val="0"/>
        <w:keepNext w:val="0"/>
        <w:pageBreakBefore w:val="0"/>
        <w:spacing w:line="420" w:lineRule="exact"/>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bookmarkEnd w:id="1"/>
      <w:r/>
      <w:bookmarkEnd w:id="2"/>
      <w:r/>
      <w:bookmarkEnd w:id="3"/>
      <w:r>
        <w:rPr>
          <w:rFonts w:hint="eastAsia" w:ascii="宋体" w:hAnsi="宋体" w:cs="宋体"/>
          <w:color w:val="000000" w:themeColor="text1"/>
          <w:sz w:val="24"/>
          <w:highlight w:val="none"/>
          <w14:textFill>
            <w14:solidFill>
              <w14:schemeClr w14:val="tx1"/>
            </w14:solidFill>
          </w14:textFill>
        </w:rPr>
        <w:t xml:space="preserve">18921730973</w:t>
      </w:r>
      <w:r/>
    </w:p>
    <w:p>
      <w:pPr>
        <w:rPr>
          <w:rFonts w:hint="eastAsia" w:ascii="宋体" w:hAnsi="宋体" w:cs="宋体"/>
          <w:b/>
          <w:color w:val="000000" w:themeColor="text1"/>
          <w:sz w:val="32"/>
          <w:szCs w:val="32"/>
          <w:highlight w:val="none"/>
          <w14:textFill>
            <w14:solidFill>
              <w14:schemeClr w14:val="tx1"/>
            </w14:solidFill>
          </w14:textFill>
        </w:rPr>
      </w:pPr>
      <w:r/>
      <w:bookmarkStart w:id="31" w:name="_Toc28896"/>
      <w:r/>
      <w:bookmarkEnd w:id="31"/>
      <w:r/>
      <w:bookmarkStart w:id="32" w:name="_Toc20325"/>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tabs>
          <w:tab w:val="left" w:pos="1515" w:leader="none"/>
        </w:tabs>
        <w:rPr>
          <w:rFonts w:hint="eastAsia"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第二章 参加磋商的供应商须知</w:t>
      </w:r>
      <w:r/>
    </w:p>
    <w:p>
      <w:pPr>
        <w:ind w:firstLine="480"/>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一、总则</w:t>
      </w:r>
      <w:r/>
    </w:p>
    <w:p>
      <w:pPr>
        <w:ind w:firstLine="480"/>
        <w:spacing w:line="360" w:lineRule="auto"/>
        <w:tabs>
          <w:tab w:val="left" w:pos="900" w:leader="none"/>
          <w:tab w:val="center" w:pos="4873"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本磋商文件仅适用于</w:t>
      </w:r>
      <w:r>
        <w:rPr>
          <w:rFonts w:hint="eastAsia" w:ascii="宋体" w:hAnsi="宋体" w:cs="宋体"/>
          <w:color w:val="000000" w:themeColor="text1"/>
          <w:sz w:val="24"/>
          <w:highlight w:val="none"/>
          <w:lang w:eastAsia="zh-CN"/>
          <w14:textFill>
            <w14:solidFill>
              <w14:schemeClr w14:val="tx1"/>
            </w14:solidFill>
          </w14:textFill>
        </w:rPr>
        <w:t xml:space="preserve">魏楼河、东夏河底泥处置项目</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3.2满足本磋商文件实质性要求和条件的规定。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4.参加磋商的费用</w:t>
      </w:r>
      <w:r/>
    </w:p>
    <w:p>
      <w:pPr>
        <w:ind w:firstLine="480"/>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4.1参加磋商的供应商应自行承担所有与参加磋商有关的费用。不论最终的成交结果如何，</w:t>
      </w:r>
      <w:r>
        <w:rPr>
          <w:rFonts w:hint="eastAsia"/>
          <w:color w:val="000000" w:themeColor="text1"/>
          <w:sz w:val="24"/>
          <w:highlight w:val="none"/>
          <w:lang w:eastAsia="zh-CN"/>
          <w14:textFill>
            <w14:solidFill>
              <w14:schemeClr w14:val="tx1"/>
            </w14:solidFill>
          </w14:textFill>
        </w:rPr>
        <w:t xml:space="preserve">泰州天平会计师事务所有限公司</w:t>
      </w:r>
      <w:r>
        <w:rPr>
          <w:rFonts w:hint="eastAsia" w:ascii="宋体" w:hAnsi="宋体"/>
          <w:color w:val="000000" w:themeColor="text1"/>
          <w:sz w:val="24"/>
          <w:highlight w:val="none"/>
          <w14:textFill>
            <w14:solidFill>
              <w14:schemeClr w14:val="tx1"/>
            </w14:solidFill>
          </w14:textFill>
        </w:rPr>
        <w:t xml:space="preserve">（以下简称代理机构）在任何情况下均无义务和责任承担这些费用。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33" w:name="_Hlt26668969"/>
      <w:r/>
      <w:bookmarkEnd w:id="33"/>
      <w:r/>
      <w:bookmarkStart w:id="34" w:name="_Hlt26670354"/>
      <w:r/>
      <w:bookmarkEnd w:id="34"/>
      <w:r/>
      <w:bookmarkStart w:id="35" w:name="_Hlt26954828"/>
      <w:r/>
      <w:bookmarkEnd w:id="35"/>
      <w:r/>
      <w:bookmarkStart w:id="36" w:name="_Hlt26670345"/>
      <w:r/>
      <w:bookmarkEnd w:id="36"/>
      <w:r/>
      <w:bookmarkStart w:id="37" w:name="_Hlt26954832"/>
      <w:r/>
      <w:bookmarkEnd w:id="37"/>
      <w:r/>
      <w:bookmarkStart w:id="38" w:name="_Hlt26954830"/>
      <w:r/>
      <w:bookmarkEnd w:id="38"/>
      <w:r/>
      <w:bookmarkStart w:id="39" w:name="_Hlt26670348"/>
      <w:r/>
      <w:bookmarkEnd w:id="39"/>
      <w:r/>
      <w:bookmarkStart w:id="40" w:name="_Toc513029213"/>
      <w:r/>
      <w:bookmarkStart w:id="41" w:name="_Toc61149553"/>
      <w:r/>
      <w:bookmarkStart w:id="42" w:name="_Toc14577351"/>
      <w:r/>
      <w:bookmarkStart w:id="43" w:name="_Toc462564072"/>
      <w:r>
        <w:rPr>
          <w:rFonts w:hint="eastAsia" w:ascii="宋体" w:hAnsi="宋体"/>
          <w:color w:val="000000" w:themeColor="text1"/>
          <w:sz w:val="24"/>
          <w:highlight w:val="none"/>
          <w14:textFill>
            <w14:solidFill>
              <w14:schemeClr w14:val="tx1"/>
            </w14:solidFill>
          </w14:textFill>
        </w:rPr>
        <w:t xml:space="preserve">6.磋商文件的解释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磋商文件需求部分（供应商资格要求、项目需求、商务技术评分标准）由采购人解释，其他部分由采购代理机构解释。</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二、磋商响应文件的编制</w:t>
      </w:r>
      <w:bookmarkEnd w:id="40"/>
      <w:r/>
      <w:bookmarkEnd w:id="41"/>
      <w:r/>
      <w:bookmarkEnd w:id="42"/>
      <w:r/>
      <w:bookmarkEnd w:id="43"/>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44" w:name="_Hlt26954836"/>
      <w:r/>
      <w:bookmarkEnd w:id="44"/>
      <w:r/>
      <w:bookmarkStart w:id="45" w:name="_Hlt26670357"/>
      <w:r/>
      <w:bookmarkEnd w:id="45"/>
      <w:r/>
      <w:bookmarkStart w:id="46" w:name="_Toc20823282"/>
      <w:r/>
      <w:bookmarkStart w:id="47" w:name="_Toc513029210"/>
      <w:r/>
      <w:bookmarkStart w:id="48" w:name="_Toc16938526"/>
      <w:r/>
      <w:bookmarkStart w:id="49" w:name="_Toc20823309"/>
      <w:r/>
      <w:bookmarkStart w:id="50" w:name="_Toc16938553"/>
      <w:r/>
      <w:bookmarkStart w:id="51" w:name="_Toc513029237"/>
      <w:r>
        <w:rPr>
          <w:rFonts w:hint="eastAsia" w:ascii="宋体" w:hAnsi="宋体"/>
          <w:color w:val="000000" w:themeColor="text1"/>
          <w:sz w:val="24"/>
          <w:highlight w:val="none"/>
          <w14:textFill>
            <w14:solidFill>
              <w14:schemeClr w14:val="tx1"/>
            </w14:solidFill>
          </w14:textFill>
        </w:rPr>
        <w:t xml:space="preserve">1.磋商文件的构成</w:t>
      </w:r>
      <w:bookmarkEnd w:id="46"/>
      <w:r/>
      <w:bookmarkEnd w:id="47"/>
      <w:r/>
      <w:bookmarkEnd w:id="48"/>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磋商文件由以下部分组成：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（1）竞争性磋商公告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（3）合同条款及格式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（5）评审方法和评审标准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（6）响应文件组成和格式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2" w:name="_Toc16938527"/>
      <w:r/>
      <w:bookmarkStart w:id="53" w:name="_Toc462564070"/>
      <w:r/>
      <w:bookmarkStart w:id="54" w:name="_Toc20823283"/>
      <w:r/>
      <w:bookmarkStart w:id="55" w:name="_Toc513029211"/>
      <w:r>
        <w:rPr>
          <w:rFonts w:hint="eastAsia" w:ascii="宋体" w:hAnsi="宋体"/>
          <w:color w:val="000000" w:themeColor="text1"/>
          <w:sz w:val="24"/>
          <w:highlight w:val="none"/>
          <w14:textFill>
            <w14:solidFill>
              <w14:schemeClr w14:val="tx1"/>
            </w14:solidFill>
          </w14:textFill>
        </w:rPr>
        <w:t xml:space="preserve">2.磋商文件的澄清</w:t>
      </w:r>
      <w:bookmarkEnd w:id="52"/>
      <w:r/>
      <w:bookmarkEnd w:id="53"/>
      <w:r/>
      <w:bookmarkEnd w:id="54"/>
      <w:r/>
      <w:bookmarkEnd w:id="5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6" w:name="_Toc513029212"/>
      <w:r/>
      <w:bookmarkStart w:id="57" w:name="_Toc16938528"/>
      <w:r/>
      <w:bookmarkStart w:id="58" w:name="_Toc20823284"/>
      <w:r/>
      <w:bookmarkStart w:id="59" w:name="_Toc462564071"/>
      <w:r>
        <w:rPr>
          <w:rFonts w:hint="eastAsia" w:ascii="宋体" w:hAnsi="宋体"/>
          <w:color w:val="000000" w:themeColor="text1"/>
          <w:sz w:val="24"/>
          <w:highlight w:val="none"/>
          <w14:textFill>
            <w14:solidFill>
              <w14:schemeClr w14:val="tx1"/>
            </w14:solidFill>
          </w14:textFill>
        </w:rPr>
        <w:t xml:space="preserve">3.磋商文件的修改</w:t>
      </w:r>
      <w:bookmarkEnd w:id="56"/>
      <w:r/>
      <w:bookmarkEnd w:id="57"/>
      <w:r/>
      <w:bookmarkEnd w:id="58"/>
      <w:r/>
      <w:bookmarkEnd w:id="5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3.1在响应文件提交截止时间前，采购人或采购代理机构可以对磋商文件进行修改</w:t>
      </w:r>
      <w:r>
        <w:rPr>
          <w:rFonts w:hint="eastAsia" w:ascii="宋体" w:hAnsi="宋体"/>
          <w:color w:val="000000" w:themeColor="text1"/>
          <w:sz w:val="24"/>
          <w:highlight w:val="none"/>
          <w:lang w:val="zh-CN"/>
          <w14:textFill>
            <w14:solidFill>
              <w14:schemeClr w14:val="tx1"/>
            </w14:solidFill>
          </w14:textFill>
        </w:rPr>
        <w:t xml:space="preserve">，澄清或者修改的</w:t>
      </w:r>
      <w:r>
        <w:rPr>
          <w:rFonts w:hint="eastAsia" w:ascii="宋体" w:hAnsi="宋体"/>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lang w:val="zh-CN"/>
          <w14:textFill>
            <w14:solidFill>
              <w14:schemeClr w14:val="tx1"/>
            </w14:solidFill>
          </w14:textFill>
        </w:rPr>
        <w:t xml:space="preserve">作为磋商文件的组成部分。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w:t>
      </w:r>
      <w:r>
        <w:rPr>
          <w:rFonts w:hint="eastAsia" w:ascii="宋体" w:hAnsi="宋体"/>
          <w:color w:val="000000" w:themeColor="text1"/>
          <w:sz w:val="24"/>
          <w:highlight w:val="none"/>
          <w:lang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5.供应商对采购人提供的采购文件所做出的推论、解释和结论，采购人概不负责。供应商</w:t>
      </w:r>
      <w:r>
        <w:rPr>
          <w:rFonts w:hint="eastAsia" w:ascii="宋体" w:hAnsi="宋体"/>
          <w:color w:val="000000" w:themeColor="text1"/>
          <w:sz w:val="24"/>
          <w:highlight w:val="none"/>
          <w:lang w:eastAsia="zh-CN"/>
          <w14:textFill>
            <w14:solidFill>
              <w14:schemeClr w14:val="tx1"/>
            </w14:solidFill>
          </w14:textFill>
        </w:rPr>
        <w:t xml:space="preserve">因</w:t>
      </w:r>
      <w:r>
        <w:rPr>
          <w:rFonts w:hint="eastAsia" w:ascii="宋体" w:hAnsi="宋体"/>
          <w:color w:val="000000" w:themeColor="text1"/>
          <w:sz w:val="24"/>
          <w:highlight w:val="none"/>
          <w14:textFill>
            <w14:solidFill>
              <w14:schemeClr w14:val="tx1"/>
            </w14:solidFill>
          </w14:textFill>
        </w:rPr>
        <w:t xml:space="preserve">对采购文件的任何推论和误解</w:t>
      </w:r>
      <w:r>
        <w:rPr>
          <w:rFonts w:hint="eastAsia" w:ascii="宋体" w:hAnsi="宋体"/>
          <w:color w:val="000000" w:themeColor="text1"/>
          <w:sz w:val="24"/>
          <w:highlight w:val="none"/>
          <w:lang w:eastAsia="zh-CN"/>
          <w14:textFill>
            <w14:solidFill>
              <w14:schemeClr w14:val="tx1"/>
            </w14:solidFill>
          </w14:textFill>
        </w:rPr>
        <w:t xml:space="preserve">，以及因采购</w:t>
      </w:r>
      <w:r>
        <w:rPr>
          <w:rFonts w:hint="eastAsia" w:ascii="宋体" w:hAnsi="宋体"/>
          <w:color w:val="000000" w:themeColor="text1"/>
          <w:sz w:val="24"/>
          <w:highlight w:val="none"/>
          <w14:textFill>
            <w14:solidFill>
              <w14:schemeClr w14:val="tx1"/>
            </w14:solidFill>
          </w14:textFill>
        </w:rPr>
        <w:t xml:space="preserve">人对有关问题的口头解释所造成的后果，均由各潜在供应商自负。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0" w:name="_Toc16938529"/>
      <w:r/>
      <w:bookmarkStart w:id="61" w:name="_Toc20823285"/>
      <w:r/>
      <w:bookmarkStart w:id="62" w:name="_Toc120614216"/>
      <w:r>
        <w:rPr>
          <w:rFonts w:hint="eastAsia" w:ascii="宋体" w:hAnsi="宋体"/>
          <w:color w:val="000000" w:themeColor="text1"/>
          <w:sz w:val="24"/>
          <w:highlight w:val="none"/>
          <w14:textFill>
            <w14:solidFill>
              <w14:schemeClr w14:val="tx1"/>
            </w14:solidFill>
          </w14:textFill>
        </w:rPr>
        <w:t xml:space="preserve">三、响应文件的编制</w:t>
      </w:r>
      <w:bookmarkEnd w:id="60"/>
      <w:r/>
      <w:bookmarkEnd w:id="61"/>
      <w:r/>
      <w:bookmarkEnd w:id="62"/>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3" w:name="_Toc16938530"/>
      <w:r/>
      <w:bookmarkStart w:id="64" w:name="_Toc20823286"/>
      <w:r/>
      <w:bookmarkStart w:id="65" w:name="_Toc462564073"/>
      <w:r/>
      <w:bookmarkStart w:id="66" w:name="_Toc513029214"/>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 响应</w:t>
      </w:r>
      <w:r>
        <w:rPr>
          <w:rFonts w:hint="eastAsia" w:ascii="宋体" w:hAnsi="宋体"/>
          <w:color w:val="000000" w:themeColor="text1"/>
          <w:sz w:val="24"/>
          <w:highlight w:val="none"/>
          <w14:textFill>
            <w14:solidFill>
              <w14:schemeClr w14:val="tx1"/>
            </w14:solidFill>
          </w14:textFill>
        </w:rPr>
        <w:t xml:space="preserve">文件的语言及度量衡单位</w:t>
      </w:r>
      <w:bookmarkEnd w:id="63"/>
      <w:r/>
      <w:bookmarkEnd w:id="64"/>
      <w:r/>
      <w:bookmarkEnd w:id="65"/>
      <w:r/>
      <w:bookmarkEnd w:id="66"/>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w:t>
      </w:r>
      <w:r>
        <w:rPr>
          <w:rFonts w:hint="eastAsia" w:ascii="宋体" w:hAnsi="宋体"/>
          <w:color w:val="000000" w:themeColor="text1"/>
          <w:sz w:val="24"/>
          <w:highlight w:val="none"/>
          <w:lang w:eastAsia="zh-CN"/>
          <w14:textFill>
            <w14:solidFill>
              <w14:schemeClr w14:val="tx1"/>
            </w14:solidFill>
          </w14:textFill>
        </w:rPr>
        <w:t xml:space="preserve"> 供应商</w:t>
      </w:r>
      <w:r>
        <w:rPr>
          <w:rFonts w:hint="eastAsia" w:ascii="宋体" w:hAnsi="宋体"/>
          <w:color w:val="000000" w:themeColor="text1"/>
          <w:sz w:val="24"/>
          <w:highlight w:val="none"/>
          <w14:textFill>
            <w14:solidFill>
              <w14:schemeClr w14:val="tx1"/>
            </w14:solidFill>
          </w14:textFill>
        </w:rPr>
        <w:t xml:space="preserve">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lang w:eastAsia="zh-CN"/>
          <w14:textFill>
            <w14:solidFill>
              <w14:schemeClr w14:val="tx1"/>
            </w14:solidFill>
          </w14:textFill>
        </w:rPr>
        <w:t xml:space="preserve"> 除</w:t>
      </w:r>
      <w:r>
        <w:rPr>
          <w:rFonts w:hint="eastAsia" w:ascii="宋体" w:hAnsi="宋体"/>
          <w:color w:val="000000" w:themeColor="text1"/>
          <w:sz w:val="24"/>
          <w:highlight w:val="none"/>
          <w14:textFill>
            <w14:solidFill>
              <w14:schemeClr w14:val="tx1"/>
            </w14:solidFill>
          </w14:textFill>
        </w:rPr>
        <w:t xml:space="preserve">技术性能另有规定外，响应文件所使用的度量衡单位，均须采用国家法定计量单位。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7" w:name="_Toc513029215"/>
      <w:r/>
      <w:bookmarkStart w:id="68" w:name="_Toc20823287"/>
      <w:r/>
      <w:bookmarkStart w:id="69" w:name="_Toc462564074"/>
      <w:r/>
      <w:bookmarkStart w:id="70" w:name="_Toc16938531"/>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 响应</w:t>
      </w:r>
      <w:r>
        <w:rPr>
          <w:rFonts w:hint="eastAsia" w:ascii="宋体" w:hAnsi="宋体"/>
          <w:color w:val="000000" w:themeColor="text1"/>
          <w:sz w:val="24"/>
          <w:highlight w:val="none"/>
          <w14:textFill>
            <w14:solidFill>
              <w14:schemeClr w14:val="tx1"/>
            </w14:solidFill>
          </w14:textFill>
        </w:rPr>
        <w:t xml:space="preserve">文件构成</w:t>
      </w:r>
      <w:bookmarkEnd w:id="67"/>
      <w:r/>
      <w:bookmarkEnd w:id="68"/>
      <w:r/>
      <w:bookmarkEnd w:id="69"/>
      <w:r/>
      <w:bookmarkEnd w:id="70"/>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lang w:eastAsia="zh-CN"/>
          <w14:textFill>
            <w14:solidFill>
              <w14:schemeClr w14:val="tx1"/>
            </w14:solidFill>
          </w14:textFill>
        </w:rPr>
        <w:t xml:space="preserve"> 供应商</w:t>
      </w:r>
      <w:r>
        <w:rPr>
          <w:rFonts w:hint="eastAsia" w:ascii="宋体" w:hAnsi="宋体"/>
          <w:color w:val="000000" w:themeColor="text1"/>
          <w:sz w:val="24"/>
          <w:highlight w:val="none"/>
          <w14:textFill>
            <w14:solidFill>
              <w14:schemeClr w14:val="tx1"/>
            </w14:solidFill>
          </w14:textFill>
        </w:rPr>
        <w:t xml:space="preserve">编写的响应文件应包括资格审查文件、商务技术响应文件、报价响应文件。供应商按第六章响应文件的组成和格式要求编写响应文件。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 磋商</w:t>
      </w:r>
      <w:r>
        <w:rPr>
          <w:rFonts w:hint="eastAsia" w:ascii="宋体" w:hAnsi="宋体"/>
          <w:color w:val="000000" w:themeColor="text1"/>
          <w:sz w:val="24"/>
          <w:highlight w:val="none"/>
          <w14:textFill>
            <w14:solidFill>
              <w14:schemeClr w14:val="tx1"/>
            </w14:solidFill>
          </w14:textFill>
        </w:rPr>
        <w:t xml:space="preserve">响应报价</w:t>
      </w:r>
      <w:bookmarkStart w:id="71" w:name="_Hlt26670373"/>
      <w:r/>
      <w:bookmarkEnd w:id="71"/>
      <w:r>
        <w:rPr>
          <w:rFonts w:hint="eastAsia" w:ascii="宋体" w:hAnsi="宋体"/>
          <w:color w:val="000000" w:themeColor="text1"/>
          <w:sz w:val="24"/>
          <w:highlight w:val="none"/>
          <w14:textFill>
            <w14:solidFill>
              <w14:schemeClr w14:val="tx1"/>
            </w14:solidFill>
          </w14:textFill>
        </w:rPr>
        <w:t xml:space="preserve">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eastAsia="zh-CN"/>
          <w14:textFill>
            <w14:solidFill>
              <w14:schemeClr w14:val="tx1"/>
            </w14:solidFill>
          </w14:textFill>
        </w:rPr>
        <w:t xml:space="preserve"> 磋商</w:t>
      </w:r>
      <w:r>
        <w:rPr>
          <w:rFonts w:hint="eastAsia" w:ascii="宋体" w:hAnsi="宋体"/>
          <w:color w:val="000000" w:themeColor="text1"/>
          <w:sz w:val="24"/>
          <w:highlight w:val="none"/>
          <w14:textFill>
            <w14:solidFill>
              <w14:schemeClr w14:val="tx1"/>
            </w14:solidFill>
          </w14:textFill>
        </w:rPr>
        <w:t xml:space="preserve">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eastAsia="zh-CN"/>
          <w14:textFill>
            <w14:solidFill>
              <w14:schemeClr w14:val="tx1"/>
            </w14:solidFill>
          </w14:textFill>
        </w:rPr>
        <w:t xml:space="preserve"> 标的物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详见项目需求。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eastAsia="zh-CN"/>
          <w14:textFill>
            <w14:solidFill>
              <w14:schemeClr w14:val="tx1"/>
            </w14:solidFill>
          </w14:textFill>
        </w:rPr>
        <w:t xml:space="preserve"> 有关</w:t>
      </w:r>
      <w:r>
        <w:rPr>
          <w:rFonts w:hint="eastAsia" w:ascii="宋体" w:hAnsi="宋体"/>
          <w:color w:val="000000" w:themeColor="text1"/>
          <w:sz w:val="24"/>
          <w:highlight w:val="none"/>
          <w14:textFill>
            <w14:solidFill>
              <w14:schemeClr w14:val="tx1"/>
            </w14:solidFill>
          </w14:textFill>
        </w:rPr>
        <w:t xml:space="preserve">费用的处理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供应商的报价应包括一般固废处置费、装卸费、运输费、道路清扫费</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人工费、机械费、管理费、保险、各项规费、各项税费、利润等合同实施过程中一切不可预见费用，以及完成本</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的全部费用。供应商任何漏项、漏报、少报、错报所产生的后果，均由供应商承担责任，采购人不再支付报价以外的任何费用。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污泥目前堆存于三处：仓库内、东夏河围堰区域、魏楼河东北侧土坑。其中，东夏河围堰区域及魏楼河东北侧土坑内污泥，需投标人自行另行开挖、装车、清运。投标人投标报价时应综合考虑堆存污泥清运、开挖、装卸、安全防护、环保措施、场地恢复等所有相关费用，采购人不再另行支付任何费用，投标人应充分踏勘现场，风险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磋商文件未列明，而磋商供应商认为必需的费用也须列入报价。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报价采用的货币</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 磋商响应报价表上的价格应按磋商文件规定填写。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4.磋商保证金：无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2" w:name="_Hlt26670360"/>
      <w:r/>
      <w:bookmarkEnd w:id="72"/>
      <w:r/>
      <w:bookmarkStart w:id="73" w:name="_Hlt26954838"/>
      <w:r/>
      <w:bookmarkEnd w:id="73"/>
      <w:r/>
      <w:bookmarkStart w:id="74" w:name="_Hlt26668975"/>
      <w:r/>
      <w:bookmarkEnd w:id="74"/>
      <w:r/>
      <w:bookmarkStart w:id="75" w:name="_Toc49090511"/>
      <w:r/>
      <w:bookmarkStart w:id="76" w:name="_Toc14577360"/>
      <w:r>
        <w:rPr>
          <w:rFonts w:hint="eastAsia" w:ascii="宋体" w:hAnsi="宋体"/>
          <w:color w:val="000000" w:themeColor="text1"/>
          <w:sz w:val="24"/>
          <w:highlight w:val="none"/>
          <w14:textFill>
            <w14:solidFill>
              <w14:schemeClr w14:val="tx1"/>
            </w14:solidFill>
          </w14:textFill>
        </w:rPr>
        <w:t xml:space="preserve">5.</w:t>
      </w:r>
      <w:bookmarkEnd w:id="75"/>
      <w:r/>
      <w:bookmarkEnd w:id="76"/>
      <w:r>
        <w:rPr>
          <w:rFonts w:hint="eastAsia" w:ascii="宋体" w:hAnsi="宋体"/>
          <w:color w:val="000000" w:themeColor="text1"/>
          <w:sz w:val="24"/>
          <w:highlight w:val="none"/>
          <w14:textFill>
            <w14:solidFill>
              <w14:schemeClr w14:val="tx1"/>
            </w14:solidFill>
          </w14:textFill>
        </w:rPr>
        <w:t xml:space="preserve">磋商响应有效期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磋商响应有效期的延长</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7" w:name="_Hlt26954739"/>
      <w:r/>
      <w:bookmarkEnd w:id="77"/>
      <w:r/>
      <w:bookmarkStart w:id="78" w:name="_Hlt26954852"/>
      <w:r/>
      <w:bookmarkEnd w:id="78"/>
      <w:r/>
      <w:bookmarkStart w:id="79" w:name="_Toc120614217"/>
      <w:r/>
      <w:bookmarkStart w:id="80" w:name="_Toc513029224"/>
      <w:r/>
      <w:bookmarkStart w:id="81" w:name="_Toc16938540"/>
      <w:r/>
      <w:bookmarkStart w:id="82" w:name="_Toc20823296"/>
      <w:r>
        <w:rPr>
          <w:rFonts w:hint="eastAsia" w:ascii="宋体" w:hAnsi="宋体"/>
          <w:color w:val="000000" w:themeColor="text1"/>
          <w:sz w:val="24"/>
          <w:highlight w:val="none"/>
          <w14:textFill>
            <w14:solidFill>
              <w14:schemeClr w14:val="tx1"/>
            </w14:solidFill>
          </w14:textFill>
        </w:rPr>
        <w:t xml:space="preserve">7.电子响应文件其他要求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7.3供应商应当对采购文件提出的实质性要求和条件作出实质性响应，并在电子投标系统逐条应答。</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四、响应文件的提交</w:t>
      </w:r>
      <w:bookmarkEnd w:id="79"/>
      <w:r/>
      <w:bookmarkEnd w:id="80"/>
      <w:r/>
      <w:bookmarkEnd w:id="81"/>
      <w:r/>
      <w:bookmarkEnd w:id="82"/>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3" w:name="_Toc20823297"/>
      <w:r/>
      <w:bookmarkStart w:id="84" w:name="_Toc462564084"/>
      <w:r/>
      <w:bookmarkStart w:id="85" w:name="_Toc16938541"/>
      <w:r/>
      <w:bookmarkStart w:id="86" w:name="_Toc513029225"/>
      <w:r/>
      <w:bookmarkStart w:id="87" w:name="_Toc20823301"/>
      <w:r/>
      <w:bookmarkStart w:id="88" w:name="_Toc513029229"/>
      <w:r/>
      <w:bookmarkStart w:id="89" w:name="_Toc120614218"/>
      <w:r/>
      <w:bookmarkStart w:id="90" w:name="_Toc16938545"/>
      <w:r>
        <w:rPr>
          <w:rFonts w:hint="eastAsia" w:ascii="宋体" w:hAnsi="宋体"/>
          <w:color w:val="000000" w:themeColor="text1"/>
          <w:sz w:val="24"/>
          <w:highlight w:val="none"/>
          <w14:textFill>
            <w14:solidFill>
              <w14:schemeClr w14:val="tx1"/>
            </w14:solidFill>
          </w14:textFill>
        </w:rPr>
        <w:t xml:space="preserve">1.响应文件</w:t>
      </w:r>
      <w:bookmarkEnd w:id="83"/>
      <w:r/>
      <w:bookmarkEnd w:id="84"/>
      <w:r/>
      <w:bookmarkEnd w:id="85"/>
      <w:r/>
      <w:bookmarkEnd w:id="86"/>
      <w:r>
        <w:rPr>
          <w:rFonts w:hint="eastAsia" w:ascii="宋体" w:hAnsi="宋体"/>
          <w:color w:val="000000" w:themeColor="text1"/>
          <w:sz w:val="24"/>
          <w:highlight w:val="none"/>
          <w14:textFill>
            <w14:solidFill>
              <w14:schemeClr w14:val="tx1"/>
            </w14:solidFill>
          </w14:textFill>
        </w:rPr>
        <w:t xml:space="preserve">的提交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线上提交与接收地点：供应商应当通过“苏采云”系统提交数据电文形式的响应文件（即电子投标），“苏采云”系统自动接收。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2.提交响应文件截止日期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3.响应文件的密封（加密）要求：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3.3供应商未按规定加密的响应文件，“苏采云”系统将拒收并提示。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4.响应文件的拒收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响应文件的撤回和修改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5.1.1电子响应文件的撤回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5.2响应文件的修改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bookmarkEnd w:id="87"/>
      <w:r/>
      <w:bookmarkEnd w:id="88"/>
      <w:r/>
      <w:bookmarkEnd w:id="89"/>
      <w:r/>
      <w:bookmarkEnd w:id="90"/>
      <w:r/>
      <w:bookmarkStart w:id="91" w:name="_Toc513029230"/>
      <w:r/>
      <w:bookmarkStart w:id="92" w:name="_Toc20823302"/>
      <w:r/>
      <w:bookmarkStart w:id="93" w:name="_Toc16938546"/>
      <w:r>
        <w:rPr>
          <w:rFonts w:hint="eastAsia" w:ascii="宋体" w:hAnsi="宋体"/>
          <w:color w:val="000000" w:themeColor="text1"/>
          <w:sz w:val="24"/>
          <w:highlight w:val="none"/>
          <w14:textFill>
            <w14:solidFill>
              <w14:schemeClr w14:val="tx1"/>
            </w14:solidFill>
          </w14:textFill>
        </w:rPr>
        <w:t xml:space="preserve">、磋商与评审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开标当天，各供应商及时登录不见面开标大厅，响应文件提交截止时间后，采购代理机构将在系统</w:t>
      </w:r>
      <w:r>
        <w:rPr>
          <w:rFonts w:hint="eastAsia" w:ascii="宋体" w:hAnsi="宋体"/>
          <w:color w:val="000000" w:themeColor="text1"/>
          <w:sz w:val="24"/>
          <w:highlight w:val="none"/>
          <w14:textFill>
            <w14:solidFill>
              <w14:schemeClr w14:val="tx1"/>
            </w14:solidFill>
          </w14:textFill>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1.2磋商活动的文件解密工作由采购代理机构组织。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注：各供应商请关注开标大厅交流区，在开标结束后，请勿离开开标大厅。采购人或采购代理机构通知最后报价填报后，</w:t>
      </w:r>
      <w:r>
        <w:rPr>
          <w:rFonts w:hint="eastAsia" w:ascii="宋体" w:hAnsi="宋体"/>
          <w:color w:val="000000" w:themeColor="text1"/>
          <w:sz w:val="24"/>
          <w:highlight w:val="none"/>
          <w:lang w:eastAsia="zh-CN"/>
          <w14:textFill>
            <w14:solidFill>
              <w14:schemeClr w14:val="tx1"/>
            </w14:solidFill>
          </w14:textFill>
        </w:rPr>
        <w:t xml:space="preserve">所有</w:t>
      </w:r>
      <w:r>
        <w:rPr>
          <w:rFonts w:hint="eastAsia" w:ascii="宋体" w:hAnsi="宋体"/>
          <w:color w:val="000000" w:themeColor="text1"/>
          <w:sz w:val="24"/>
          <w:highlight w:val="none"/>
          <w14:textFill>
            <w14:solidFill>
              <w14:schemeClr w14:val="tx1"/>
            </w14:solidFill>
          </w14:textFill>
        </w:rPr>
        <w:t xml:space="preserve">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2.4磋商小组独立工作，负责评审所有响应文件并确定成交候选人。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3.磋商评审过程的保密与公正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3.5在评审期间，采购人或采购代理机构将设专门人员与供应商联系。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4.评审过程中的澄清</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zh-CN"/>
          <w14:textFill>
            <w14:solidFill>
              <w14:schemeClr w14:val="tx1"/>
            </w14:solidFill>
          </w14:textFill>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hint="eastAsia" w:ascii="宋体" w:hAnsi="宋体"/>
          <w:color w:val="000000" w:themeColor="text1"/>
          <w:sz w:val="24"/>
          <w:highlight w:val="none"/>
          <w:lang w:val="zh-CN"/>
          <w14:textFill>
            <w14:solidFill>
              <w14:schemeClr w14:val="tx1"/>
            </w14:solidFill>
          </w14:textFill>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4.3接到磋商小组</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要求的供应商应按磋商小组规定的时间和格式作出</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5.1响应文件初审分为资格性审查和符合性审查。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5.1.1资格性检查：</w:t>
      </w:r>
      <w:r>
        <w:rPr>
          <w:rFonts w:hint="eastAsia" w:ascii="宋体" w:hAnsi="宋体"/>
          <w:color w:val="000000" w:themeColor="text1"/>
          <w:sz w:val="24"/>
          <w:highlight w:val="none"/>
          <w:lang w:val="zh-CN"/>
          <w14:textFill>
            <w14:solidFill>
              <w14:schemeClr w14:val="tx1"/>
            </w14:solidFill>
          </w14:textFill>
        </w:rPr>
        <w:t xml:space="preserve">依据法律法规和磋商文件的规定，由</w:t>
      </w:r>
      <w:r>
        <w:rPr>
          <w:rFonts w:hint="eastAsia" w:ascii="宋体" w:hAnsi="宋体"/>
          <w:color w:val="000000" w:themeColor="text1"/>
          <w:sz w:val="24"/>
          <w:highlight w:val="none"/>
          <w14:textFill>
            <w14:solidFill>
              <w14:schemeClr w14:val="tx1"/>
            </w14:solidFill>
          </w14:textFill>
        </w:rPr>
        <w:t xml:space="preserve">评标委员会</w:t>
      </w:r>
      <w:r>
        <w:rPr>
          <w:rFonts w:hint="eastAsia" w:ascii="宋体" w:hAnsi="宋体"/>
          <w:color w:val="000000" w:themeColor="text1"/>
          <w:sz w:val="24"/>
          <w:highlight w:val="none"/>
          <w:lang w:val="zh-CN"/>
          <w14:textFill>
            <w14:solidFill>
              <w14:schemeClr w14:val="tx1"/>
            </w14:solidFill>
          </w14:textFill>
        </w:rPr>
        <w:t xml:space="preserve">对响应文件中的资格审查文件进行审查。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5.1.3未通过资格审查或符合性审查的供应商，</w:t>
      </w:r>
      <w:r>
        <w:rPr>
          <w:rFonts w:hint="eastAsia" w:ascii="宋体" w:hAnsi="宋体"/>
          <w:color w:val="000000" w:themeColor="text1"/>
          <w:sz w:val="24"/>
          <w:highlight w:val="none"/>
          <w:lang w:val="zh-CN"/>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w:t>
      </w:r>
      <w:r>
        <w:rPr>
          <w:rFonts w:hint="eastAsia" w:ascii="宋体" w:hAnsi="宋体"/>
          <w:color w:val="000000" w:themeColor="text1"/>
          <w:sz w:val="24"/>
          <w:highlight w:val="none"/>
          <w:lang w:val="zh-CN"/>
          <w14:textFill>
            <w14:solidFill>
              <w14:schemeClr w14:val="tx1"/>
            </w14:solidFill>
          </w14:textFill>
        </w:rPr>
        <w:t xml:space="preserve">在正式磋商之前</w:t>
      </w:r>
      <w:r>
        <w:rPr>
          <w:rFonts w:hint="eastAsia" w:ascii="宋体" w:hAnsi="宋体"/>
          <w:color w:val="000000" w:themeColor="text1"/>
          <w:sz w:val="24"/>
          <w:highlight w:val="none"/>
          <w14:textFill>
            <w14:solidFill>
              <w14:schemeClr w14:val="tx1"/>
            </w14:solidFill>
          </w14:textFill>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（1）响应文件中报价总表内容与响应文件中相应内容不一致的，以报价总表为准。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w:t>
      </w:r>
      <w:bookmarkStart w:id="94" w:name="_Hlk193231916"/>
      <w:r>
        <w:rPr>
          <w:rFonts w:hint="eastAsia" w:ascii="宋体" w:hAnsi="宋体"/>
          <w:color w:val="000000" w:themeColor="text1"/>
          <w:sz w:val="24"/>
          <w:highlight w:val="none"/>
          <w14:textFill>
            <w14:solidFill>
              <w14:schemeClr w14:val="tx1"/>
            </w14:solidFill>
          </w14:textFill>
        </w:rPr>
        <w:t xml:space="preserve">启动异常低价投标（响应）审查的情形和具体要求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bookmarkEnd w:id="94"/>
      <w:r>
        <w:rPr>
          <w:rFonts w:hint="eastAsia" w:ascii="宋体" w:hAnsi="宋体"/>
          <w:color w:val="000000" w:themeColor="text1"/>
          <w:sz w:val="24"/>
          <w:highlight w:val="none"/>
          <w14:textFill>
            <w14:solidFill>
              <w14:schemeClr w14:val="tx1"/>
            </w14:solidFill>
          </w14:textFill>
        </w:rPr>
        <w:t xml:space="preserve">投标（响应）报价低于采购项目最高限价45%的，即投标（响应）报价&lt;采购项目最高限价×45%；</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spacing w:line="360" w:lineRule="auto"/>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响应文件线上格式要求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6.3本项目采用线上投标，即供应商响应文件从政府采购客户端工具制作，通过“苏采云”系统提交，未提供线上响应文件的，投标无效。</w:t>
      </w:r>
      <w:bookmarkEnd w:id="91"/>
      <w:r/>
      <w:bookmarkEnd w:id="92"/>
      <w:r/>
      <w:bookmarkEnd w:id="93"/>
      <w:r/>
      <w:bookmarkStart w:id="95" w:name="_Toc12061421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被认定为未实质性响应磋商文件的情形：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7.1出现下列情形之一的，作无效响应处理，并视情况报监管部门调查其相互串通投标嫌疑；</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w:t>
      </w:r>
      <w:r>
        <w:rPr>
          <w:rFonts w:hint="eastAsia" w:ascii="宋体" w:hAnsi="宋体"/>
          <w:bCs/>
          <w:color w:val="000000" w:themeColor="text1"/>
          <w:sz w:val="24"/>
          <w:szCs w:val="21"/>
          <w:highlight w:val="none"/>
          <w14:textFill>
            <w14:solidFill>
              <w14:schemeClr w14:val="tx1"/>
            </w14:solidFill>
          </w14:textFill>
        </w:rPr>
        <w:t xml:space="preserve">供应商未按照磋商文件要求上传电子响应文件的；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7.1.3供应商不具备磋商文件中规定的资格要求的；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7.1.4供应商在系统规定的时间内未成功解密电子响应文件的；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7.1.5未完整上传响应文件电子文档的，或上传的文件打不开的；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7.1.6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7.1.7磋商小组认定供应商的报价为异常低价，应当要求相关供应商在规定时间内</w:t>
      </w:r>
      <w:r>
        <w:rPr>
          <w:rFonts w:ascii="宋体" w:hAnsi="宋体"/>
          <w:color w:val="000000" w:themeColor="text1"/>
          <w:sz w:val="24"/>
          <w:highlight w:val="none"/>
          <w14:textFill>
            <w14:solidFill>
              <w14:schemeClr w14:val="tx1"/>
            </w14:solidFill>
          </w14:textFill>
        </w:rPr>
        <w:t xml:space="preserve">，提供项目具体成本测算等与报价合理性相关的书面说明及相关证明材料</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对投标</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价格作出解释</w:t>
      </w:r>
      <w:r>
        <w:rPr>
          <w:rFonts w:hint="eastAsia" w:ascii="宋体" w:hAnsi="宋体"/>
          <w:color w:val="000000" w:themeColor="text1"/>
          <w:sz w:val="24"/>
          <w:highlight w:val="none"/>
          <w14:textFill>
            <w14:solidFill>
              <w14:schemeClr w14:val="tx1"/>
            </w14:solidFill>
          </w14:textFill>
        </w:rPr>
        <w:t xml:space="preserve">；投标（响应）供应商不提供书面说明、证明材料，或者提供的书面说明、证明材料不能证明其报价合理性的，磋商小组应当将其作为无效投标（响应）处理；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7.1.8响应报价单价或总价超过了采购预算或最高限价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单价、总价</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7.1.9未通过符合性检查的；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7.1.10不符合法律法规和磋商文件中规定的其他实质性要求的；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7.1.11供应商被“信用中国”网站（www.creditchina.gov.cn）列入失信被执行人、</w:t>
      </w:r>
      <w:r>
        <w:rPr>
          <w:rFonts w:hint="eastAsia" w:ascii="宋体" w:hAnsi="宋体" w:cs="宋体"/>
          <w:color w:val="000000" w:themeColor="text1"/>
          <w:sz w:val="24"/>
          <w:highlight w:val="none"/>
          <w14:textFill>
            <w14:solidFill>
              <w14:schemeClr w14:val="tx1"/>
            </w14:solidFill>
          </w14:textFill>
        </w:rPr>
        <w:t xml:space="preserve">重大税收违法案件当事人名单</w:t>
      </w:r>
      <w:r>
        <w:rPr>
          <w:rFonts w:hint="eastAsia" w:ascii="宋体" w:hAnsi="宋体"/>
          <w:color w:val="000000" w:themeColor="text1"/>
          <w:sz w:val="24"/>
          <w:highlight w:val="none"/>
          <w14:textFill>
            <w14:solidFill>
              <w14:schemeClr w14:val="tx1"/>
            </w14:solidFill>
          </w14:textFill>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7.1.12响应文件含有采购人不能接受的附加条件的；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7.1.13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7.1.14响应文件未按照磋商文件要求加盖电子签章或签署；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7.1.15供应商</w:t>
      </w:r>
      <w:r>
        <w:rPr>
          <w:rFonts w:hint="eastAsia" w:ascii="宋体" w:hAnsi="宋体" w:cs="宋体"/>
          <w:color w:val="000000" w:themeColor="text1"/>
          <w:sz w:val="24"/>
          <w:highlight w:val="none"/>
          <w14:textFill>
            <w14:solidFill>
              <w14:schemeClr w14:val="tx1"/>
            </w14:solidFill>
          </w14:textFill>
        </w:rPr>
        <w:t xml:space="preserve">未在规定时间内提交最后报价的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7.1.16不同供应商的响应文件由同一单位或者个人编制的；不同供应商的磋商响应文件相互混传；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7.1.17不同供应商委托同一单位或者个人办理磋商事宜；不同供应商的磋商响应文件错漏之处雷同；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7.1.18不同供应商的响应文件载明的项目管理成员或者联系人员为同一人；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7.1.19不同供应商的响应文件异常一致或者响应报价呈规律性差异。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7.1.20供应商之间相互约定，一致抬高或压低投标报价；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7.1.21供应商之间相互约定，在招标项目中轮流以高价位或低价位成交；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7.1.22不同供应商的技术服务方案（或施工组织设计方案）基本雷同的；不同供应商的磋商响应文件出现了评审委员会认为不应当雷同的情况；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7.1.23开标前已有举报，开标后发现各投标单位的报价情况与举报情况相吻合的；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7.1.24磋商小组一致认定判为无效响应的；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7.1.25不同的投标人响应文件制作的M</w:t>
      </w:r>
      <w:r>
        <w:rPr>
          <w:rFonts w:ascii="宋体" w:hAnsi="宋体"/>
          <w:color w:val="000000" w:themeColor="text1"/>
          <w:sz w:val="24"/>
          <w:highlight w:val="none"/>
          <w14:textFill>
            <w14:solidFill>
              <w14:schemeClr w14:val="tx1"/>
            </w14:solidFill>
          </w14:textFill>
        </w:rPr>
        <w:t xml:space="preserve">AC</w:t>
      </w:r>
      <w:r>
        <w:rPr>
          <w:rFonts w:hint="eastAsia" w:ascii="宋体" w:hAnsi="宋体"/>
          <w:color w:val="000000" w:themeColor="text1"/>
          <w:sz w:val="24"/>
          <w:highlight w:val="none"/>
          <w14:textFill>
            <w14:solidFill>
              <w14:schemeClr w14:val="tx1"/>
            </w14:solidFill>
          </w14:textFill>
        </w:rPr>
        <w:t xml:space="preserve">地址一致的；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其他法律法规及本磋商文件规定的属于无效响应的情形：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7.2.4磋商响应文件载明的项目完成期限超过采购文件规定的期限；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7.2.6磋商响应文件载明的货物包装方式、检验标准和方法等不符合采购文件的要求；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7.2.7组成联合体参加磋商活动的，磋商响应文件未附联合体各方共同投标协议的；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7.2.8在同一采购项目中，联合体成员以自己名义单独参加磋商或者参加其他联合体磋商活动的；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7.2.9未按采购文件要求提供磋商响应文件内容不全的；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7.2.10以他人的名义投标、串通投标、以行贿手段谋取中标或者以其他弄虚作假方式投标的；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7.3出现下列情形之一的，磋商失败。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7.3.2出现影响采购公正性的违法违规行为的；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7.3.3因重大变故，采购任务取消的。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bookmarkEnd w:id="95"/>
      <w:r>
        <w:rPr>
          <w:rFonts w:hint="eastAsia" w:ascii="宋体" w:hAnsi="宋体"/>
          <w:color w:val="000000" w:themeColor="text1"/>
          <w:sz w:val="24"/>
          <w:highlight w:val="none"/>
          <w14:textFill>
            <w14:solidFill>
              <w14:schemeClr w14:val="tx1"/>
            </w14:solidFill>
          </w14:textFill>
        </w:rPr>
        <w:t xml:space="preserve">、成交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1.确定成交单位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1.1成交候选供应商的选取原则和数量见磋商文件第四部分规定。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1.2采购人授权磋商小组在成交候选供应商中直接确定成交供应商。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1.4.1提供虚假材料谋取成交的。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1.4.5</w:t>
      </w:r>
      <w:r>
        <w:rPr>
          <w:rFonts w:hint="eastAsia" w:ascii="宋体" w:hAnsi="宋体"/>
          <w:color w:val="000000" w:themeColor="text1"/>
          <w:sz w:val="24"/>
          <w:highlight w:val="none"/>
          <w:lang w:val="zh-CN"/>
          <w14:textFill>
            <w14:solidFill>
              <w14:schemeClr w14:val="tx1"/>
            </w14:solidFill>
          </w14:textFill>
        </w:rPr>
        <w:t xml:space="preserve">与评审专家、采购人、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供应商或者采购中心工作人员恶意串通的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1.4.6采取不正当手段诋毁、排挤其他供应商的。</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1.4.7</w:t>
      </w:r>
      <w:r>
        <w:rPr>
          <w:rFonts w:hint="eastAsia" w:ascii="宋体" w:hAnsi="宋体"/>
          <w:color w:val="000000" w:themeColor="text1"/>
          <w:sz w:val="24"/>
          <w:highlight w:val="none"/>
          <w:lang w:val="zh-CN"/>
          <w14:textFill>
            <w14:solidFill>
              <w14:schemeClr w14:val="tx1"/>
            </w14:solidFill>
          </w14:textFill>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1.4.8</w:t>
      </w:r>
      <w:r>
        <w:rPr>
          <w:rFonts w:hint="eastAsia" w:ascii="宋体" w:hAnsi="宋体"/>
          <w:color w:val="000000" w:themeColor="text1"/>
          <w:sz w:val="24"/>
          <w:highlight w:val="none"/>
          <w:lang w:val="zh-CN"/>
          <w14:textFill>
            <w14:solidFill>
              <w14:schemeClr w14:val="tx1"/>
            </w14:solidFill>
          </w14:textFill>
        </w:rPr>
        <w:t xml:space="preserve">将政府采购合同转包的。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1.5.有下列情形之一的，视为供应商串通参与磋商，响应无效：</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1.5.1不同供应商的响应文件由同一单位或者个人编制；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1.5.2不同供应商委托同一单位或者个人办理磋商事宜；</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2.2.2对采购过程提出质疑的，为各采购程序环节结束之日；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2.2.3对成交结果提出质疑的，为成交结果公告期限届满之日。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w:t>
      </w:r>
      <w:r>
        <w:rPr>
          <w:rFonts w:hint="eastAsia" w:ascii="宋体" w:hAnsi="宋体"/>
          <w:color w:val="000000" w:themeColor="text1"/>
          <w:sz w:val="24"/>
          <w:highlight w:val="none"/>
          <w:lang w:val="zh-CN"/>
          <w14:textFill>
            <w14:solidFill>
              <w14:schemeClr w14:val="tx1"/>
            </w14:solidFill>
          </w14:textFill>
        </w:rPr>
        <w:t xml:space="preserve">供应商如在法定期限内对同一采购程序环节提出多次质疑的，采购人、</w:t>
      </w:r>
      <w:r>
        <w:rPr>
          <w:rFonts w:hint="eastAsia" w:ascii="宋体" w:hAnsi="宋体"/>
          <w:color w:val="000000" w:themeColor="text1"/>
          <w:sz w:val="24"/>
          <w:highlight w:val="none"/>
          <w14:textFill>
            <w14:solidFill>
              <w14:schemeClr w14:val="tx1"/>
            </w14:solidFill>
          </w14:textFill>
        </w:rPr>
        <w:t xml:space="preserve">采购代理机构</w:t>
      </w:r>
      <w:r>
        <w:rPr>
          <w:rFonts w:hint="eastAsia" w:ascii="宋体" w:hAnsi="宋体"/>
          <w:color w:val="000000" w:themeColor="text1"/>
          <w:sz w:val="24"/>
          <w:highlight w:val="none"/>
          <w:lang w:val="zh-CN"/>
          <w14:textFill>
            <w14:solidFill>
              <w14:schemeClr w14:val="tx1"/>
            </w14:solidFill>
          </w14:textFill>
        </w:rPr>
        <w:t xml:space="preserve">将只对供应商第一次质疑作出答复。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2.4质疑答复依据《政府采购质疑和投诉办法》（财政部令第94号）。</w:t>
      </w:r>
      <w:r>
        <w:rPr>
          <w:rFonts w:hint="eastAsia" w:ascii="宋体" w:hAnsi="宋体" w:cs="宋体"/>
          <w:color w:val="000000" w:themeColor="text1"/>
          <w:sz w:val="24"/>
          <w:highlight w:val="none"/>
          <w14:textFill>
            <w14:solidFill>
              <w14:schemeClr w14:val="tx1"/>
            </w14:solidFill>
          </w14:textFill>
        </w:rPr>
        <w:t xml:space="preserve">采购人只接收以纸质原件形式送达的质疑，</w:t>
      </w:r>
      <w:r>
        <w:rPr>
          <w:rFonts w:hint="eastAsia" w:ascii="宋体" w:hAnsi="宋体"/>
          <w:color w:val="000000" w:themeColor="text1"/>
          <w:sz w:val="24"/>
          <w:highlight w:val="none"/>
          <w14:textFill>
            <w14:solidFill>
              <w14:schemeClr w14:val="tx1"/>
            </w14:solidFill>
          </w14:textFill>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 以下情形的质疑不予受理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2.5.1内容不符合《政府采购质疑和投诉办法》第十二条规定的质疑。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2.5.2超出政府采购法定期限的质疑。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w:t>
      </w:r>
      <w:r>
        <w:rPr>
          <w:rFonts w:hint="eastAsia" w:ascii="宋体" w:hAnsi="宋体" w:cs="宋体"/>
          <w:color w:val="000000" w:themeColor="text1"/>
          <w:sz w:val="24"/>
          <w:highlight w:val="none"/>
          <w14:textFill>
            <w14:solidFill>
              <w14:schemeClr w14:val="tx1"/>
            </w14:solidFill>
          </w14:textFill>
        </w:rPr>
        <w:t xml:space="preserve">以传真、电子邮件等方式递交的非原件形式的质疑。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七、成交通知书</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八、授予合同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77"/>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1.3签订合同后，成交供应商不得将合同标的进行转包。未经采购人同意，</w:t>
      </w:r>
      <w:r>
        <w:rPr>
          <w:rFonts w:hint="eastAsia" w:ascii="宋体" w:hAnsi="宋体"/>
          <w:color w:val="000000" w:themeColor="text1"/>
          <w:sz w:val="24"/>
          <w:highlight w:val="none"/>
          <w:lang w:val="zh-CN"/>
          <w14:textFill>
            <w14:solidFill>
              <w14:schemeClr w14:val="tx1"/>
            </w14:solidFill>
          </w14:textFill>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1.4本项目履约保证金额度为政府采购合同金额的10%。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成交供应商在收到中标通知书后，签订合同前向采购人缴纳履约保证金至采购人指定账户。履约保证金缴纳形式为银行电汇或网上银行支付、银行保函、保证保险等非现金形式。履约保证金用以约束供应商在合同履行中的行为，弥补合同执行中由于自身行为可能给采购人带来的各种损失。</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1.4.2履约保证金的有效期自提交之日起至项目完成之日止，中标人完成合同约定的服务内容后，至采购人办理履约保证金退还手续（履约保证金不计取利息）。</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如果中标供应商没有按规定履行，采购人有充分理由取消其中标资格。除此之外，采购人保留进一步追究该投标供应商法律责任的权利。行政监督部门也将对该投标供应商的上述行为依法作出行政处理。中标供应商放弃中标、因不可抗力提出不能履行合同，或者招标文件规定应当提交履约保证金而在规定时限内未能提交的，采购人可以确定排序紧跟该中标供应商的投标供应商为中标供应商，以此类推。或者重新组织招标。</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 合同追加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因重大决策变化，导致采购任务取消的。除退还</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实际已支付费用外，</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不承担其他任何费用及损失。若因</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原因导致项目无法完成，因此产生的损失将由</w:t>
      </w:r>
      <w:r>
        <w:rPr>
          <w:rFonts w:hint="eastAsia" w:ascii="宋体" w:hAnsi="宋体"/>
          <w:color w:val="000000" w:themeColor="text1"/>
          <w:sz w:val="24"/>
          <w:highlight w:val="none"/>
          <w14:textFill>
            <w14:solidFill>
              <w14:schemeClr w14:val="tx1"/>
            </w14:solidFill>
          </w14:textFill>
        </w:rPr>
        <w:t xml:space="preserve">成交供应商承担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九、电子招标投标交易平台</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"http://jszfcg.jsczt.cn/）相关要求是本采购文件的组成部分。"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lang w:eastAsia="en-US"/>
          <w14:textFill>
            <w14:solidFill>
              <w14:schemeClr w14:val="tx1"/>
            </w14:solidFill>
          </w14:textFill>
        </w:rPr>
        <w:t xml:space="preserve">http://jszfcg.jsczt.cn/）相关要求是本采购文件的组成部分。</w:t>
      </w:r>
      <w:r>
        <w:rPr>
          <w:rFonts w:hint="eastAsia" w:ascii="宋体" w:hAnsi="宋体"/>
          <w:color w:val="000000" w:themeColor="text1"/>
          <w:sz w:val="24"/>
          <w:highlight w:val="none"/>
          <w:lang w:eastAsia="en-US"/>
          <w14:textFill>
            <w14:solidFill>
              <w14:schemeClr w14:val="tx1"/>
            </w14:solidFill>
          </w14:textFill>
        </w:rPr>
        <w:fldChar w:fldCharType="end"/>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十、政府采购政策：</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5.根据《商品包装政府采购需求标准（试行）》《快递包装政府采购需求标准（试行）》的通知（财办库〔2020〕123号要求，商品使用的塑料、纸质、木材等包装需达到环保要求。</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7.成交供应商可凭政府采购合同办理融资贷款，详情详见江苏政府采购网“政采贷”专栏。</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9.专门面向中小微企业采购的项目，小微企业不再享受价格扣除优惠政策。</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10.未按要求提供相关材料的，不享受相关政策。</w:t>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w:t>
      </w:r>
      <w:r>
        <w:rPr>
          <w:rFonts w:ascii="宋体" w:hAnsi="宋体"/>
          <w:color w:val="000000" w:themeColor="text1"/>
          <w:sz w:val="24"/>
          <w:szCs w:val="24"/>
          <w:highlight w:val="none"/>
          <w14:textFill>
            <w14:solidFill>
              <w14:schemeClr w14:val="tx1"/>
            </w14:solidFill>
          </w14:textFill>
        </w:rPr>
        <w:t xml:space="preserve">本项目所属行业为</w:t>
      </w:r>
      <w:bookmarkStart w:id="96" w:name="OLE_LINK2"/>
      <w:r>
        <w:rPr>
          <w:rFonts w:hint="eastAsia" w:ascii="宋体" w:hAnsi="宋体"/>
          <w:b/>
          <w:bCs/>
          <w:color w:val="000000" w:themeColor="text1"/>
          <w:sz w:val="24"/>
          <w:szCs w:val="24"/>
          <w:highlight w:val="none"/>
          <w:u w:val="single"/>
          <w14:textFill>
            <w14:solidFill>
              <w14:schemeClr w14:val="tx1"/>
            </w14:solidFill>
          </w14:textFill>
        </w:rPr>
        <w:t xml:space="preserve">其他未列明行业</w:t>
      </w:r>
      <w:bookmarkEnd w:id="96"/>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其他说明</w:t>
      </w:r>
      <w:r>
        <w:rPr>
          <w:rFonts w:hint="eastAsia" w:ascii="宋体" w:hAnsi="宋体"/>
          <w:color w:val="000000" w:themeColor="text1"/>
          <w:sz w:val="24"/>
          <w:highlight w:val="none"/>
          <w14:textFill>
            <w14:solidFill>
              <w14:schemeClr w14:val="tx1"/>
            </w14:solidFill>
          </w14:textFill>
        </w:rPr>
        <w:t xml:space="preserve">：</w:t>
      </w:r>
      <w:r/>
    </w:p>
    <w:p>
      <w:pPr>
        <w:contextualSpacing/>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1.响应文件格式中需签字或盖章处均可以用电子签名或电子章代替。</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349"/>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bookmarkEnd w:id="49"/>
      <w:r/>
      <w:bookmarkEnd w:id="50"/>
      <w:r/>
      <w:bookmarkEnd w:id="51"/>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before="145" w:after="145"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344"/>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第三章  </w:t>
      </w:r>
      <w:bookmarkEnd w:id="32"/>
      <w:r/>
      <w:bookmarkStart w:id="97" w:name="_Hlt16619369"/>
      <w:r/>
      <w:bookmarkEnd w:id="97"/>
      <w:r/>
      <w:bookmarkStart w:id="98" w:name="_Hlt16619350"/>
      <w:r/>
      <w:bookmarkStart w:id="99" w:name="_Toc20823346"/>
      <w:r/>
      <w:bookmarkStart w:id="100" w:name="_Toc481072015"/>
      <w:r/>
      <w:bookmarkStart w:id="101" w:name="_Toc475009299"/>
      <w:r/>
      <w:bookmarkStart w:id="102" w:name="_Toc511305209"/>
      <w:r/>
      <w:bookmarkStart w:id="103" w:name="_Toc120614244"/>
      <w:r/>
      <w:bookmarkStart w:id="104" w:name="_Toc16938590"/>
      <w:r/>
      <w:bookmarkStart w:id="105" w:name="_Toc3383091"/>
      <w:r/>
      <w:bookmarkStart w:id="106" w:name="_Toc481071969"/>
      <w:r>
        <w:rPr>
          <w:rFonts w:hint="eastAsia" w:ascii="宋体" w:hAnsi="宋体" w:cs="宋体" w:eastAsiaTheme="minorEastAsia"/>
          <w:b/>
          <w:color w:val="000000" w:themeColor="text1"/>
          <w:sz w:val="30"/>
          <w:highlight w:val="none"/>
          <w14:textFill>
            <w14:solidFill>
              <w14:schemeClr w14:val="tx1"/>
            </w14:solidFill>
          </w14:textFill>
        </w:rPr>
        <w:t xml:space="preserve">合同条款及格式</w:t>
      </w:r>
      <w:bookmarkEnd w:id="98"/>
      <w:r/>
      <w:bookmarkEnd w:id="99"/>
      <w:r/>
      <w:bookmarkEnd w:id="100"/>
      <w:r/>
      <w:bookmarkEnd w:id="101"/>
      <w:r/>
      <w:bookmarkEnd w:id="102"/>
      <w:r/>
      <w:bookmarkEnd w:id="103"/>
      <w:r/>
      <w:bookmarkEnd w:id="104"/>
      <w:r/>
      <w:bookmarkEnd w:id="105"/>
      <w:r/>
      <w:bookmarkEnd w:id="106"/>
      <w:r/>
      <w:r/>
    </w:p>
    <w:p>
      <w:pPr>
        <w:jc w:val="center"/>
        <w:spacing w:before="340" w:after="330" w:line="360" w:lineRule="auto"/>
        <w:rPr>
          <w:rFonts w:hint="eastAsia" w:ascii="仿宋" w:hAnsi="仿宋" w:eastAsia="仿宋" w:cs="仿宋"/>
          <w:b/>
          <w:bCs/>
          <w:color w:val="000000" w:themeColor="text1"/>
          <w:sz w:val="28"/>
          <w:szCs w:val="28"/>
          <w:highlight w:val="none"/>
          <w14:textFill>
            <w14:solidFill>
              <w14:schemeClr w14:val="tx1"/>
            </w14:solidFill>
          </w14:textFill>
        </w:rPr>
      </w:pPr>
      <w:r/>
      <w:bookmarkStart w:id="107" w:name="_Toc32522"/>
      <w:r/>
      <w:bookmarkStart w:id="108" w:name="_Toc304379119"/>
      <w:r/>
      <w:bookmarkStart w:id="109" w:name="_Toc262789432"/>
      <w:r/>
      <w:bookmarkStart w:id="110" w:name="_Toc26554097"/>
      <w:r/>
      <w:bookmarkStart w:id="111" w:name="_Toc23828480"/>
      <w:r/>
      <w:bookmarkStart w:id="112" w:name="_Toc61149622"/>
      <w:r>
        <w:rPr>
          <w:rFonts w:hint="eastAsia" w:ascii="仿宋" w:hAnsi="仿宋" w:eastAsia="仿宋" w:cs="仿宋"/>
          <w:b/>
          <w:bCs/>
          <w:color w:val="000000" w:themeColor="text1"/>
          <w:sz w:val="28"/>
          <w:szCs w:val="28"/>
          <w:highlight w:val="none"/>
          <w14:textFill>
            <w14:solidFill>
              <w14:schemeClr w14:val="tx1"/>
            </w14:solidFill>
          </w14:textFill>
        </w:rPr>
        <w:t xml:space="preserve">政府采购</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合同（</w:t>
      </w:r>
      <w:r>
        <w:rPr>
          <w:rFonts w:hint="eastAsia" w:ascii="仿宋" w:hAnsi="仿宋" w:eastAsia="仿宋" w:cs="仿宋"/>
          <w:b/>
          <w:bCs/>
          <w:color w:val="000000" w:themeColor="text1"/>
          <w:sz w:val="28"/>
          <w:szCs w:val="28"/>
          <w:highlight w:val="none"/>
          <w14:textFill>
            <w14:solidFill>
              <w14:schemeClr w14:val="tx1"/>
            </w14:solidFill>
          </w14:textFill>
        </w:rPr>
        <w:t xml:space="preserve">仅供参考）</w:t>
      </w:r>
      <w:r/>
    </w:p>
    <w:p>
      <w:pPr>
        <w:keepLines w:val="0"/>
        <w:keepNext w:val="0"/>
        <w:pageBreakBefore w:val="0"/>
        <w:spacing w:line="440" w:lineRule="exact"/>
        <w:widowControl w:val="off"/>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委托方（甲方）：</w:t>
      </w:r>
      <w:r/>
    </w:p>
    <w:p>
      <w:pPr>
        <w:keepLines w:val="0"/>
        <w:keepNext w:val="0"/>
        <w:pageBreakBefore w:val="0"/>
        <w:spacing w:line="440" w:lineRule="exact"/>
        <w:widowControl w:val="off"/>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受托方（乙方）：</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根据《中华人民共和国政府采购法</w:t>
      </w:r>
      <w:r>
        <w:rPr>
          <w:rFonts w:hint="eastAsia" w:ascii="宋体" w:hAnsi="宋体" w:cs="宋体"/>
          <w:color w:val="000000" w:themeColor="text1"/>
          <w:sz w:val="24"/>
          <w:szCs w:val="24"/>
          <w:highlight w:val="none"/>
          <w:lang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《中华人民共和国民法典》等法律法规的规定，甲乙双方按照本项目的结果签订本合同。</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第一条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采购内容</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合同金额</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合同金额为（大写）人民币</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元整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元/吨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beforeAutospacing="0" w:afterAutospacing="0" w:line="440" w:lineRule="exact"/>
        <w:widowControl w:val="off"/>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本项目合同形式为固定单价合同，</w:t>
      </w:r>
      <w:r>
        <w:rPr>
          <w:rFonts w:hint="eastAsia" w:ascii="宋体" w:hAnsi="宋体" w:eastAsia="宋体" w:cs="宋体"/>
          <w:bCs/>
          <w:color w:val="000000" w:themeColor="text1"/>
          <w:sz w:val="24"/>
          <w:szCs w:val="24"/>
          <w:highlight w:val="none"/>
          <w14:textFill>
            <w14:solidFill>
              <w14:schemeClr w14:val="tx1"/>
            </w14:solidFill>
          </w14:textFill>
        </w:rPr>
        <w:t xml:space="preserve">合同金额</w:t>
      </w:r>
      <w:r>
        <w:rPr>
          <w:rFonts w:hint="eastAsia" w:ascii="宋体" w:hAnsi="宋体" w:eastAsia="宋体" w:cs="宋体"/>
          <w:color w:val="000000" w:themeColor="text1"/>
          <w:sz w:val="24"/>
          <w:szCs w:val="24"/>
          <w:highlight w:val="none"/>
          <w14:textFill>
            <w14:solidFill>
              <w14:schemeClr w14:val="tx1"/>
            </w14:solidFill>
          </w14:textFill>
        </w:rPr>
        <w:t xml:space="preserve">应包括一般固废处置费、装卸费、运输费、道路清扫费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人工费、机械费、管理费、保险、各项规费、各项税费、利润等合同实施过程中一切不可预见费用，以及完成本</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的全部费用。供应商任何漏项、漏报、少报、错报所产生的后果，均由供应商承担责任，采购人不再支付报价以外的任何费用。</w:t>
      </w:r>
      <w:r/>
    </w:p>
    <w:p>
      <w:pPr>
        <w:ind w:firstLine="420"/>
        <w:keepLines w:val="0"/>
        <w:keepNext w:val="0"/>
        <w:pageBreakBefore w:val="0"/>
        <w:spacing w:line="440" w:lineRule="exact"/>
        <w:widowControl w:val="off"/>
        <w:rPr>
          <w:rFonts w:hint="eastAsia" w:ascii="宋体" w:hAnsi="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本次采购的一般固废量为暂定量，最终结算以实际处置量为准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结算总金额不得超过340万元，超过上限部分不予支付，由供应商自行承担并视作优惠。</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第三条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服务范围</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甲方聘请乙方提供以下服务：</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本合同项下的服务指：</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30天</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numPr>
          <w:ilvl w:val="0"/>
          <w:numId w:val="0"/>
        </w:num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符合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竞争性磋商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文件要求</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第四条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80"/>
        <w:keepLines w:val="0"/>
        <w:keepNext w:val="0"/>
        <w:pageBreakBefore w:val="0"/>
        <w:spacing w:line="440" w:lineRule="exact"/>
        <w:widowControl w:val="off"/>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1.本项目履约保证金额度为政府采购合同金额的10%。</w:t>
      </w:r>
      <w:r/>
    </w:p>
    <w:p>
      <w:pPr>
        <w:ind w:firstLine="480"/>
        <w:keepLines w:val="0"/>
        <w:keepNext w:val="0"/>
        <w:pageBreakBefore w:val="0"/>
        <w:spacing w:line="440" w:lineRule="exact"/>
        <w:widowControl w:val="off"/>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成交供应商在收到中标通知书后，签订合同前向采购人缴纳履约保证金至采购人指定账户。履约保证金缴纳形式为银行电汇或网上银行支付、银行保函、保证保险等非现金形式。履约保证金用以约束供应商在合同履行中的行为，弥补合同执行中由于自身行为可能给采购人带来的各种损失。</w:t>
      </w:r>
      <w:r/>
    </w:p>
    <w:p>
      <w:pPr>
        <w:ind w:right="-11"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履约保证金的有效期自提交之日起至项目完成之日止，中标人完成合同约定的服务内容后，至采购人办理履约保证金退还手续（履约保证金不计取利息）。</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第五条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合同款支付</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1.本合同项下所有款项均以人民币支付。</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2.本合同项下的采购资金由甲方自行支付，乙方向甲方开具发票。</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3.付款方式：签订合同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color w:val="000000" w:themeColor="text1"/>
          <w:sz w:val="24"/>
          <w:szCs w:val="24"/>
          <w:highlight w:val="none"/>
          <w14:textFill>
            <w14:solidFill>
              <w14:schemeClr w14:val="tx1"/>
            </w14:solidFill>
          </w14:textFill>
        </w:rPr>
        <w:t xml:space="preserve">，所有固废清运完毕，经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采购人验收合格</w:t>
      </w:r>
      <w:r>
        <w:rPr>
          <w:rFonts w:hint="eastAsia" w:ascii="宋体" w:hAnsi="宋体" w:eastAsia="宋体" w:cs="宋体"/>
          <w:color w:val="000000" w:themeColor="text1"/>
          <w:sz w:val="24"/>
          <w:szCs w:val="24"/>
          <w:highlight w:val="none"/>
          <w14:textFill>
            <w14:solidFill>
              <w14:schemeClr w14:val="tx1"/>
            </w14:solidFill>
          </w14:textFill>
        </w:rPr>
        <w:t xml:space="preserve">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一次性付清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第六条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违约责任</w:t>
      </w:r>
      <w:r/>
    </w:p>
    <w:p>
      <w:pPr>
        <w:ind w:firstLine="42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1.乙方违约，甲方可扣除履约保证金。</w:t>
      </w:r>
      <w:r/>
    </w:p>
    <w:p>
      <w:pPr>
        <w:ind w:firstLine="420"/>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未按合同约定的时间和质量标准提供服务，但未给甲方造成损失的，甲方可要求乙方整改，给甲方造成损失的，甲方可要求乙方按实赔偿；因乙方问题导致甲方无法实现合同目的的，甲方有权解除合同并扣除履约保证金。</w:t>
      </w:r>
      <w:r/>
    </w:p>
    <w:p>
      <w:pPr>
        <w:ind w:firstLine="420"/>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3.乙方须履行其响应文件中的其他服务承诺，否则，甲方有权解除本合同并扣除履约保证金。</w:t>
      </w:r>
      <w:r/>
    </w:p>
    <w:p>
      <w:pPr>
        <w:ind w:firstLine="420"/>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合同签订后5天内须进场，因乙方原因造成工期延误，逾期竣工违约金的计算方法为：扣除 3000 元/天，最高上限为合同价的10%</w:t>
      </w:r>
      <w:r>
        <w:rPr>
          <w:rFonts w:hint="eastAsia" w:ascii="宋体" w:hAnsi="宋体" w:cs="宋体"/>
          <w:color w:val="000000" w:themeColor="text1"/>
          <w:sz w:val="24"/>
          <w:highlight w:val="none"/>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5.乙方安排的项目负责人必须按照甲方的要求组织现场工作，投标时所提供的项目负责人不得随意变更，特殊情况需要更换须得到甲方同意。如遇项目经理未按甲方要求安排工作，有权处违约金2000 元/人•次（人民币）。</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.其他违约责任约定：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1）甲乙双方必须严格履行本协议，如一方未履行本合同规定的职责应视为违反合同，违约方必须向受损一方赔偿违约引起的一切直接和既得利益的损失。（2）本协议执行期间，如遇不可抗力，致使合同无法履行，双方均不承担违约责任，并按有关法规政策及时协商解决。</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第七条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合同的变更和终止</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1.除本项目招标文件明确的情形外，本合同一经签订，甲乙双方不得擅自变更、中止或终止合同。</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第八条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合同的转让</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乙方不得擅自部分或全部转让其应履行的合同义务。</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第九条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争议的解决</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解决争议：</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（1）向甲方所在地有管辖权的人民法院提起诉讼；</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（2）向泰州仲裁委员会按其仲裁规则申请仲裁。</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如没有约定，默认采取第2种方式解决争议。</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2.在仲裁期间，本合同应继续履行</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第十条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诚实信用</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第十一条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组成本合同的有关文件</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下列关于泰州市政府采购（项目编号）的采购文件、响应文件或与本次采购活动方式相适应的文件及有关附件是本合同不可分割的组成部分，与本合同具有同等法律效力，这些文件包括但不限于：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（1）本项目的采购文件</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（2）乙方提供的响应文件和投标报价表；</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（3）技术规格响应表；</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（4）投标承诺/服务承诺；</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（5）中标通知书；</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（6）甲乙双方商定的其他文件等。</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第十二条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合同生效及其他</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1.本合同自签订之日起生效。</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2.本合同一式肆份，甲乙双方各执贰份。</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3.本合同应按照中华人民共和国的现行法律进行解释。</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p>
    <w:p>
      <w:pPr>
        <w:ind w:right="960" w:firstLine="42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（签字）：</w:t>
      </w:r>
      <w:r/>
    </w:p>
    <w:p>
      <w:pPr>
        <w:ind w:right="960" w:firstLine="483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签订日期：年月日</w:t>
      </w:r>
      <w:r/>
    </w:p>
    <w:p>
      <w:pPr>
        <w:ind w:firstLine="480"/>
        <w:spacing w:line="360" w:lineRule="auto"/>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r>
      <w:r/>
    </w:p>
    <w:p>
      <w:pPr>
        <w:jc w:val="left"/>
        <w:spacing w:line="1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48"/>
        <w:rPr>
          <w:rFonts w:hint="eastAsia" w:ascii="宋体" w:hAnsi="宋体" w:cs="仿宋"/>
          <w:bCs/>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第四章 采购需求</w:t>
      </w:r>
      <w:bookmarkEnd w:id="107"/>
      <w:r/>
      <w:r/>
    </w:p>
    <w:p>
      <w:pPr>
        <w:ind w:firstLine="482"/>
        <w:spacing w:beforeAutospacing="0" w:afterAutospacing="0" w:line="360" w:lineRule="auto"/>
        <w:tabs>
          <w:tab w:val="left" w:pos="228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一、采购需求</w:t>
      </w:r>
      <w:r/>
    </w:p>
    <w:p>
      <w:pPr>
        <w:ind w:firstLine="480"/>
        <w:spacing w:beforeAutospacing="0" w:afterAutospacing="0" w:line="360" w:lineRule="auto"/>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为彻底消除环境安全隐患，拟对挖出的</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污泥</w:t>
      </w:r>
      <w:r>
        <w:rPr>
          <w:rFonts w:hint="eastAsia" w:ascii="宋体" w:hAnsi="宋体" w:eastAsia="宋体" w:cs="宋体"/>
          <w:b w:val="0"/>
          <w:bCs/>
          <w:color w:val="000000" w:themeColor="text1"/>
          <w:sz w:val="24"/>
          <w:szCs w:val="24"/>
          <w:highlight w:val="none"/>
          <w14:textFill>
            <w14:solidFill>
              <w14:schemeClr w14:val="tx1"/>
            </w14:solidFill>
          </w14:textFill>
        </w:rPr>
        <w:t xml:space="preserve">约17000吨（一般固废）进行处置。</w:t>
      </w:r>
      <w:r/>
    </w:p>
    <w:p>
      <w:pPr>
        <w:numPr>
          <w:ilvl w:val="0"/>
          <w:numId w:val="3"/>
        </w:numPr>
        <w:ind w:firstLine="482"/>
        <w:spacing w:beforeAutospacing="0" w:afterAutospacing="0" w:line="360" w:lineRule="auto"/>
        <w:tabs>
          <w:tab w:val="left" w:pos="2280"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val="0"/>
          <w:bCs/>
          <w:color w:val="000000" w:themeColor="text1"/>
          <w:sz w:val="24"/>
          <w:szCs w:val="24"/>
          <w:highlight w:val="none"/>
          <w14:textFill>
            <w14:solidFill>
              <w14:schemeClr w14:val="tx1"/>
            </w14:solidFill>
          </w14:textFill>
        </w:rPr>
        <w:t xml:space="preserve">天</w:t>
      </w:r>
      <w:r/>
    </w:p>
    <w:p>
      <w:pPr>
        <w:numPr>
          <w:ilvl w:val="0"/>
          <w:numId w:val="0"/>
        </w:numPr>
        <w:ind w:firstLine="482"/>
        <w:spacing w:beforeAutospacing="0" w:afterAutospacing="0" w:line="360" w:lineRule="auto"/>
        <w:tabs>
          <w:tab w:val="left" w:pos="2280" w:leader="none"/>
        </w:tabs>
        <w:rPr>
          <w:color w:val="000000" w:themeColor="text1"/>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三、付款方式</w:t>
      </w:r>
      <w:r>
        <w:rPr>
          <w:rFonts w:hint="eastAsia" w:ascii="宋体" w:hAnsi="宋体" w:eastAsia="宋体" w:cs="宋体"/>
          <w:b w:val="0"/>
          <w:bCs/>
          <w:color w:val="000000" w:themeColor="text1"/>
          <w:sz w:val="24"/>
          <w:szCs w:val="24"/>
          <w:highlight w:val="none"/>
          <w14:textFill>
            <w14:solidFill>
              <w14:schemeClr w14:val="tx1"/>
            </w14:solidFill>
          </w14:textFill>
        </w:rPr>
        <w:t xml:space="preserve">：签订合同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后</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，所有固废清运完毕，经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采购人验收合格</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后</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一次性付清</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482"/>
        <w:spacing w:beforeAutospacing="0" w:afterAutospacing="0" w:line="360" w:lineRule="auto"/>
        <w:tabs>
          <w:tab w:val="left" w:pos="228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四、处置要求</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1、一般固废处置要求</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处置须达到无害化的目的，处置方式须符合生态环境等各方面要求，处置方式限定为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烧结工艺（隧道窑制烧结砖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不得对环境造成二次污染）</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其余处置方式均不予认可。</w:t>
      </w:r>
      <w:r>
        <w:rPr>
          <w:rFonts w:hint="eastAsia" w:ascii="宋体" w:hAnsi="宋体" w:eastAsia="宋体" w:cs="宋体"/>
          <w:color w:val="000000" w:themeColor="text1"/>
          <w:sz w:val="24"/>
          <w:szCs w:val="24"/>
          <w:highlight w:val="none"/>
          <w14:textFill>
            <w14:solidFill>
              <w14:schemeClr w14:val="tx1"/>
            </w14:solidFill>
          </w14:textFill>
        </w:rPr>
        <w:t xml:space="preserve">污泥处置设施环保措施符合国家和环保部门要求；污泥处置后的产物需达到国家和地方相关部门要求；具备一定应急调蓄储存能力，在紧急情况下，可储存一定量污泥。</w:t>
      </w:r>
      <w:r/>
    </w:p>
    <w:p>
      <w:pPr>
        <w:ind w:firstLine="482"/>
        <w:spacing w:beforeAutospacing="0" w:afterAutospacing="0" w:line="360" w:lineRule="auto"/>
        <w:tabs>
          <w:tab w:val="left" w:pos="228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五、其他相关要求</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1、本项目合同形式为固定单价合同，供应商的报价应包括一般固废处置费、装卸费、运输费、道路清扫费</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人工费、机械费、管理费、保险、各项规费、各项税费、利润等合同实施过程中一切不可预见费用，以及完成本</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的全部费用。供应商任何漏项、漏报、少报、错报所产生的后果，均由供应商承担责任，采购人不再支付报价以外的任何费用。</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2、本次采购的一般固废量为暂定量，最终结算以实际处置量为准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结算总金额不得超过340万元，超过上限部分不予支付，由供应商自行承担并视作优惠。</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3、一般固废要求</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①成交供应商需自行安排车辆运输污泥，严禁超载，车辆需固定，如需更换应经采购人同意。装载污泥现场如需铲车配合，由成交供应商自行安排，装载完成后需清扫现场。</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②成交供应商车辆必须做到密闭运输，如发现未密闭运输有抛洒滴漏的，扣除1000元/次，如对沿途道路及环境造成污染的，由成交供应商承担责任并负责处理。</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成交供应商不得在处置地以外随意倾倒污泥或者将污泥作其他用途，采购人可随时抽查运输处置情况，如发现或被举报核实成交供应商有随意倾倒污泥等违法行为，采购人可立即解除合同，并扣除全部履约保证金，如造成环境二次污染等情况，成交供应商将承担相应的法律责任，同时承担环境修复所产生的一切费用。</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④在委托服务期内，成交供应商应配合做好污泥转运联单的填报、环保备案等相关工作，真实有效地将地磅计量记录于污泥转运联单上并盖章确认，未及时配合的扣除1000元/次。</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⑤合同履行期间成交供应商所发生的污泥运输和处置的安全及环保等问题，由成交供应商负责。</w:t>
      </w:r>
      <w:r/>
    </w:p>
    <w:p>
      <w:p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⑥运输车辆需全程安装跟车监控，现场施工、运输、仓储都需全程监控。</w:t>
      </w:r>
      <w:r/>
    </w:p>
    <w:p>
      <w:pPr>
        <w:numPr>
          <w:ilvl w:val="0"/>
          <w:numId w:val="4"/>
        </w:numPr>
        <w:ind w:firstLine="480"/>
        <w:spacing w:beforeAutospacing="0" w:afterAutospacing="0" w:line="360" w:lineRule="auto"/>
        <w:tabs>
          <w:tab w:val="left" w:pos="2280"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特别说明</w:t>
      </w:r>
      <w:r/>
    </w:p>
    <w:p>
      <w:pPr>
        <w:numPr>
          <w:ilvl w:val="0"/>
          <w:numId w:val="0"/>
        </w:numPr>
        <w:ind w:firstLine="480"/>
        <w:spacing w:beforeAutospacing="0" w:afterAutospacing="0" w:line="360" w:lineRule="auto"/>
        <w:tabs>
          <w:tab w:val="left" w:pos="228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lang w:val="en-US" w:eastAsia="zh-CN"/>
          <w14:textFill>
            <w14:solidFill>
              <w14:schemeClr w14:val="tx1"/>
            </w14:solidFill>
          </w14:textFill>
        </w:rPr>
        <w:t xml:space="preserve">如涉及危废，成交供应商需将危废和固废进行分拣、分离，单独分开储存。成交供应商完成一般固废处置后本项目合同终止，结算按实际已处置一般固废工程量结算。</w:t>
      </w:r>
      <w:r/>
    </w:p>
    <w:p>
      <w:pPr>
        <w:numPr>
          <w:ilvl w:val="0"/>
          <w:numId w:val="0"/>
        </w:numPr>
        <w:ind w:firstLine="480"/>
        <w:spacing w:beforeAutospacing="0" w:afterAutospacing="0" w:line="360" w:lineRule="auto"/>
        <w:tabs>
          <w:tab w:val="left" w:pos="228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②</w:t>
      </w:r>
      <w:r>
        <w:rPr>
          <w:rFonts w:hint="eastAsia" w:ascii="宋体" w:hAnsi="宋体"/>
          <w:b/>
          <w:bCs/>
          <w:color w:val="000000" w:themeColor="text1"/>
          <w:sz w:val="24"/>
          <w:highlight w:val="none"/>
          <w14:textFill>
            <w14:solidFill>
              <w14:schemeClr w14:val="tx1"/>
            </w14:solidFill>
          </w14:textFill>
        </w:rPr>
        <w:t xml:space="preserve">本项目污泥目前堆存于三处：仓库内、东夏河围堰区域、魏楼河东北侧土坑。其中，东夏河围堰区域及魏楼河东北侧土坑内污泥，需投标人自行另行开挖、装车、清运。投标人投标报价时应综合考虑堆存污泥清运、开挖、装卸、安全防护、环保措施、场地恢复等所有相关费用，采购人不再另行支付任何费用，投标人应充分踏勘现场，风险自行承担。</w:t>
      </w:r>
      <w:r/>
    </w:p>
    <w:p>
      <w:pPr>
        <w:numPr>
          <w:ilvl w:val="0"/>
          <w:numId w:val="0"/>
        </w:numPr>
        <w:ind w:firstLine="480"/>
        <w:spacing w:beforeAutospacing="0" w:afterAutospacing="0" w:line="360" w:lineRule="auto"/>
        <w:tabs>
          <w:tab w:val="left" w:pos="228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六、服务标准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1、成交单位不得转包或委托其他单位处置；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2、处置结束后，成交单位需要提供一整套环保规范要求的完整的材料；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3、属地生态环境部门要求提供的其他资料。</w:t>
      </w:r>
      <w:r/>
    </w:p>
    <w:p>
      <w:pPr>
        <w:ind w:firstLine="480"/>
        <w:keepLines w:val="0"/>
        <w:keepNext w:val="0"/>
        <w:pageBreakBefore w:val="0"/>
        <w:spacing w:line="360" w:lineRule="auto"/>
        <w:widowControl w:val="off"/>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合同签订后5天内须进场，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项目负责人必须按照采购人的要求组织现场工作，投标时所提供的项目负责人不得随意变更，特殊情况需要更换须得到采购人同意。</w:t>
      </w:r>
      <w:bookmarkEnd w:id="108"/>
      <w:r/>
      <w:bookmarkEnd w:id="109"/>
      <w:r/>
      <w:r/>
    </w:p>
    <w:p>
      <w:pPr>
        <w:ind w:right="25"/>
        <w:jc w:val="center"/>
        <w:spacing w:before="26" w:line="360" w:lineRule="auto"/>
        <w:rPr>
          <w:b/>
          <w:bCs/>
          <w:color w:val="000000" w:themeColor="text1"/>
          <w:sz w:val="32"/>
          <w:szCs w:val="32"/>
          <w:highlight w:val="none"/>
          <w14:textFill>
            <w14:solidFill>
              <w14:schemeClr w14:val="tx1"/>
            </w14:solidFill>
          </w14:textFill>
        </w:rPr>
      </w:pPr>
      <w:r/>
      <w:bookmarkStart w:id="113" w:name="_Toc10158"/>
      <w:r/>
      <w:r/>
    </w:p>
    <w:p>
      <w:pPr>
        <w:ind w:right="25"/>
        <w:jc w:val="center"/>
        <w:spacing w:before="26" w:line="360" w:lineRule="auto"/>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right="25"/>
        <w:jc w:val="center"/>
        <w:spacing w:before="26" w:line="360" w:lineRule="auto"/>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t xml:space="preserve">第五章 评审方法和评审标准</w:t>
      </w:r>
      <w:bookmarkEnd w:id="113"/>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bookmarkStart w:id="114" w:name="_Toc31610"/>
      <w:r>
        <w:rPr>
          <w:rFonts w:hint="eastAsia" w:ascii="宋体" w:hAnsi="宋体" w:cs="宋体"/>
          <w:b/>
          <w:bCs/>
          <w:color w:val="000000" w:themeColor="text1"/>
          <w:sz w:val="24"/>
          <w:highlight w:val="none"/>
          <w14:textFill>
            <w14:solidFill>
              <w14:schemeClr w14:val="tx1"/>
            </w14:solidFill>
          </w14:textFill>
        </w:rPr>
        <w:t xml:space="preserve">一、评审方法</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1.评审方法采用综合评分法，总分值为100分。</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2.评审时，对每个有效投标供应商的投标响应文件进行评分，对评委的评分进行统计汇总，按算术平均方法计算出每个投标供应商的评审得分。（分值采用“四舍五入”法，保留小数点后2位）</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3.评标结果按评审后得分由高到低顺序排列。得分相同的，按投标报价由低到高顺序排列。得分相同且投标报价相同的</w:t>
      </w:r>
      <w:r>
        <w:rPr>
          <w:rFonts w:hint="eastAsia"/>
          <w:color w:val="000000" w:themeColor="text1"/>
          <w:sz w:val="24"/>
          <w:highlight w:val="none"/>
          <w14:textFill>
            <w14:solidFill>
              <w14:schemeClr w14:val="tx1"/>
            </w14:solidFill>
          </w14:textFill>
        </w:rPr>
        <w:t xml:space="preserve">按照技术指标优劣顺序推荐</w:t>
      </w:r>
      <w:r>
        <w:rPr>
          <w:rFonts w:hint="eastAsia" w:ascii="宋体" w:hAnsi="宋体" w:cs="宋体"/>
          <w:color w:val="000000" w:themeColor="text1"/>
          <w:sz w:val="24"/>
          <w:highlight w:val="none"/>
          <w14:textFill>
            <w14:solidFill>
              <w14:schemeClr w14:val="tx1"/>
            </w14:solidFill>
          </w14:textFill>
        </w:rPr>
        <w:t xml:space="preserve">。投标文件满足</w:t>
      </w:r>
      <w:r>
        <w:rPr>
          <w:rFonts w:hint="eastAsia"/>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14:textFill>
            <w14:solidFill>
              <w14:schemeClr w14:val="tx1"/>
            </w14:solidFill>
          </w14:textFill>
        </w:rPr>
        <w:t xml:space="preserve">文件全部实质性要求，且按照评审因素的量化指标评审得分最高的投标供应商为成交供应商。如上述因素均相同，则采用抽签方式确定成交候选人的顺序。</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二、评分标准（总分100分）</w:t>
      </w:r>
      <w:r/>
    </w:p>
    <w:tbl>
      <w:tblPr>
        <w:tblStyle w:val="1158"/>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6"/>
        <w:gridCol w:w="1745"/>
        <w:gridCol w:w="6441"/>
      </w:tblGrid>
      <w:tr>
        <w:trPr>
          <w:jc w:val="center"/>
          <w:trHeight w:val="739"/>
        </w:trPr>
        <w:tc>
          <w:tcPr>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Mar>
              <w:left w:w="15" w:type="dxa"/>
              <w:top w:w="15" w:type="dxa"/>
              <w:right w:w="15" w:type="dxa"/>
              <w:bottom w:w="0" w:type="dxa"/>
            </w:tcMar>
            <w:tcW w:w="6441" w:type="dxa"/>
            <w:vAlign w:val="center"/>
            <w:textDirection w:val="lrTb"/>
            <w:noWrap w:val="false"/>
          </w:tcPr>
          <w:p>
            <w:pPr>
              <w:jc w:val="center"/>
              <w:spacing w:line="34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评分标准说明</w:t>
            </w:r>
            <w:r/>
          </w:p>
        </w:tc>
      </w:tr>
      <w:tr>
        <w:trPr>
          <w:jc w:val="center"/>
          <w:trHeight w:val="14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投标报价</w:t>
            </w:r>
            <w:r/>
          </w:p>
          <w:p>
            <w:pPr>
              <w:jc w:val="cente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1" w:type="dxa"/>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价格分采用低价优先法计算，即满足磋商文件要求且最终报价最低的为评标基准价，其价格分为满分。其他供应商的价格得分统一按照下列公式计算（小数点保留两位）：报价得分=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评标基准价／最终报价</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×30。</w:t>
            </w:r>
            <w:r/>
          </w:p>
        </w:tc>
      </w:tr>
      <w:tr>
        <w:trPr>
          <w:jc w:val="center"/>
          <w:trHeight w:val="12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类似业绩</w:t>
            </w:r>
            <w:r/>
          </w:p>
          <w:p>
            <w:pPr>
              <w:jc w:val="center"/>
              <w:spacing w:line="340" w:lineRule="exac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9</w:t>
            </w:r>
            <w:r>
              <w:rPr>
                <w:rFonts w:hint="eastAsia" w:ascii="宋体" w:hAnsi="宋体" w:cs="宋体"/>
                <w:color w:val="000000" w:themeColor="text1"/>
                <w:spacing w:val="-6"/>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1" w:type="dxa"/>
            <w:vAlign w:val="center"/>
            <w:textDirection w:val="lrTb"/>
            <w:noWrap w:val="false"/>
          </w:tcPr>
          <w:p>
            <w:pPr>
              <w:jc w:val="left"/>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提供202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年1月1日（以合同签订时间为准）以来承担过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类似污泥</w:t>
            </w:r>
            <w:r>
              <w:rPr>
                <w:rFonts w:hint="eastAsia" w:ascii="宋体" w:hAnsi="宋体" w:eastAsia="宋体" w:cs="宋体"/>
                <w:color w:val="000000" w:themeColor="text1"/>
                <w:sz w:val="21"/>
                <w:szCs w:val="21"/>
                <w:highlight w:val="none"/>
                <w14:textFill>
                  <w14:solidFill>
                    <w14:schemeClr w14:val="tx1"/>
                  </w14:solidFill>
                </w14:textFill>
              </w:rPr>
              <w:t xml:space="preserve">处置项目的，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1"/>
                <w:szCs w:val="21"/>
                <w:highlight w:val="none"/>
                <w14:textFill>
                  <w14:solidFill>
                    <w14:schemeClr w14:val="tx1"/>
                  </w14:solidFill>
                </w14:textFill>
              </w:rPr>
              <w:t xml:space="preserve">提供1个得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本项最高得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注：投标文件中提供合同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原件扫描件，否则不得分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eastAsia="宋体" w:cs="宋体"/>
                <w:color w:val="000000" w:themeColor="text1"/>
                <w:spacing w:val="-6"/>
                <w:szCs w:val="21"/>
                <w:highlight w:val="none"/>
                <w:lang w:val="zh-CN"/>
                <w14:textFill>
                  <w14:solidFill>
                    <w14:schemeClr w14:val="tx1"/>
                  </w14:solidFill>
                </w14:textFill>
              </w:rPr>
            </w:pPr>
            <w:r>
              <w:rPr>
                <w:rFonts w:hint="eastAsia" w:ascii="宋体" w:hAnsi="宋体" w:eastAsia="宋体" w:cs="宋体"/>
                <w:color w:val="000000" w:themeColor="text1"/>
                <w:spacing w:val="-6"/>
                <w:szCs w:val="21"/>
                <w:highlight w:val="none"/>
                <w:lang w:val="zh-CN"/>
                <w14:textFill>
                  <w14:solidFill>
                    <w14:schemeClr w14:val="tx1"/>
                  </w14:solidFill>
                </w14:textFill>
              </w:rPr>
              <w:t xml:space="preserve">服务方案</w:t>
            </w:r>
            <w:r/>
          </w:p>
          <w:p>
            <w:pPr>
              <w:jc w:val="center"/>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15分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1" w:type="dxa"/>
            <w:vAlign w:val="center"/>
            <w:textDirection w:val="lrTb"/>
            <w:noWrap w:val="false"/>
          </w:tcPr>
          <w:p>
            <w:pPr>
              <w:jc w:val="left"/>
              <w:spacing w:line="34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根据本项目处置需求，对总体服务方案、处置方案针对性、暂存场地规范性、人员配置、处置容量、设备先进性、运行稳定性、安全性、处置保障能力等内容进行综合评审。</w:t>
            </w:r>
            <w:r/>
          </w:p>
          <w:p>
            <w:pPr>
              <w:jc w:val="left"/>
              <w:spacing w:line="34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方案全面完善、合理可行、针对性强、保障措施充分</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4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方案较全面完善、可行性较强、针对性较强</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4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方案基本完善、具有一定可行性与针对性</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4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方案简单、针对性较差、保障不足</w:t>
            </w:r>
            <w:r>
              <w:rPr>
                <w:rFonts w:hint="eastAsia" w:ascii="宋体" w:hAnsi="宋体" w:cs="宋体"/>
                <w:color w:val="000000" w:themeColor="text1"/>
                <w:szCs w:val="21"/>
                <w:highlight w:val="none"/>
                <w14:textFill>
                  <w14:solidFill>
                    <w14:schemeClr w14:val="tx1"/>
                  </w14:solidFill>
                </w14:textFill>
              </w:rPr>
              <w:t xml:space="preserve">，得6分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40" w:lineRule="exact"/>
              <w:rPr>
                <w:rFonts w:hint="default" w:ascii="宋体" w:hAnsi="宋体" w:cs="宋体"/>
                <w:bCs/>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未提供本项方案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的不得分。</w:t>
            </w:r>
            <w:r/>
          </w:p>
        </w:tc>
      </w:tr>
      <w:tr>
        <w:trPr>
          <w:jc w:val="center"/>
          <w:trHeight w:val="220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运输管理方案</w:t>
            </w:r>
            <w:r/>
          </w:p>
          <w:p>
            <w:pPr>
              <w:jc w:val="center"/>
              <w:spacing w:line="340" w:lineRule="exact"/>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15分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1" w:type="dxa"/>
            <w:vAlign w:val="center"/>
            <w:textDirection w:val="lrTb"/>
            <w:noWrap w:val="false"/>
          </w:tcPr>
          <w:p>
            <w:pPr>
              <w:jc w:val="left"/>
              <w:spacing w:line="3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提供的运输服务管理方案，对安全措施、环保措施等情况进行打分：</w:t>
            </w:r>
            <w:r/>
          </w:p>
          <w:p>
            <w:pPr>
              <w:jc w:val="left"/>
              <w:spacing w:line="36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安全措施、环保措施内容完善，合理可行，得</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6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安全措施、环保措施内容基本完善，基本合理，得</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jc w:val="left"/>
              <w:spacing w:line="36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安全措施、环保措施有相应内容，但不完善具体，得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40" w:lineRule="exact"/>
              <w:tabs>
                <w:tab w:val="left" w:pos="2850" w:leader="none"/>
                <w:tab w:val="center" w:pos="4153" w:leader="none"/>
              </w:tabs>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不提供不得分。</w:t>
            </w:r>
            <w:r/>
          </w:p>
        </w:tc>
      </w:tr>
      <w:tr>
        <w:trPr>
          <w:jc w:val="center"/>
          <w:trHeight w:val="192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联单制管理方案</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15分</w:t>
            </w:r>
            <w:r>
              <w:rPr>
                <w:rFonts w:hint="eastAsia" w:ascii="宋体" w:hAnsi="宋体"/>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1" w:type="dxa"/>
            <w:vAlign w:val="center"/>
            <w:textDirection w:val="lrTb"/>
            <w:noWrap w:val="false"/>
          </w:tcPr>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根据项目污泥处置规范、标准和要求，针对联单运行、专项台账、收集贮存、利用处置、转移登记、处置量核对、去向可追溯等内容进行方案编制。</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方案完整、针对性强、可落地性高，联单与台账管理体系健全，全程可追溯</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方案较完整，针对性较强，联单与台账管理体系较健全</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方案基本完整，针对性一般，联单与台账管理基本满足要求</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方案简单，针对性较差，内容存在明显缺失</w:t>
            </w:r>
            <w:r>
              <w:rPr>
                <w:rFonts w:hint="eastAsia" w:ascii="宋体" w:hAnsi="宋体" w:cs="宋体"/>
                <w:color w:val="000000" w:themeColor="text1"/>
                <w:szCs w:val="21"/>
                <w:highlight w:val="none"/>
                <w14:textFill>
                  <w14:solidFill>
                    <w14:schemeClr w14:val="tx1"/>
                  </w14:solidFill>
                </w14:textFill>
              </w:rPr>
              <w:t xml:space="preserve">，得6分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40" w:lineRule="exact"/>
              <w:tabs>
                <w:tab w:val="left" w:pos="2850" w:leader="none"/>
                <w:tab w:val="center" w:pos="4153" w:leader="none"/>
              </w:tabs>
              <w:rPr>
                <w:rFonts w:hint="default" w:asciiTheme="minorEastAsia" w:hAnsiTheme="minorEastAsia" w:eastAsiaTheme="minorEastAsia"/>
                <w:bCs/>
                <w:color w:val="000000" w:themeColor="text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未提供本项方案或方案重大缺失不得分；</w:t>
            </w:r>
            <w:r/>
          </w:p>
        </w:tc>
      </w:tr>
      <w:tr>
        <w:trPr>
          <w:jc w:val="center"/>
          <w:trHeight w:val="2822"/>
        </w:trPr>
        <w:tc>
          <w:tcPr>
            <w:tcMar>
              <w:left w:w="15" w:type="dxa"/>
              <w:top w:w="15" w:type="dxa"/>
              <w:right w:w="15" w:type="dxa"/>
              <w:bottom w:w="0" w:type="dxa"/>
            </w:tcMar>
            <w:tcW w:w="656" w:type="dxa"/>
            <w:vAlign w:val="center"/>
            <w:textDirection w:val="lrTb"/>
            <w:noWrap w:val="false"/>
          </w:tcPr>
          <w:p>
            <w:pPr>
              <w:jc w:val="center"/>
              <w:spacing w:line="3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Mar>
              <w:left w:w="15" w:type="dxa"/>
              <w:top w:w="15" w:type="dxa"/>
              <w:right w:w="15" w:type="dxa"/>
              <w:bottom w:w="0" w:type="dxa"/>
            </w:tcMar>
            <w:tcW w:w="1745" w:type="dxa"/>
            <w:vAlign w:val="center"/>
            <w:textDirection w:val="lrTb"/>
            <w:noWrap w:val="false"/>
          </w:tcPr>
          <w:p>
            <w:pPr>
              <w:jc w:val="center"/>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风险防范及应急预案（</w:t>
            </w:r>
            <w:r>
              <w:rPr>
                <w:rFonts w:hint="eastAsia" w:ascii="宋体" w:hAnsi="宋体"/>
                <w:color w:val="000000" w:themeColor="text1"/>
                <w:szCs w:val="21"/>
                <w:highlight w:val="none"/>
                <w:lang w:val="en-US" w:eastAsia="zh-CN"/>
                <w14:textFill>
                  <w14:solidFill>
                    <w14:schemeClr w14:val="tx1"/>
                  </w14:solidFill>
                </w14:textFill>
              </w:rPr>
              <w:t xml:space="preserve">16分</w:t>
            </w:r>
            <w:r>
              <w:rPr>
                <w:rFonts w:hint="eastAsia" w:ascii="宋体" w:hAnsi="宋体"/>
                <w:color w:val="000000" w:themeColor="text1"/>
                <w:szCs w:val="21"/>
                <w:highlight w:val="none"/>
                <w:lang w:val="zh-CN"/>
                <w14:textFill>
                  <w14:solidFill>
                    <w14:schemeClr w14:val="tx1"/>
                  </w14:solidFill>
                </w14:textFill>
              </w:rPr>
              <w:t xml:space="preserve">）</w:t>
            </w:r>
            <w:r/>
          </w:p>
        </w:tc>
        <w:tc>
          <w:tcPr>
            <w:tcMar>
              <w:left w:w="15" w:type="dxa"/>
              <w:top w:w="15" w:type="dxa"/>
              <w:right w:w="15" w:type="dxa"/>
              <w:bottom w:w="0" w:type="dxa"/>
            </w:tcMar>
            <w:tcW w:w="6441" w:type="dxa"/>
            <w:vAlign w:val="center"/>
            <w:textDirection w:val="lrTb"/>
            <w:noWrap w:val="false"/>
          </w:tcPr>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针对本项目服务特点，编制风险防范及应急预案。包括但不限于处置总量的风险、二次污染的风险、车辆</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和</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人员安全风险、天气等不可抗力因素造成污泥运输和处置的延误风险、贮存场所可能发生的风险等。</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方案基本全面，针对性较强，具有一定的可操作性的得</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16</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分；</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方案内容较全面完整，针对性较强，可操作性较强的得</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12</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分；</w:t>
            </w:r>
            <w:r/>
          </w:p>
          <w:p>
            <w:pPr>
              <w:spacing w:line="340" w:lineRule="exact"/>
              <w:tabs>
                <w:tab w:val="left" w:pos="2850" w:leader="none"/>
                <w:tab w:val="center" w:pos="4153" w:leader="none"/>
              </w:tabs>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方案内容全面、完整，针对性强，可操作性强的得</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分。</w:t>
            </w:r>
            <w:r/>
          </w:p>
          <w:p>
            <w:pPr>
              <w:spacing w:line="340" w:lineRule="exact"/>
              <w:tabs>
                <w:tab w:val="left" w:pos="2850" w:leader="none"/>
                <w:tab w:val="center" w:pos="4153"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不提供不得分。</w:t>
            </w:r>
            <w:r/>
          </w:p>
        </w:tc>
      </w:tr>
    </w:tbl>
    <w:p>
      <w:pPr>
        <w:pStyle w:val="1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b/>
          <w:bCs w:val="0"/>
          <w:color w:val="000000" w:themeColor="text1"/>
          <w:sz w:val="24"/>
          <w:highlight w:val="none"/>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1、评分标准中3</w:t>
      </w:r>
      <w:r>
        <w:rPr>
          <w:rFonts w:hint="eastAsia" w:ascii="宋体" w:hAnsi="宋体"/>
          <w:b/>
          <w:bCs w:val="0"/>
          <w:color w:val="000000" w:themeColor="text1"/>
          <w:sz w:val="24"/>
          <w:highlight w:val="none"/>
          <w14:textFill>
            <w14:solidFill>
              <w14:schemeClr w14:val="tx1"/>
            </w14:solidFill>
          </w14:textFill>
        </w:rPr>
        <w:t xml:space="preserve">-</w:t>
      </w:r>
      <w:r>
        <w:rPr>
          <w:rFonts w:hint="eastAsia" w:ascii="宋体" w:hAnsi="宋体"/>
          <w:b/>
          <w:bCs w:val="0"/>
          <w:color w:val="000000" w:themeColor="text1"/>
          <w:sz w:val="24"/>
          <w:highlight w:val="none"/>
          <w:lang w:val="en-US" w:eastAsia="zh-CN"/>
          <w14:textFill>
            <w14:solidFill>
              <w14:schemeClr w14:val="tx1"/>
            </w14:solidFill>
          </w14:textFill>
        </w:rPr>
        <w:t xml:space="preserve">6</w:t>
      </w:r>
      <w:r>
        <w:rPr>
          <w:rFonts w:hint="eastAsia" w:ascii="宋体" w:hAnsi="宋体"/>
          <w:b/>
          <w:bCs w:val="0"/>
          <w:color w:val="000000" w:themeColor="text1"/>
          <w:sz w:val="24"/>
          <w:highlight w:val="none"/>
          <w14:textFill>
            <w14:solidFill>
              <w14:schemeClr w14:val="tx1"/>
            </w14:solidFill>
          </w14:textFill>
        </w:rPr>
        <w:t xml:space="preserve">项技术部分的总页数不得超过</w:t>
      </w:r>
      <w:r>
        <w:rPr>
          <w:rFonts w:hint="eastAsia" w:ascii="宋体" w:hAnsi="宋体"/>
          <w:b/>
          <w:bCs w:val="0"/>
          <w:color w:val="000000" w:themeColor="text1"/>
          <w:sz w:val="24"/>
          <w:highlight w:val="none"/>
          <w:lang w:val="en-US" w:eastAsia="zh-CN"/>
          <w14:textFill>
            <w14:solidFill>
              <w14:schemeClr w14:val="tx1"/>
            </w14:solidFill>
          </w14:textFill>
        </w:rPr>
        <w:t xml:space="preserve">100</w:t>
      </w:r>
      <w:r>
        <w:rPr>
          <w:rFonts w:hint="eastAsia" w:ascii="宋体" w:hAnsi="宋体"/>
          <w:b/>
          <w:bCs w:val="0"/>
          <w:color w:val="000000" w:themeColor="text1"/>
          <w:sz w:val="24"/>
          <w:highlight w:val="none"/>
          <w14:textFill>
            <w14:solidFill>
              <w14:schemeClr w14:val="tx1"/>
            </w14:solidFill>
          </w14:textFill>
        </w:rPr>
        <w:t xml:space="preserve">页，每超过一页扣 </w:t>
      </w:r>
      <w:r>
        <w:rPr>
          <w:rFonts w:hint="eastAsia" w:ascii="宋体" w:hAnsi="宋体"/>
          <w:b/>
          <w:bCs w:val="0"/>
          <w:color w:val="000000" w:themeColor="text1"/>
          <w:sz w:val="24"/>
          <w:highlight w:val="none"/>
          <w:lang w:val="en-US" w:eastAsia="zh-CN"/>
          <w14:textFill>
            <w14:solidFill>
              <w14:schemeClr w14:val="tx1"/>
            </w14:solidFill>
          </w14:textFill>
        </w:rPr>
        <w:t xml:space="preserve">1</w:t>
      </w:r>
      <w:r>
        <w:rPr>
          <w:rFonts w:hint="eastAsia" w:ascii="宋体" w:hAnsi="宋体"/>
          <w:b/>
          <w:bCs w:val="0"/>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以上评分标准中评分的每一条，各投标供应商均应提供相关的资料，且必须清晰完整。</w:t>
      </w:r>
      <w:r>
        <w:rPr>
          <w:rFonts w:hint="eastAsia" w:ascii="宋体" w:hAnsi="宋体" w:cs="宋体"/>
          <w:color w:val="000000" w:themeColor="text1"/>
          <w:sz w:val="24"/>
          <w:highlight w:val="none"/>
          <w:lang w:bidi="ar"/>
          <w14:textFill>
            <w14:solidFill>
              <w14:schemeClr w14:val="tx1"/>
            </w14:solidFill>
          </w14:textFill>
        </w:rPr>
        <w:t xml:space="preserve">供应商必须保证所提供资料的真实性和完整性，如发现存在骗取成交等虚假行为，将依据法律规定取消其中标资格。</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三、本办法未尽事宜，经评标专家集体通过后，形成书面材料，作为本评标办法的补充条款，并按磋商办法及补充条款进行磋商。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4"/>
          <w:footerReference w:type="first" r:id="rId15"/>
          <w:footnotePr/>
          <w:endnotePr/>
          <w:type w:val="nextPage"/>
          <w:pgSz w:w="11906" w:h="16838" w:orient="portrait"/>
          <w:pgMar w:top="1440" w:right="1800" w:bottom="1440" w:left="1800" w:header="851" w:footer="907" w:gutter="0"/>
          <w:cols w:num="1" w:sep="0" w:space="720" w:equalWidth="1"/>
          <w:docGrid w:linePitch="360"/>
        </w:sect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48"/>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第六章  响应文件的组成和格式</w:t>
      </w:r>
      <w:bookmarkEnd w:id="11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一、资格审查文件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1.法定代表人资格证明书及法定代表人身份证原件扫描件；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3.投标供应商具有法人或者其他组织的营业执照原件扫描件；</w:t>
      </w:r>
      <w:r/>
    </w:p>
    <w:p>
      <w:pPr>
        <w:jc w:val="left"/>
        <w:spacing w:line="360" w:lineRule="auto"/>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采购人要求的特定资质证明（详见“采购公告”－“本项目特定资格要求”中要求）；</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9.供应商具备履行合同所必需的设备和专业技术能力的证明材料；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10.承诺书；</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11.《中小企业声明函》或《残疾人福利性单位声明函》或监狱和戒毒企业证明材料。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注：上述1—11中任何一条不符合要求，则资格性审查不通过，按无效响应文件处理。</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二、商务技术文件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1.磋商响应函；</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2.首次磋商报价表、分项报价表；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3.采购需求响应及偏离表、商务条款响应及偏离表；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4.拟派本项目人员一览表；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年来</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类似业绩情况表及相关证明材料；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6.方案；</w:t>
      </w:r>
      <w:r/>
    </w:p>
    <w:p>
      <w:pPr>
        <w:spacing w:line="360" w:lineRule="auto"/>
        <w:tabs>
          <w:tab w:val="left" w:pos="900" w:leader="none"/>
        </w:tabs>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highlight w:val="none"/>
          <w14:textFill>
            <w14:solidFill>
              <w14:schemeClr w14:val="tx1"/>
            </w14:solidFill>
          </w14:textFill>
        </w:rPr>
        <w:t xml:space="preserve">根据项目需求和评审方法以及评审标准，供应商为使自身处于有利评审地位，应当提交其他文件和证明资料；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8.供应商认为需要提交的其他资料。</w:t>
      </w:r>
      <w:r/>
    </w:p>
    <w:p>
      <w:pPr>
        <w:jc w:val="left"/>
        <w:spacing w:line="360" w:lineRule="auto"/>
        <w:rPr>
          <w:rFonts w:hint="eastAsia"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磋商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文件要求提供的证明材料如没有对应的接口上传资料的，可以在“其他资料”的接口中上传资料。）</w:t>
      </w:r>
      <w:r/>
    </w:p>
    <w:p>
      <w:pPr>
        <w:jc w:val="left"/>
        <w:spacing w:line="360" w:lineRule="auto"/>
        <w:rPr>
          <w:bCs/>
          <w:color w:val="000000" w:themeColor="text1"/>
          <w:sz w:val="24"/>
          <w:highlight w:val="none"/>
          <w14:textFill>
            <w14:solidFill>
              <w14:schemeClr w14:val="tx1"/>
            </w14:solidFill>
          </w14:textFill>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bCs/>
          <w:color w:val="000000" w:themeColor="text1"/>
          <w:sz w:val="2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bookmarkStart w:id="115" w:name="_Toc2523"/>
      <w:r/>
      <w:bookmarkStart w:id="116" w:name="_Toc31132"/>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t xml:space="preserve">竞争性磋商响应文件</w:t>
      </w:r>
      <w:bookmarkEnd w:id="115"/>
      <w:r/>
      <w:bookmarkEnd w:id="116"/>
      <w:r/>
      <w:r/>
    </w:p>
    <w:p>
      <w:pPr>
        <w:pStyle w:val="1343"/>
        <w:ind w:firstLine="0"/>
        <w:jc w:val="center"/>
        <w:spacing w:before="0" w:after="0"/>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 </w:t>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名 称：</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编 号：</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磋商供应商名称： （加盖CA电子公章）              </w:t>
      </w:r>
      <w:r/>
    </w:p>
    <w:p>
      <w:pP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      日       期：</w:t>
      </w:r>
      <w:bookmarkEnd w:id="110"/>
      <w:r/>
      <w:bookmarkEnd w:id="111"/>
      <w:r/>
      <w:bookmarkEnd w:id="112"/>
      <w:r/>
      <w:r/>
    </w:p>
    <w:p>
      <w:pPr>
        <w:pStyle w:val="1159"/>
        <w:ind w:firstLine="0"/>
        <w:spacing w:line="360" w:lineRule="auto"/>
        <w:rPr>
          <w:b/>
          <w:color w:val="000000" w:themeColor="text1"/>
          <w:szCs w:val="21"/>
          <w:highlight w:val="none"/>
          <w14:textFill>
            <w14:solidFill>
              <w14:schemeClr w14:val="tx1"/>
            </w14:solidFill>
          </w14:textFill>
        </w:rPr>
      </w:pPr>
      <w:r/>
      <w:bookmarkStart w:id="117" w:name="_Toc456102676"/>
      <w:r/>
      <w:bookmarkStart w:id="118" w:name="_Toc337816640"/>
      <w:r/>
      <w:bookmarkStart w:id="119" w:name="_Toc456102122"/>
      <w:r/>
      <w:bookmarkStart w:id="120" w:name="_Toc456102499"/>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bookmarkEnd w:id="117"/>
      <w:r/>
      <w:bookmarkEnd w:id="118"/>
      <w:r/>
      <w:bookmarkEnd w:id="119"/>
      <w:r/>
      <w:bookmarkEnd w:id="120"/>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59"/>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keepNext/>
        <w:spacing w:before="240" w:after="60" w:line="360" w:lineRule="auto"/>
        <w:rPr>
          <w:rFonts w:hint="eastAsia" w:ascii="宋体" w:hAnsi="宋体"/>
          <w:color w:val="000000" w:themeColor="text1"/>
          <w:sz w:val="44"/>
          <w:szCs w:val="44"/>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附件1 ：                             </w:t>
      </w:r>
      <w:r>
        <w:rPr>
          <w:rFonts w:hint="eastAsia" w:ascii="宋体" w:hAnsi="宋体"/>
          <w:b/>
          <w:bCs/>
          <w:color w:val="000000" w:themeColor="text1"/>
          <w:sz w:val="28"/>
          <w:szCs w:val="28"/>
          <w:highlight w:val="none"/>
          <w14:textFill>
            <w14:solidFill>
              <w14:schemeClr w14:val="tx1"/>
            </w14:solidFill>
          </w14:textFill>
        </w:rPr>
        <w:t xml:space="preserve">磋商响应函（格式）</w:t>
      </w:r>
      <w:r>
        <w:rPr>
          <w:rFonts w:hint="eastAsia" w:ascii="宋体" w:hAnsi="宋体"/>
          <w:color w:val="000000" w:themeColor="text1"/>
          <w:sz w:val="28"/>
          <w:szCs w:val="28"/>
          <w:highlight w:val="none"/>
          <w14:textFill>
            <w14:solidFill>
              <w14:schemeClr w14:val="tx1"/>
            </w14:solidFill>
          </w14:textFill>
        </w:rPr>
        <w:t xml:space="preserve"> </w:t>
      </w:r>
      <w:r/>
    </w:p>
    <w:p>
      <w:pPr>
        <w:keepNext/>
        <w:spacing w:before="240" w:after="60"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致：</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根据贵方为 </w:t>
      </w:r>
      <w:r>
        <w:rPr>
          <w:rFonts w:hint="eastAsia" w:ascii="宋体" w:hAnsi="宋体" w:cs="宋体"/>
          <w:color w:val="000000" w:themeColor="text1"/>
          <w:szCs w:val="21"/>
          <w:highlight w:val="none"/>
          <w:u w:val="single"/>
          <w14:textFill>
            <w14:solidFill>
              <w14:schemeClr w14:val="tx1"/>
            </w14:solidFill>
          </w14:textFill>
        </w:rPr>
        <w:t xml:space="preserve">  （项 目 名 称） </w:t>
      </w:r>
      <w:r>
        <w:rPr>
          <w:rFonts w:hint="eastAsia" w:ascii="宋体" w:hAnsi="宋体" w:cs="宋体"/>
          <w:color w:val="000000" w:themeColor="text1"/>
          <w:szCs w:val="21"/>
          <w:highlight w:val="none"/>
          <w14:textFill>
            <w14:solidFill>
              <w14:schemeClr w14:val="tx1"/>
            </w14:solidFill>
          </w14:textFill>
        </w:rPr>
        <w:t xml:space="preserve">  项目编号为：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据此函，签字代表宣布同意如下：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（1）按磋商文件规定的各项要求，向</w:t>
      </w:r>
      <w:r>
        <w:rPr>
          <w:rFonts w:hint="eastAsia" w:ascii="宋体" w:hAnsi="宋体" w:cs="宋体"/>
          <w:color w:val="000000" w:themeColor="text1"/>
          <w:szCs w:val="21"/>
          <w:highlight w:val="none"/>
          <w:u w:val="single"/>
          <w14:textFill>
            <w14:solidFill>
              <w14:schemeClr w14:val="tx1"/>
            </w14:solidFill>
          </w14:textFill>
        </w:rPr>
        <w:t xml:space="preserve">    采购单位名称     </w:t>
      </w:r>
      <w:r>
        <w:rPr>
          <w:rFonts w:hint="eastAsia" w:ascii="宋体" w:hAnsi="宋体" w:cs="宋体"/>
          <w:color w:val="000000" w:themeColor="text1"/>
          <w:szCs w:val="21"/>
          <w:highlight w:val="none"/>
          <w14:textFill>
            <w14:solidFill>
              <w14:schemeClr w14:val="tx1"/>
            </w14:solidFill>
          </w14:textFill>
        </w:rPr>
        <w:t xml:space="preserve">提供所需相关服务，总报价为（大写）__________________人民币。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（2）我们完全理解贵方不一定将合同授予最低报价的供应商。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（7）一旦我方中标，我方将根据磋商文件的规定，严格履行合同的责任和义务，并保证于规定的时</w:t>
      </w:r>
      <w:r>
        <w:rPr>
          <w:rFonts w:hint="eastAsia" w:ascii="宋体" w:hAnsi="宋体" w:cs="宋体"/>
          <w:color w:val="000000" w:themeColor="text1"/>
          <w:szCs w:val="21"/>
          <w:highlight w:val="none"/>
          <w:lang w:eastAsia="zh-CN"/>
          <w14:textFill>
            <w14:solidFill>
              <w14:schemeClr w14:val="tx1"/>
            </w14:solidFill>
          </w14:textFill>
        </w:rPr>
        <w:t xml:space="preserve">间内</w:t>
      </w:r>
      <w:r>
        <w:rPr>
          <w:rFonts w:hint="eastAsia" w:ascii="宋体" w:hAnsi="宋体" w:cs="宋体"/>
          <w:color w:val="000000" w:themeColor="text1"/>
          <w:szCs w:val="21"/>
          <w:highlight w:val="none"/>
          <w14:textFill>
            <w14:solidFill>
              <w14:schemeClr w14:val="tx1"/>
            </w14:solidFill>
          </w14:textFill>
        </w:rPr>
        <w:t xml:space="preserve">完成本项目，交付买方验收。保证不将项目全部或者部分转包给第三方。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（9）遵守磋商文件中要求的收费项目和标准。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（10）与本次磋商有关的正式通讯地址为：</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单位开户银行及账户：</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ascii="楷体_GB2312"/>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bookmarkStart w:id="121" w:name="_Toc32686"/>
      <w:r/>
      <w:bookmarkEnd w:id="121"/>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附件2：                              </w:t>
      </w:r>
      <w:r>
        <w:rPr>
          <w:rFonts w:hint="eastAsia" w:ascii="宋体" w:hAnsi="宋体"/>
          <w:b/>
          <w:bCs/>
          <w:color w:val="000000" w:themeColor="text1"/>
          <w:sz w:val="28"/>
          <w:szCs w:val="28"/>
          <w:highlight w:val="none"/>
          <w14:textFill>
            <w14:solidFill>
              <w14:schemeClr w14:val="tx1"/>
            </w14:solidFill>
          </w14:textFill>
        </w:rPr>
        <w:t xml:space="preserve">法定代表人资格证明书</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（法定代表人姓名）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担任</w:t>
      </w:r>
      <w:r>
        <w:rPr>
          <w:rFonts w:hint="eastAsia" w:ascii="宋体" w:hAnsi="宋体" w:cs="宋体"/>
          <w:color w:val="000000" w:themeColor="text1"/>
          <w:szCs w:val="21"/>
          <w:highlight w:val="none"/>
          <w:u w:val="single"/>
          <w14:textFill>
            <w14:solidFill>
              <w14:schemeClr w14:val="tx1"/>
            </w14:solidFill>
          </w14:textFill>
        </w:rPr>
        <w:t xml:space="preserve">（职务名称）</w:t>
      </w:r>
      <w:r>
        <w:rPr>
          <w:rFonts w:hint="eastAsia" w:ascii="宋体" w:hAnsi="宋体" w:cs="宋体"/>
          <w:color w:val="000000" w:themeColor="text1"/>
          <w:szCs w:val="21"/>
          <w:highlight w:val="none"/>
          <w14:textFill>
            <w14:solidFill>
              <w14:schemeClr w14:val="tx1"/>
            </w14:solidFill>
          </w14:textFill>
        </w:rPr>
        <w:t xml:space="preserve">职务，是</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的法定代表人。</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特此证明。</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5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122" w:name="_Toc31117"/>
      <w:r/>
      <w:bookmarkEnd w:id="122"/>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附件3：                             </w:t>
      </w:r>
      <w:r>
        <w:rPr>
          <w:rFonts w:hint="eastAsia" w:ascii="宋体" w:hAnsi="宋体" w:cs="宋体"/>
          <w:b/>
          <w:bCs/>
          <w:color w:val="000000" w:themeColor="text1"/>
          <w:sz w:val="28"/>
          <w:szCs w:val="28"/>
          <w:highlight w:val="none"/>
          <w14:textFill>
            <w14:solidFill>
              <w14:schemeClr w14:val="tx1"/>
            </w14:solidFill>
          </w14:textFill>
        </w:rPr>
        <w:t xml:space="preserve"> 法定代表人授权书</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r/>
    </w:p>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__________________（采购人名称）：</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本授权声明：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（供应商单位名称）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（法定代表人姓名、职务）授权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（被委托代理人姓名、职务）为我方 “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特此声明。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olor w:val="000000" w:themeColor="text1"/>
          <w:sz w:val="24"/>
          <w:highlight w:val="none"/>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一、上述证明文件在响应文件中附有代理人身份证扫描件时才能生效；</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授权代表身份证扫描件（正反两面）：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5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right="105" w:firstLine="420"/>
        <w:spacing w:line="6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56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Cs w:val="21"/>
          <w:highlight w:val="none"/>
          <w14:textFill>
            <w14:solidFill>
              <w14:schemeClr w14:val="tx1"/>
            </w14:solidFill>
          </w14:textFill>
        </w:rPr>
        <w:sectPr>
          <w:headerReference w:type="default" r:id="rId11"/>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000000" w:themeColor="text1"/>
          <w:szCs w:val="21"/>
          <w:highlight w:val="none"/>
          <w14:textFill>
            <w14:solidFill>
              <w14:schemeClr w14:val="tx1"/>
            </w14:solidFill>
          </w14:textFill>
        </w:rPr>
        <w:t xml:space="preserve"> </w:t>
      </w:r>
      <w:bookmarkStart w:id="123" w:name="_Toc25362"/>
      <w:r/>
      <w:bookmarkEnd w:id="123"/>
      <w:r/>
      <w:r/>
    </w:p>
    <w:p>
      <w:pPr>
        <w:spacing w:before="100" w:beforeAutospacing="1" w:line="360" w:lineRule="auto"/>
        <w:widowControl/>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附件4：                    </w:t>
      </w:r>
      <w:r>
        <w:rPr>
          <w:rFonts w:hint="eastAsia" w:ascii="宋体" w:hAnsi="宋体"/>
          <w:b/>
          <w:bCs/>
          <w:color w:val="000000" w:themeColor="text1"/>
          <w:sz w:val="28"/>
          <w:szCs w:val="28"/>
          <w:highlight w:val="none"/>
          <w14:textFill>
            <w14:solidFill>
              <w14:schemeClr w14:val="tx1"/>
            </w14:solidFill>
          </w14:textFill>
        </w:rPr>
        <w:t xml:space="preserve">    商务条款响应及偏离表</w:t>
      </w:r>
      <w:r/>
    </w:p>
    <w:p>
      <w:pPr>
        <w:ind w:firstLine="21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14:textFill>
            <w14:solidFill>
              <w14:schemeClr w14:val="tx1"/>
            </w14:solidFill>
          </w14:textFill>
        </w:rPr>
        <w:t xml:space="preserve"> </w:t>
      </w:r>
      <w:r/>
    </w:p>
    <w:tbl>
      <w:tblPr>
        <w:tblStyle w:val="11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319"/>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Borders>
              <w:top w:val="single" w:color="auto" w:sz="4" w:space="0"/>
              <w:left w:val="none" w:color="000000" w:sz="4" w:space="0"/>
              <w:bottom w:val="single" w:color="auto" w:sz="4" w:space="0"/>
              <w:right w:val="single" w:color="auto" w:sz="4" w:space="0"/>
            </w:tcBorders>
            <w:tcW w:w="131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19"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hanging="105"/>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1.按照基本技术要求详细填列；</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pStyle w:val="1150"/>
        <w:spacing w:line="36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附件5：</w:t>
      </w:r>
      <w:r/>
    </w:p>
    <w:p>
      <w:pPr>
        <w:pStyle w:val="1150"/>
        <w:jc w:val="center"/>
        <w:spacing w:line="3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采购需求响应及偏离表</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581"/>
      </w:tblGrid>
      <w:tr>
        <w:trPr>
          <w:cantSplit/>
        </w:trPr>
        <w:tc>
          <w:tcPr>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磋商文件采购需求</w:t>
            </w:r>
            <w:r/>
          </w:p>
        </w:tc>
        <w:tc>
          <w:tcPr>
            <w:tcW w:w="2852" w:type="dxa"/>
            <w:vAlign w:val="center"/>
            <w:textDirection w:val="lrTb"/>
            <w:noWrap w:val="false"/>
          </w:tcPr>
          <w:p>
            <w:pPr>
              <w:ind w:firstLine="1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W w:w="1308"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W w:w="158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581"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Style w:val="11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150"/>
        <w:spacing w:line="360" w:lineRule="exact"/>
        <w:rPr>
          <w:rFonts w:hint="eastAsia" w:ascii="宋体" w:hAnsi="宋体"/>
          <w:b/>
          <w:bCs/>
          <w:color w:val="000000" w:themeColor="text1"/>
          <w:sz w:val="21"/>
          <w:szCs w:val="21"/>
          <w:highlight w:val="none"/>
          <w14:textFill>
            <w14:solidFill>
              <w14:schemeClr w14:val="tx1"/>
            </w14:solidFill>
          </w14:textFill>
        </w:rPr>
      </w:pPr>
      <w:r/>
      <w:bookmarkStart w:id="124" w:name="_Toc7415"/>
      <w:r/>
      <w:bookmarkEnd w:id="124"/>
      <w:r>
        <w:rPr>
          <w:rFonts w:hint="eastAsia" w:ascii="宋体" w:hAnsi="宋体"/>
          <w:b/>
          <w:bCs/>
          <w:color w:val="000000" w:themeColor="text1"/>
          <w:sz w:val="21"/>
          <w:szCs w:val="21"/>
          <w:highlight w:val="none"/>
          <w14:textFill>
            <w14:solidFill>
              <w14:schemeClr w14:val="tx1"/>
            </w14:solidFill>
          </w14:textFill>
        </w:rPr>
        <w:t xml:space="preserve">附件6：</w:t>
      </w:r>
      <w:r/>
    </w:p>
    <w:p>
      <w:pPr>
        <w:pStyle w:val="1163"/>
        <w:ind w:left="0" w:firstLine="0"/>
        <w:jc w:val="cente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t xml:space="preserve">磋商报价表</w:t>
      </w:r>
      <w:r/>
    </w:p>
    <w:p>
      <w:pPr>
        <w:pStyle w:val="1163"/>
        <w:jc w:val="cente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r>
      <w:r/>
    </w:p>
    <w:p>
      <w:pPr>
        <w:pStyle w:val="1163"/>
        <w:ind w:firstLine="0"/>
        <w:jc w:val="lef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本次为首次报价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货币单位：人民币元</w:t>
      </w:r>
      <w:r/>
    </w:p>
    <w:p>
      <w:pPr>
        <w:pStyle w:val="1163"/>
        <w:ind w:firstLine="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项目编号：  </w:t>
      </w:r>
      <w:r/>
    </w:p>
    <w:tbl>
      <w:tblPr>
        <w:tblStyle w:val="1158"/>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金额大写 </w:t>
            </w:r>
            <w:r/>
          </w:p>
        </w:tc>
      </w:tr>
    </w:tbl>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报价说明：</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1、报价包括完成项目的所有费用。采购人不再支付报价以外的任何费用。</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2、报价以总价为准，大小写不一致以大写为准；</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3、偏离说明：详见《偏离表》；</w:t>
      </w:r>
      <w:r/>
    </w:p>
    <w:p>
      <w:pPr>
        <w:pStyle w:val="1163"/>
        <w:ind w:left="0" w:firstLine="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r>
      <w:r/>
    </w:p>
    <w:p>
      <w:pPr>
        <w:pStyle w:val="1163"/>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供应商（电子签章）：</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63"/>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日期：  年  月   日</w:t>
      </w:r>
      <w:r/>
    </w:p>
    <w:p>
      <w:pPr>
        <w:pStyle w:val="11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64"/>
        <w:rPr>
          <w:color w:val="000000" w:themeColor="text1"/>
          <w:highlight w:val="none"/>
          <w14:textFill>
            <w14:solidFill>
              <w14:schemeClr w14:val="tx1"/>
            </w14:solidFill>
          </w14:textFill>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center"/>
        <w:spacing w:line="48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分项报价表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项目名称：                               项目编号：</w:t>
      </w:r>
      <w:r/>
    </w:p>
    <w:tbl>
      <w:tblPr>
        <w:tblStyle w:val="11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796"/>
        <w:gridCol w:w="1217"/>
        <w:gridCol w:w="1100"/>
        <w:gridCol w:w="2012"/>
        <w:gridCol w:w="1313"/>
        <w:gridCol w:w="1365"/>
      </w:tblGrid>
      <w:tr>
        <w:trPr>
          <w:jc w:val="center"/>
        </w:trPr>
        <w:tc>
          <w:tcPr>
            <w:tcW w:w="864"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序号</w:t>
            </w:r>
            <w:r/>
          </w:p>
        </w:tc>
        <w:tc>
          <w:tcPr>
            <w:tcW w:w="1796"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W w:w="1217" w:type="dxa"/>
            <w:vAlign w:val="center"/>
            <w:textDirection w:val="lrTb"/>
            <w:noWrap w:val="false"/>
          </w:tcPr>
          <w:p>
            <w:pPr>
              <w:jc w:val="center"/>
              <w:keepLines w:val="0"/>
              <w:keepNext w:val="0"/>
              <w:pageBreakBefore w:val="0"/>
              <w:spacing w:line="400" w:lineRule="exact"/>
              <w:widowControl/>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暂估</w:t>
            </w:r>
            <w:r>
              <w:rPr>
                <w:rFonts w:hint="eastAsia" w:ascii="宋体" w:hAnsi="宋体"/>
                <w:b/>
                <w:bCs/>
                <w:color w:val="000000" w:themeColor="text1"/>
                <w:sz w:val="24"/>
                <w:highlight w:val="none"/>
                <w14:textFill>
                  <w14:solidFill>
                    <w14:schemeClr w14:val="tx1"/>
                  </w14:solidFill>
                </w14:textFill>
              </w:rPr>
              <w:t xml:space="preserve">数量</w:t>
            </w:r>
            <w:r/>
          </w:p>
        </w:tc>
        <w:tc>
          <w:tcPr>
            <w:tcW w:w="1100"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单位</w:t>
            </w:r>
            <w:r/>
          </w:p>
        </w:tc>
        <w:tc>
          <w:tcPr>
            <w:tcW w:w="2012"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全费用</w:t>
            </w:r>
            <w:r>
              <w:rPr>
                <w:rFonts w:hint="eastAsia" w:ascii="宋体" w:hAnsi="宋体"/>
                <w:b/>
                <w:bCs/>
                <w:color w:val="000000" w:themeColor="text1"/>
                <w:sz w:val="24"/>
                <w:highlight w:val="none"/>
                <w14:textFill>
                  <w14:solidFill>
                    <w14:schemeClr w14:val="tx1"/>
                  </w14:solidFill>
                </w14:textFill>
              </w:rPr>
              <w:t xml:space="preserve">单价</w:t>
            </w:r>
            <w:r/>
          </w:p>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（元</w:t>
            </w:r>
            <w:r>
              <w:rPr>
                <w:rFonts w:hint="eastAsia" w:ascii="宋体" w:hAnsi="宋体"/>
                <w:b/>
                <w:bCs/>
                <w:color w:val="000000" w:themeColor="text1"/>
                <w:sz w:val="24"/>
                <w:highlight w:val="none"/>
                <w:lang w:val="en-US" w:eastAsia="zh-CN"/>
                <w14:textFill>
                  <w14:solidFill>
                    <w14:schemeClr w14:val="tx1"/>
                  </w14:solidFill>
                </w14:textFill>
              </w:rPr>
              <w:t xml:space="preserve">/吨</w:t>
            </w:r>
            <w:r>
              <w:rPr>
                <w:rFonts w:hint="eastAsia" w:ascii="宋体" w:hAnsi="宋体"/>
                <w:b/>
                <w:bCs/>
                <w:color w:val="000000" w:themeColor="text1"/>
                <w:sz w:val="24"/>
                <w:highlight w:val="none"/>
                <w14:textFill>
                  <w14:solidFill>
                    <w14:schemeClr w14:val="tx1"/>
                  </w14:solidFill>
                </w14:textFill>
              </w:rPr>
              <w:t xml:space="preserve">）</w:t>
            </w:r>
            <w:r/>
          </w:p>
        </w:tc>
        <w:tc>
          <w:tcPr>
            <w:tcW w:w="1313"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小计（元）</w:t>
            </w:r>
            <w:r/>
          </w:p>
        </w:tc>
        <w:tc>
          <w:tcPr>
            <w:tcW w:w="1365"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备注</w:t>
            </w:r>
            <w:r/>
          </w:p>
        </w:tc>
      </w:tr>
      <w:tr>
        <w:trPr>
          <w:jc w:val="center"/>
          <w:trHeight w:val="1050"/>
        </w:trPr>
        <w:tc>
          <w:tcPr>
            <w:tcW w:w="864"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796"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keepLines w:val="0"/>
              <w:keepNext w:val="0"/>
              <w:pageBreakBefore w:val="0"/>
              <w:spacing w:line="400" w:lineRule="exact"/>
              <w:widowControl/>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 xml:space="preserve">17000</w:t>
            </w:r>
            <w:r/>
          </w:p>
        </w:tc>
        <w:tc>
          <w:tcPr>
            <w:tcW w:w="1100" w:type="dxa"/>
            <w:vAlign w:val="center"/>
            <w:textDirection w:val="lrTb"/>
            <w:noWrap w:val="false"/>
          </w:tcPr>
          <w:p>
            <w:pPr>
              <w:jc w:val="center"/>
              <w:keepLines w:val="0"/>
              <w:keepNext w:val="0"/>
              <w:pageBreakBefore w:val="0"/>
              <w:spacing w:line="400" w:lineRule="exac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吨</w:t>
            </w:r>
            <w:r/>
          </w:p>
        </w:tc>
        <w:tc>
          <w:tcPr>
            <w:tcW w:w="2012"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13"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65"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207"/>
        </w:trPr>
        <w:tc>
          <w:tcPr>
            <w:gridSpan w:val="2"/>
            <w:tcW w:w="2660" w:type="dxa"/>
            <w:vAlign w:val="center"/>
            <w:textDirection w:val="lrTb"/>
            <w:noWrap w:val="false"/>
          </w:tcPr>
          <w:p>
            <w:pPr>
              <w:jc w:val="center"/>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合计（元）</w:t>
            </w:r>
            <w:r/>
          </w:p>
        </w:tc>
        <w:tc>
          <w:tcPr>
            <w:gridSpan w:val="5"/>
            <w:tcW w:w="7007" w:type="dxa"/>
            <w:vAlign w:val="center"/>
            <w:textDirection w:val="lrTb"/>
            <w:noWrap w:val="false"/>
          </w:tcPr>
          <w:p>
            <w:pPr>
              <w:jc w:val="both"/>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 w:val="24"/>
                <w:highlight w:val="none"/>
                <w14:textFill>
                  <w14:solidFill>
                    <w14:schemeClr w14:val="tx1"/>
                  </w14:solidFill>
                </w14:textFill>
              </w:rPr>
              <w:t xml:space="preserve">大写：        小写：</w:t>
            </w:r>
            <w:r/>
          </w:p>
        </w:tc>
      </w:tr>
    </w:tbl>
    <w:p>
      <w:pPr>
        <w:ind w:firstLine="21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 本次投标报价包含但不限于一般固废处置费、装卸费、运输费、道路清扫费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人工费、机械费、管理费、保险、各项规费、各项税费、利润等合同实施过程中一切不可预见费用，以及完成本</w:t>
      </w:r>
      <w:r>
        <w:rPr>
          <w:rFonts w:hint="eastAsia"/>
          <w:b/>
          <w:bCs/>
          <w:color w:val="000000" w:themeColor="text1"/>
          <w:highlight w:val="none"/>
          <w:lang w:val="en-US" w:eastAsia="zh-CN"/>
          <w14:textFill>
            <w14:solidFill>
              <w14:schemeClr w14:val="tx1"/>
            </w14:solidFill>
          </w14:textFill>
        </w:rPr>
        <w:t xml:space="preserve">项目</w:t>
      </w:r>
      <w:r>
        <w:rPr>
          <w:rFonts w:hint="eastAsia"/>
          <w:b/>
          <w:bCs/>
          <w:color w:val="000000" w:themeColor="text1"/>
          <w:highlight w:val="none"/>
          <w14:textFill>
            <w14:solidFill>
              <w14:schemeClr w14:val="tx1"/>
            </w14:solidFill>
          </w14:textFill>
        </w:rPr>
        <w:t xml:space="preserve">的全部费用。供应商任何漏项、漏报、少报、错报所产生的后果，均由供应商承担责任，采购人不再支付报价以外的任何费用。</w:t>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.本《分项报价表》中的投标报价合计金额应当等于首次《磋商报价表》中总价金额，否则，将直接导致其响应文件有效性的判定或者使其在评审中处于不利地位，由此导致的一切风险由供应商自行承担。</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630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二次响应报价表（参考）</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pStyle w:val="117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                                                         </w:t>
      </w:r>
      <w:r/>
    </w:p>
    <w:tbl>
      <w:tblPr>
        <w:tblStyle w:val="1158"/>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2856"/>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w:t>
            </w:r>
            <w:r>
              <w:rPr>
                <w:color w:val="000000" w:themeColor="text1"/>
                <w:szCs w:val="21"/>
                <w:highlight w:val="none"/>
                <w14:textFill>
                  <w14:solidFill>
                    <w14:schemeClr w14:val="tx1"/>
                  </w14:solidFill>
                </w14:textFill>
              </w:rPr>
              <w:t xml:space="preserve">投标报价</w:t>
            </w:r>
            <w:r/>
          </w:p>
          <w:p>
            <w:pPr>
              <w:jc w:val="center"/>
              <w:spacing w:before="120" w:after="12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大写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（小</w:t>
            </w:r>
            <w:r>
              <w:rPr>
                <w:color w:val="000000" w:themeColor="text1"/>
                <w:szCs w:val="21"/>
                <w:highlight w:val="none"/>
                <w14:textFill>
                  <w14:solidFill>
                    <w14:schemeClr w14:val="tx1"/>
                  </w14:solidFill>
                </w14:textFill>
              </w:rPr>
              <w:t xml:space="preserve">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tc>
      </w:tr>
    </w:tbl>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center"/>
        <w:spacing w:line="48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二次</w:t>
      </w:r>
      <w:r>
        <w:rPr>
          <w:rFonts w:hint="eastAsia" w:ascii="宋体" w:hAnsi="宋体" w:cs="宋体"/>
          <w:b/>
          <w:color w:val="000000" w:themeColor="text1"/>
          <w:sz w:val="28"/>
          <w:szCs w:val="28"/>
          <w:highlight w:val="none"/>
          <w14:textFill>
            <w14:solidFill>
              <w14:schemeClr w14:val="tx1"/>
            </w14:solidFill>
          </w14:textFill>
        </w:rPr>
        <w:t xml:space="preserve">分项报价表（参考）</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项目名称：                               项目编号：</w:t>
      </w:r>
      <w:r/>
    </w:p>
    <w:tbl>
      <w:tblPr>
        <w:tblStyle w:val="11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796"/>
        <w:gridCol w:w="1217"/>
        <w:gridCol w:w="1100"/>
        <w:gridCol w:w="2012"/>
        <w:gridCol w:w="1313"/>
        <w:gridCol w:w="1365"/>
      </w:tblGrid>
      <w:tr>
        <w:trPr>
          <w:jc w:val="center"/>
        </w:trPr>
        <w:tc>
          <w:tcPr>
            <w:tcW w:w="864"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序号</w:t>
            </w:r>
            <w:r/>
          </w:p>
        </w:tc>
        <w:tc>
          <w:tcPr>
            <w:tcW w:w="1796"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W w:w="1217" w:type="dxa"/>
            <w:vAlign w:val="center"/>
            <w:textDirection w:val="lrTb"/>
            <w:noWrap w:val="false"/>
          </w:tcPr>
          <w:p>
            <w:pPr>
              <w:jc w:val="center"/>
              <w:keepLines w:val="0"/>
              <w:keepNext w:val="0"/>
              <w:pageBreakBefore w:val="0"/>
              <w:spacing w:line="400" w:lineRule="exact"/>
              <w:widowControl/>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暂估</w:t>
            </w:r>
            <w:r>
              <w:rPr>
                <w:rFonts w:hint="eastAsia" w:ascii="宋体" w:hAnsi="宋体"/>
                <w:b/>
                <w:bCs/>
                <w:color w:val="000000" w:themeColor="text1"/>
                <w:sz w:val="24"/>
                <w:highlight w:val="none"/>
                <w14:textFill>
                  <w14:solidFill>
                    <w14:schemeClr w14:val="tx1"/>
                  </w14:solidFill>
                </w14:textFill>
              </w:rPr>
              <w:t xml:space="preserve">数量</w:t>
            </w:r>
            <w:r/>
          </w:p>
        </w:tc>
        <w:tc>
          <w:tcPr>
            <w:tcW w:w="1100"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单位</w:t>
            </w:r>
            <w:r/>
          </w:p>
        </w:tc>
        <w:tc>
          <w:tcPr>
            <w:tcW w:w="2012"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全费用</w:t>
            </w:r>
            <w:r>
              <w:rPr>
                <w:rFonts w:hint="eastAsia" w:ascii="宋体" w:hAnsi="宋体"/>
                <w:b/>
                <w:bCs/>
                <w:color w:val="000000" w:themeColor="text1"/>
                <w:sz w:val="24"/>
                <w:highlight w:val="none"/>
                <w14:textFill>
                  <w14:solidFill>
                    <w14:schemeClr w14:val="tx1"/>
                  </w14:solidFill>
                </w14:textFill>
              </w:rPr>
              <w:t xml:space="preserve">单价</w:t>
            </w:r>
            <w:r/>
          </w:p>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（元</w:t>
            </w:r>
            <w:r>
              <w:rPr>
                <w:rFonts w:hint="eastAsia" w:ascii="宋体" w:hAnsi="宋体"/>
                <w:b/>
                <w:bCs/>
                <w:color w:val="000000" w:themeColor="text1"/>
                <w:sz w:val="24"/>
                <w:highlight w:val="none"/>
                <w:lang w:val="en-US" w:eastAsia="zh-CN"/>
                <w14:textFill>
                  <w14:solidFill>
                    <w14:schemeClr w14:val="tx1"/>
                  </w14:solidFill>
                </w14:textFill>
              </w:rPr>
              <w:t xml:space="preserve">/吨</w:t>
            </w:r>
            <w:r>
              <w:rPr>
                <w:rFonts w:hint="eastAsia" w:ascii="宋体" w:hAnsi="宋体"/>
                <w:b/>
                <w:bCs/>
                <w:color w:val="000000" w:themeColor="text1"/>
                <w:sz w:val="24"/>
                <w:highlight w:val="none"/>
                <w14:textFill>
                  <w14:solidFill>
                    <w14:schemeClr w14:val="tx1"/>
                  </w14:solidFill>
                </w14:textFill>
              </w:rPr>
              <w:t xml:space="preserve">）</w:t>
            </w:r>
            <w:r/>
          </w:p>
        </w:tc>
        <w:tc>
          <w:tcPr>
            <w:tcW w:w="1313"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小计（元）</w:t>
            </w:r>
            <w:r/>
          </w:p>
        </w:tc>
        <w:tc>
          <w:tcPr>
            <w:tcW w:w="1365" w:type="dxa"/>
            <w:vAlign w:val="center"/>
            <w:textDirection w:val="lrTb"/>
            <w:noWrap w:val="false"/>
          </w:tcPr>
          <w:p>
            <w:pPr>
              <w:jc w:val="center"/>
              <w:keepLines w:val="0"/>
              <w:keepNext w:val="0"/>
              <w:pageBreakBefore w:val="0"/>
              <w:spacing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备注</w:t>
            </w:r>
            <w:r/>
          </w:p>
        </w:tc>
      </w:tr>
      <w:tr>
        <w:trPr>
          <w:jc w:val="center"/>
          <w:trHeight w:val="1050"/>
        </w:trPr>
        <w:tc>
          <w:tcPr>
            <w:tcW w:w="864"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1796"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7" w:type="dxa"/>
            <w:vAlign w:val="center"/>
            <w:textDirection w:val="lrTb"/>
            <w:noWrap w:val="false"/>
          </w:tcPr>
          <w:p>
            <w:pPr>
              <w:jc w:val="center"/>
              <w:keepLines w:val="0"/>
              <w:keepNext w:val="0"/>
              <w:pageBreakBefore w:val="0"/>
              <w:spacing w:line="400" w:lineRule="exact"/>
              <w:widowControl/>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 xml:space="preserve">17000</w:t>
            </w:r>
            <w:r/>
          </w:p>
        </w:tc>
        <w:tc>
          <w:tcPr>
            <w:tcW w:w="1100" w:type="dxa"/>
            <w:vAlign w:val="center"/>
            <w:textDirection w:val="lrTb"/>
            <w:noWrap w:val="false"/>
          </w:tcPr>
          <w:p>
            <w:pPr>
              <w:jc w:val="center"/>
              <w:keepLines w:val="0"/>
              <w:keepNext w:val="0"/>
              <w:pageBreakBefore w:val="0"/>
              <w:spacing w:line="400" w:lineRule="exact"/>
              <w:widowControl/>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吨</w:t>
            </w:r>
            <w:r/>
          </w:p>
        </w:tc>
        <w:tc>
          <w:tcPr>
            <w:tcW w:w="2012"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13"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65" w:type="dxa"/>
            <w:vAlign w:val="center"/>
            <w:textDirection w:val="lrTb"/>
            <w:noWrap w:val="false"/>
          </w:tcPr>
          <w:p>
            <w:pPr>
              <w:jc w:val="center"/>
              <w:keepLines w:val="0"/>
              <w:keepNext w:val="0"/>
              <w:pageBreakBefore w:val="0"/>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207"/>
        </w:trPr>
        <w:tc>
          <w:tcPr>
            <w:gridSpan w:val="2"/>
            <w:tcW w:w="2660" w:type="dxa"/>
            <w:vAlign w:val="center"/>
            <w:textDirection w:val="lrTb"/>
            <w:noWrap w:val="false"/>
          </w:tcPr>
          <w:p>
            <w:pPr>
              <w:jc w:val="center"/>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合计（元）</w:t>
            </w:r>
            <w:r/>
          </w:p>
        </w:tc>
        <w:tc>
          <w:tcPr>
            <w:gridSpan w:val="5"/>
            <w:tcW w:w="7007" w:type="dxa"/>
            <w:vAlign w:val="center"/>
            <w:textDirection w:val="lrTb"/>
            <w:noWrap w:val="false"/>
          </w:tcPr>
          <w:p>
            <w:pPr>
              <w:jc w:val="both"/>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 w:val="24"/>
                <w:highlight w:val="none"/>
                <w14:textFill>
                  <w14:solidFill>
                    <w14:schemeClr w14:val="tx1"/>
                  </w14:solidFill>
                </w14:textFill>
              </w:rPr>
              <w:t xml:space="preserve">大写：        小写：</w:t>
            </w:r>
            <w:r/>
          </w:p>
        </w:tc>
      </w:tr>
    </w:tbl>
    <w:p>
      <w:pPr>
        <w:ind w:firstLine="21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numPr>
          <w:ilvl w:val="0"/>
          <w:numId w:val="5"/>
        </w:numPr>
        <w:ind w:firstLine="422"/>
        <w:jc w:val="left"/>
        <w:widowControl/>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本次投标报价包含但不限于一般固废处置费、装卸费、运输费、道路清扫费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人工费、机械费、管理费、保险、各项规费、各项税费、利润等合同实施过程中一切不可预见费用，以及完成本</w:t>
      </w:r>
      <w:r>
        <w:rPr>
          <w:rFonts w:hint="eastAsia"/>
          <w:b/>
          <w:bCs/>
          <w:color w:val="000000" w:themeColor="text1"/>
          <w:highlight w:val="none"/>
          <w:lang w:val="en-US" w:eastAsia="zh-CN"/>
          <w14:textFill>
            <w14:solidFill>
              <w14:schemeClr w14:val="tx1"/>
            </w14:solidFill>
          </w14:textFill>
        </w:rPr>
        <w:t xml:space="preserve">项目</w:t>
      </w:r>
      <w:r>
        <w:rPr>
          <w:rFonts w:hint="eastAsia"/>
          <w:b/>
          <w:bCs/>
          <w:color w:val="000000" w:themeColor="text1"/>
          <w:highlight w:val="none"/>
          <w14:textFill>
            <w14:solidFill>
              <w14:schemeClr w14:val="tx1"/>
            </w14:solidFill>
          </w14:textFill>
        </w:rPr>
        <w:t xml:space="preserve">的全部费用。供应商任何漏项、漏报、少报、错报所产生的后果，均由供应商承担责任，采购人不再支付报价以外的任何费用。</w:t>
      </w:r>
      <w:r/>
    </w:p>
    <w:p>
      <w:pPr>
        <w:numPr>
          <w:ilvl w:val="0"/>
          <w:numId w:val="0"/>
        </w:numPr>
        <w:ind w:firstLine="422"/>
        <w:jc w:val="left"/>
        <w:widowControl/>
        <w:rPr>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.本《</w:t>
      </w:r>
      <w:r>
        <w:rPr>
          <w:rFonts w:hint="eastAsia"/>
          <w:b/>
          <w:bCs/>
          <w:color w:val="000000" w:themeColor="text1"/>
          <w:highlight w:val="none"/>
          <w:lang w:val="en-US" w:eastAsia="zh-CN"/>
          <w14:textFill>
            <w14:solidFill>
              <w14:schemeClr w14:val="tx1"/>
            </w14:solidFill>
          </w14:textFill>
        </w:rPr>
        <w:t xml:space="preserve">二次</w:t>
      </w:r>
      <w:r>
        <w:rPr>
          <w:rFonts w:hint="eastAsia"/>
          <w:b/>
          <w:bCs/>
          <w:color w:val="000000" w:themeColor="text1"/>
          <w:highlight w:val="none"/>
          <w14:textFill>
            <w14:solidFill>
              <w14:schemeClr w14:val="tx1"/>
            </w14:solidFill>
          </w14:textFill>
        </w:rPr>
        <w:t xml:space="preserve">分项报价表》中的投标报价合计金额应当等于《</w:t>
      </w:r>
      <w:r>
        <w:rPr>
          <w:rFonts w:hint="eastAsia"/>
          <w:b/>
          <w:bCs/>
          <w:color w:val="000000" w:themeColor="text1"/>
          <w:highlight w:val="none"/>
          <w:lang w:val="en-US" w:eastAsia="zh-CN"/>
          <w14:textFill>
            <w14:solidFill>
              <w14:schemeClr w14:val="tx1"/>
            </w14:solidFill>
          </w14:textFill>
        </w:rPr>
        <w:t xml:space="preserve">最终</w:t>
      </w:r>
      <w:r>
        <w:rPr>
          <w:rFonts w:hint="eastAsia"/>
          <w:b/>
          <w:bCs/>
          <w:color w:val="000000" w:themeColor="text1"/>
          <w:highlight w:val="none"/>
          <w14:textFill>
            <w14:solidFill>
              <w14:schemeClr w14:val="tx1"/>
            </w14:solidFill>
          </w14:textFill>
        </w:rPr>
        <w:t xml:space="preserve">报价表》中总价金额，否则，将直接导致其响应文件有效性的判定或者使其在评审中处于不利地位，由此导致的一切风险由供应商自行承担。</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630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附件7：</w:t>
      </w:r>
      <w:r>
        <w:rPr>
          <w:rFonts w:hint="eastAsia" w:ascii="宋体" w:hAnsi="宋体"/>
          <w:color w:val="000000" w:themeColor="text1"/>
          <w:szCs w:val="21"/>
          <w:highlight w:val="none"/>
          <w14:textFill>
            <w14:solidFill>
              <w14:schemeClr w14:val="tx1"/>
            </w14:solidFill>
          </w14:textFill>
        </w:rPr>
        <w:t xml:space="preserve">        </w:t>
      </w:r>
      <w:r/>
    </w:p>
    <w:p>
      <w:pPr>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具备履行合同所必需的设备和专业技术能力的证明材料</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93"/>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ind w:firstLine="493"/>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主要专业技术能力有：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供应商名称（加盖CA电子公章）：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right="600" w:firstLine="3675"/>
        <w:jc w:val="lef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法定代表人（授权代表）签字或盖章：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right"/>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rPr>
          <w:rFonts w:hint="eastAsia" w:ascii="宋体" w:hAnsi="宋体"/>
          <w:color w:val="000000" w:themeColor="text1"/>
          <w:szCs w:val="21"/>
          <w:highlight w:val="none"/>
          <w14:textFill>
            <w14:solidFill>
              <w14:schemeClr w14:val="tx1"/>
            </w14:solidFill>
          </w14:textFill>
        </w:rPr>
        <w:t xml:space="preserve"> </w:t>
      </w:r>
      <w:r/>
    </w:p>
    <w:p>
      <w:pPr>
        <w:jc w:val="right"/>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bookmarkStart w:id="125" w:name="_Toc12582"/>
      <w:r/>
      <w:bookmarkEnd w:id="125"/>
      <w:r>
        <w:rPr>
          <w:rFonts w:hint="eastAsia" w:ascii="宋体" w:hAnsi="宋体"/>
          <w:b/>
          <w:bCs/>
          <w:color w:val="000000" w:themeColor="text1"/>
          <w:szCs w:val="21"/>
          <w:highlight w:val="none"/>
          <w14:textFill>
            <w14:solidFill>
              <w14:schemeClr w14:val="tx1"/>
            </w14:solidFill>
          </w14:textFill>
        </w:rPr>
        <w:t xml:space="preserve">附件8：</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参加政府采购活动前3年内在经营活动中没有重大违法记录的书面声明</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参考格式</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p>
    <w:p>
      <w:pPr>
        <w:jc w:val="lef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8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声 明</w:t>
      </w:r>
      <w:r/>
    </w:p>
    <w:p>
      <w:pPr>
        <w:ind w:firstLine="415"/>
        <w:jc w:val="left"/>
        <w:spacing w:line="48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jc w:val="center"/>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供应商名称（加盖CA电子公章）：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right="600" w:firstLine="3675"/>
        <w:jc w:val="lef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法定代表人（授权代表）签字或盖章： </w:t>
      </w:r>
      <w:r/>
    </w:p>
    <w:p>
      <w:pPr>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20"/>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    期：    年  月   日</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w:t>
      </w:r>
      <w:bookmarkStart w:id="126" w:name="_Toc528398513"/>
      <w:r/>
      <w:bookmarkEnd w:id="126"/>
      <w:r>
        <w:rPr>
          <w:rFonts w:hint="eastAsia" w:ascii="宋体" w:hAnsi="宋体"/>
          <w:b/>
          <w:bCs/>
          <w:color w:val="000000" w:themeColor="text1"/>
          <w:szCs w:val="21"/>
          <w:highlight w:val="none"/>
          <w14:textFill>
            <w14:solidFill>
              <w14:schemeClr w14:val="tx1"/>
            </w14:solidFill>
          </w14:textFill>
        </w:rPr>
        <w:t xml:space="preserve">9：</w:t>
      </w:r>
      <w:r/>
    </w:p>
    <w:p>
      <w:pPr>
        <w:jc w:val="center"/>
        <w:spacing w:line="44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72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郑重声明，根据《政府采购促进中小企业发展管理办法》（财库﹝</w:t>
      </w:r>
      <w:r>
        <w:rPr>
          <w:rFonts w:eastAsia="仿宋"/>
          <w:color w:val="000000" w:themeColor="text1"/>
          <w:sz w:val="24"/>
          <w:highlight w:val="none"/>
          <w14:textFill>
            <w14:solidFill>
              <w14:schemeClr w14:val="tx1"/>
            </w14:solidFill>
          </w14:textFill>
        </w:rPr>
        <w:t xml:space="preserve">2020</w:t>
      </w:r>
      <w:r>
        <w:rPr>
          <w:rFonts w:hAnsi="仿宋"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46 </w:t>
      </w:r>
      <w:r>
        <w:rPr>
          <w:rFonts w:hAnsi="仿宋" w:eastAsia="仿宋"/>
          <w:color w:val="000000" w:themeColor="text1"/>
          <w:sz w:val="24"/>
          <w:highlight w:val="none"/>
          <w14:textFill>
            <w14:solidFill>
              <w14:schemeClr w14:val="tx1"/>
            </w14:solidFill>
          </w14:textFill>
        </w:rPr>
        <w:t xml:space="preserve">号）的规定，本公司</w:t>
      </w:r>
      <w:r>
        <w:rPr>
          <w:rFonts w:hint="eastAsia" w:hAnsi="仿宋" w:eastAsia="仿宋"/>
          <w:color w:val="000000" w:themeColor="text1"/>
          <w:sz w:val="24"/>
          <w:highlight w:val="none"/>
          <w:lang w:eastAsia="zh-CN"/>
          <w14:textFill>
            <w14:solidFill>
              <w14:schemeClr w14:val="tx1"/>
            </w14:solidFill>
          </w14:textFill>
        </w:rPr>
        <w:t xml:space="preserve">（</w:t>
      </w:r>
      <w:r>
        <w:rPr>
          <w:rFonts w:hint="eastAsia" w:hAnsi="仿宋" w:eastAsia="仿宋"/>
          <w:color w:val="000000" w:themeColor="text1"/>
          <w:sz w:val="24"/>
          <w:highlight w:val="none"/>
          <w14:textFill>
            <w14:solidFill>
              <w14:schemeClr w14:val="tx1"/>
            </w14:solidFill>
          </w14:textFill>
        </w:rPr>
        <w:t xml:space="preserve">联合体</w:t>
      </w:r>
      <w:r>
        <w:rPr>
          <w:rFonts w:hint="eastAsia" w:hAnsi="仿宋" w:eastAsia="仿宋"/>
          <w:color w:val="000000" w:themeColor="text1"/>
          <w:sz w:val="24"/>
          <w:highlight w:val="none"/>
          <w:lang w:eastAsia="zh-CN"/>
          <w14:textFill>
            <w14:solidFill>
              <w14:schemeClr w14:val="tx1"/>
            </w14:solidFill>
          </w14:textFill>
        </w:rPr>
        <w:t xml:space="preserve">）</w:t>
      </w:r>
      <w:r>
        <w:rPr>
          <w:rFonts w:hAnsi="仿宋" w:eastAsia="仿宋"/>
          <w:color w:val="000000" w:themeColor="text1"/>
          <w:sz w:val="24"/>
          <w:highlight w:val="none"/>
          <w14:textFill>
            <w14:solidFill>
              <w14:schemeClr w14:val="tx1"/>
            </w14:solidFill>
          </w14:textFill>
        </w:rPr>
        <w:t xml:space="preserve">参加</w:t>
      </w:r>
      <w:r>
        <w:rPr>
          <w:rFonts w:hAnsi="仿宋" w:eastAsia="仿宋"/>
          <w:color w:val="000000" w:themeColor="text1"/>
          <w:sz w:val="24"/>
          <w:highlight w:val="none"/>
          <w:u w:val="single"/>
          <w14:textFill>
            <w14:solidFill>
              <w14:schemeClr w14:val="tx1"/>
            </w14:solidFill>
          </w14:textFill>
        </w:rPr>
        <w:t xml:space="preserve">（单位名称）</w:t>
      </w:r>
      <w:r>
        <w:rPr>
          <w:rFonts w:hAnsi="仿宋" w:eastAsia="仿宋"/>
          <w:color w:val="000000" w:themeColor="text1"/>
          <w:sz w:val="24"/>
          <w:highlight w:val="none"/>
          <w14:textFill>
            <w14:solidFill>
              <w14:schemeClr w14:val="tx1"/>
            </w14:solidFill>
          </w14:textFill>
        </w:rPr>
        <w:t xml:space="preserve">的</w:t>
      </w:r>
      <w:r>
        <w:rPr>
          <w:rFonts w:hAnsi="仿宋" w:eastAsia="仿宋"/>
          <w:color w:val="000000" w:themeColor="text1"/>
          <w:sz w:val="24"/>
          <w:highlight w:val="none"/>
          <w:u w:val="single"/>
          <w14:textFill>
            <w14:solidFill>
              <w14:schemeClr w14:val="tx1"/>
            </w14:solidFill>
          </w14:textFill>
        </w:rPr>
        <w:t xml:space="preserve">（项目名称）</w:t>
      </w:r>
      <w:r>
        <w:rPr>
          <w:rFonts w:hAnsi="仿宋" w:eastAsia="仿宋"/>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highlight w:val="none"/>
          <w:u w:val="singl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 </w:t>
      </w:r>
      <w:r>
        <w:rPr>
          <w:rFonts w:hAnsi="仿宋" w:eastAsia="仿宋"/>
          <w:color w:val="000000" w:themeColor="text1"/>
          <w:sz w:val="24"/>
          <w:highlight w:val="none"/>
          <w:u w:val="single"/>
          <w14:textFill>
            <w14:solidFill>
              <w14:schemeClr w14:val="tx1"/>
            </w14:solidFill>
          </w14:textFill>
        </w:rPr>
        <w:t xml:space="preserve">（标的名称）</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（采购文件中明确的所属行业）</w:t>
      </w:r>
      <w:r>
        <w:rPr>
          <w:rFonts w:hAnsi="仿宋" w:eastAsia="仿宋"/>
          <w:color w:val="000000" w:themeColor="text1"/>
          <w:sz w:val="24"/>
          <w:highlight w:val="none"/>
          <w14:textFill>
            <w14:solidFill>
              <w14:schemeClr w14:val="tx1"/>
            </w14:solidFill>
          </w14:textFill>
        </w:rPr>
        <w:t xml:space="preserve">；承建（承接）企业为</w:t>
      </w:r>
      <w:r>
        <w:rPr>
          <w:rFonts w:hAnsi="仿宋" w:eastAsia="仿宋"/>
          <w:color w:val="000000" w:themeColor="text1"/>
          <w:sz w:val="24"/>
          <w:highlight w:val="none"/>
          <w:u w:val="single"/>
          <w14:textFill>
            <w14:solidFill>
              <w14:schemeClr w14:val="tx1"/>
            </w14:solidFill>
          </w14:textFill>
        </w:rPr>
        <w:t xml:space="preserve">（企业名称）</w:t>
      </w:r>
      <w:r>
        <w:rPr>
          <w:rFonts w:hAnsi="仿宋" w:eastAsia="仿宋"/>
          <w:color w:val="000000" w:themeColor="text1"/>
          <w:sz w:val="24"/>
          <w:highlight w:val="none"/>
          <w14:textFill>
            <w14:solidFill>
              <w14:schemeClr w14:val="tx1"/>
            </w14:solidFill>
          </w14:textFill>
        </w:rPr>
        <w:t xml:space="preserve">，从业人员</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人，营业收入为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万元，资产总额为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（中型企业、小型企业、微型企业）</w:t>
      </w:r>
      <w:r>
        <w:rPr>
          <w:rFonts w:hAnsi="仿宋" w:eastAsia="仿宋"/>
          <w:color w:val="000000" w:themeColor="text1"/>
          <w:sz w:val="24"/>
          <w:highlight w:val="none"/>
          <w14:textFill>
            <w14:solidFill>
              <w14:schemeClr w14:val="tx1"/>
            </w14:solidFill>
          </w14:textFill>
        </w:rPr>
        <w:t xml:space="preserve">；</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84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加盖CA电子公章</w:t>
      </w:r>
      <w:r>
        <w:rPr>
          <w:rFonts w:hAnsi="仿宋" w:eastAsia="仿宋"/>
          <w:color w:val="000000" w:themeColor="text1"/>
          <w:sz w:val="24"/>
          <w:highlight w:val="none"/>
          <w14:textFill>
            <w14:solidFill>
              <w14:schemeClr w14:val="tx1"/>
            </w14:solidFill>
          </w14:textFill>
        </w:rPr>
        <w:t xml:space="preserve">）：</w:t>
      </w:r>
      <w:r/>
    </w:p>
    <w:p>
      <w:pPr>
        <w:jc w:val="center"/>
        <w:spacing w:line="480" w:lineRule="auto"/>
        <w:rPr>
          <w:rFonts w:hint="eastAsia" w:hAnsi="仿宋"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日期：</w:t>
      </w:r>
      <w:r/>
    </w:p>
    <w:p>
      <w:pPr>
        <w:ind w:firstLine="480"/>
        <w:spacing w:line="32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（备注：</w:t>
      </w:r>
      <w:r>
        <w:rPr>
          <w:rFonts w:hAnsi="仿宋" w:eastAsia="仿宋"/>
          <w:color w:val="000000" w:themeColor="text1"/>
          <w:sz w:val="24"/>
          <w:highlight w:val="none"/>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、参照《关于印发中小企业划型标准规定的通知》（工信部联企业〔2011〕300号）文件，</w:t>
      </w:r>
      <w:r>
        <w:rPr>
          <w:rFonts w:hAnsi="仿宋" w:eastAsia="仿宋"/>
          <w:color w:val="000000" w:themeColor="text1"/>
          <w:sz w:val="24"/>
          <w:highlight w:val="none"/>
          <w14:textFill>
            <w14:solidFill>
              <w14:schemeClr w14:val="tx1"/>
            </w14:solidFill>
          </w14:textFill>
        </w:rPr>
        <w:t xml:space="preserve">本项目所属行业为</w:t>
      </w:r>
      <w:r>
        <w:rPr>
          <w:rFonts w:hint="eastAsia" w:ascii="宋体" w:hAnsi="宋体" w:cs="宋体"/>
          <w:color w:val="000000" w:themeColor="text1"/>
          <w:sz w:val="24"/>
          <w:highlight w:val="none"/>
          <w:u w:val="single"/>
          <w14:textFill>
            <w14:solidFill>
              <w14:schemeClr w14:val="tx1"/>
            </w14:solidFill>
          </w14:textFill>
        </w:rPr>
        <w:t xml:space="preserve">其他未列明行业</w:t>
      </w:r>
      <w:r>
        <w:rPr>
          <w:rFonts w:hint="eastAsia" w:hAnsi="仿宋" w:eastAsia="仿宋"/>
          <w:color w:val="000000" w:themeColor="text1"/>
          <w:sz w:val="24"/>
          <w:highlight w:val="none"/>
          <w14:textFill>
            <w14:solidFill>
              <w14:schemeClr w14:val="tx1"/>
            </w14:solidFill>
          </w14:textFill>
        </w:rPr>
        <w:t xml:space="preserve">。2、请如实填写属于</w:t>
      </w:r>
      <w:r>
        <w:rPr>
          <w:rFonts w:hAnsi="仿宋" w:eastAsia="仿宋"/>
          <w:color w:val="000000" w:themeColor="text1"/>
          <w:sz w:val="24"/>
          <w:highlight w:val="none"/>
          <w14:textFill>
            <w14:solidFill>
              <w14:schemeClr w14:val="tx1"/>
            </w14:solidFill>
          </w14:textFill>
        </w:rPr>
        <w:t xml:space="preserve">中型企业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小型企业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微型企业</w:t>
      </w:r>
      <w:r>
        <w:rPr>
          <w:rFonts w:hint="eastAsia" w:hAnsi="仿宋" w:eastAsia="仿宋"/>
          <w:color w:val="000000" w:themeColor="text1"/>
          <w:sz w:val="24"/>
          <w:highlight w:val="none"/>
          <w14:textFill>
            <w14:solidFill>
              <w14:schemeClr w14:val="tx1"/>
            </w14:solidFill>
          </w14:textFill>
        </w:rPr>
        <w:t xml:space="preserve">。3、</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1163"/>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pStyle w:val="1163"/>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spacing w:line="440" w:lineRule="exact"/>
        <w:rPr>
          <w:rFonts w:hint="eastAsia" w:ascii="宋体" w:hAnsi="宋体" w:cs="宋体"/>
          <w:b/>
          <w:bCs/>
          <w:color w:val="000000" w:themeColor="text1"/>
          <w:szCs w:val="21"/>
          <w:highlight w:val="none"/>
          <w14:textFill>
            <w14:solidFill>
              <w14:schemeClr w14:val="tx1"/>
            </w14:solidFill>
          </w14:textFill>
        </w:rPr>
        <w:sectPr>
          <w:footerReference w:type="default" r:id="rId21"/>
          <w:footerReference w:type="first" r:id="rId22"/>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hint="eastAsia"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供应商全称（加盖CA电子公章）：</w:t>
      </w:r>
      <w:r/>
    </w:p>
    <w:p>
      <w:pPr>
        <w:spacing w:line="44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                                              日  期</w:t>
      </w:r>
      <w:r/>
    </w:p>
    <w:p>
      <w:pPr>
        <w:pStyle w:val="1186"/>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属于监狱企业的证明文件</w:t>
      </w:r>
      <w:r/>
    </w:p>
    <w:p>
      <w:pPr>
        <w:pStyle w:val="11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62"/>
        <w:rPr>
          <w:rFonts w:ascii="Times New Roman" w:hAnsi="Times New Roman" w:eastAsia="宋体"/>
          <w:color w:val="000000" w:themeColor="text1"/>
          <w:sz w:val="24"/>
          <w:szCs w:val="21"/>
          <w:highlight w:val="none"/>
          <w14:textFill>
            <w14:solidFill>
              <w14:schemeClr w14:val="tx1"/>
            </w14:solidFill>
          </w14:textFill>
        </w:rPr>
      </w:pPr>
      <w:r>
        <w:rPr>
          <w:rFonts w:hint="eastAsia" w:ascii="Times New Roman" w:hAnsi="Times New Roman" w:eastAsia="宋体"/>
          <w:color w:val="000000" w:themeColor="text1"/>
          <w:sz w:val="24"/>
          <w:szCs w:val="21"/>
          <w:highlight w:val="none"/>
          <w14:textFill>
            <w14:solidFill>
              <w14:schemeClr w14:val="tx1"/>
            </w14:solidFill>
          </w14:textFill>
        </w:rPr>
        <w:t xml:space="preserve">提供由省级以上监狱管理局、戒毒管理局(含新疆生产建设兵团)出具的属于监狱企业的证明文件）</w:t>
      </w:r>
      <w:r/>
    </w:p>
    <w:p>
      <w:pPr>
        <w:pStyle w:val="1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节能产品认证证书</w:t>
      </w:r>
      <w:r/>
    </w:p>
    <w:p>
      <w:pPr>
        <w:pStyle w:val="116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116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环境标志产品认证证书</w:t>
      </w:r>
      <w:r/>
    </w:p>
    <w:p>
      <w:pPr>
        <w:ind w:firstLine="720"/>
        <w:spacing w:line="56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pStyle w:val="1186"/>
        <w:rPr>
          <w:color w:val="000000" w:themeColor="text1"/>
          <w:highlight w:val="none"/>
          <w14:textFill>
            <w14:solidFill>
              <w14:schemeClr w14:val="tx1"/>
            </w14:solidFill>
          </w14:textFill>
        </w:rPr>
        <w:sectPr>
          <w:footerReference w:type="first" r:id="rId23"/>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附件10：</w:t>
      </w:r>
      <w:r/>
    </w:p>
    <w:p>
      <w:pPr>
        <w:ind w:firstLine="3092"/>
        <w:spacing w:line="500" w:lineRule="exact"/>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拟派本项目人员一览表</w:t>
      </w:r>
      <w:r/>
    </w:p>
    <w:p>
      <w:pPr>
        <w:pStyle w:val="115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1158"/>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77"/>
        <w:gridCol w:w="1557"/>
        <w:gridCol w:w="1418"/>
        <w:gridCol w:w="1133"/>
        <w:gridCol w:w="1215"/>
        <w:gridCol w:w="1533"/>
      </w:tblGrid>
      <w:tr>
        <w:trPr>
          <w:jc w:val="center"/>
          <w:trHeight w:val="682"/>
        </w:trPr>
        <w:tc>
          <w:tcPr>
            <w:tcW w:w="431"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17"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874" w:type="pct"/>
            <w:vAlign w:val="center"/>
            <w:textDirection w:val="lrTb"/>
            <w:noWrap w:val="false"/>
          </w:tcPr>
          <w:p>
            <w:pPr>
              <w:ind w:firstLine="211"/>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身份证号码</w:t>
            </w:r>
            <w:r/>
          </w:p>
        </w:tc>
        <w:tc>
          <w:tcPr>
            <w:tcW w:w="796"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证书名称</w:t>
            </w:r>
            <w:r/>
          </w:p>
        </w:tc>
        <w:tc>
          <w:tcPr>
            <w:tcW w:w="636" w:type="pct"/>
            <w:vAlign w:val="center"/>
            <w:textDirection w:val="lrTb"/>
            <w:noWrap w:val="false"/>
          </w:tcPr>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职称</w:t>
            </w:r>
            <w:r/>
          </w:p>
        </w:tc>
        <w:tc>
          <w:tcPr>
            <w:tcW w:w="682"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860"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是否缴纳社保</w:t>
            </w:r>
            <w:r/>
          </w:p>
        </w:tc>
      </w:tr>
      <w:tr>
        <w:trPr>
          <w:jc w:val="center"/>
          <w:trHeight w:val="567"/>
        </w:trPr>
        <w:tc>
          <w:tcPr>
            <w:tcW w:w="431"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17"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874"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96"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636"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682"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860"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431" w:type="pct"/>
            <w:vAlign w:val="center"/>
            <w:textDirection w:val="lrTb"/>
            <w:noWrap w:val="false"/>
          </w:tcPr>
          <w:p>
            <w:pPr>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1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74"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9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36"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682"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86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1.按照采购需求详细填列；</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3.相关证明材料附后。</w:t>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rPr>
          <w:rFonts w:hint="eastAsia" w:ascii="宋体" w:hAnsi="宋体"/>
          <w:bCs/>
          <w:color w:val="000000" w:themeColor="text1"/>
          <w:sz w:val="24"/>
          <w:highlight w:val="none"/>
          <w14:textFill>
            <w14:solidFill>
              <w14:schemeClr w14:val="tx1"/>
            </w14:solidFill>
          </w14:textFill>
        </w:rPr>
        <w:t xml:space="preserve">      </w:t>
      </w:r>
      <w:r/>
    </w:p>
    <w:p>
      <w:pPr>
        <w:ind w:firstLine="84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rPr>
          <w:rFonts w:hint="eastAsia" w:ascii="宋体" w:hAnsi="宋体"/>
          <w:bCs/>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附件11：</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供应商近年类似业绩情况表</w:t>
      </w:r>
      <w:r/>
    </w:p>
    <w:p>
      <w:pPr>
        <w:pStyle w:val="13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158"/>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559"/>
        <w:gridCol w:w="1418"/>
        <w:gridCol w:w="992"/>
        <w:gridCol w:w="1517"/>
        <w:gridCol w:w="1134"/>
        <w:gridCol w:w="1134"/>
      </w:tblGrid>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业主单位及联系方式</w:t>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项目合同价</w:t>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项目实施时间</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ind w:firstLine="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127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注：1.提供上述表格中业绩相应证明材料的原件扫描件</w:t>
      </w:r>
      <w:r>
        <w:rPr>
          <w:rFonts w:hint="eastAsia" w:ascii="宋体" w:hAnsi="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960"/>
        <w:spacing w:line="360" w:lineRule="auto"/>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2.如有需要说明的事项，请在备注中列明。</w:t>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bookmarkStart w:id="127" w:name="_Toc456102678"/>
      <w:r/>
      <w:bookmarkStart w:id="128" w:name="_Toc456102124"/>
      <w:r/>
      <w:bookmarkStart w:id="129" w:name="_Toc456102501"/>
      <w:r/>
      <w:bookmarkStart w:id="130" w:name="_Toc433707803"/>
      <w:r/>
      <w:r/>
    </w:p>
    <w:p>
      <w:pPr>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附件12：</w:t>
      </w:r>
      <w:bookmarkEnd w:id="127"/>
      <w:r/>
      <w:bookmarkEnd w:id="128"/>
      <w:r/>
      <w:bookmarkEnd w:id="129"/>
      <w:r/>
      <w:bookmarkEnd w:id="130"/>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承诺书</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采购人名称</w:t>
      </w:r>
      <w:r>
        <w:rPr>
          <w:rFonts w:hint="eastAsia" w:ascii="宋体" w:hAnsi="宋体" w:cs="宋体"/>
          <w:color w:val="000000" w:themeColor="text1"/>
          <w:highlight w:val="none"/>
          <w14:textFill>
            <w14:solidFill>
              <w14:schemeClr w14:val="tx1"/>
            </w14:solidFill>
          </w14:textFill>
        </w:rPr>
        <w:t xml:space="preserve">：</w:t>
      </w:r>
      <w:r/>
    </w:p>
    <w:p>
      <w:pPr>
        <w:ind w:firstLine="520"/>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我单位郑重承诺以下事项：</w:t>
      </w:r>
      <w:r/>
    </w:p>
    <w:p>
      <w:pPr>
        <w:ind w:firstLine="420"/>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一、我单位同意并响应</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项目（项目编号为：</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）招标磋商文件的所有内容。</w:t>
      </w:r>
      <w:r/>
    </w:p>
    <w:p>
      <w:pPr>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二、我单位提供的服务内容及服务质量完全响应磋商文件要求。如我方未能及时响应上述要求,则采购人有权对我方进行处罚直至解除合同。</w:t>
      </w:r>
      <w:r/>
    </w:p>
    <w:p>
      <w:pPr>
        <w:ind w:firstLine="420"/>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）列入失信被执行人、重大税收违法案件当事人名单、政府采购严重违法失信行为记录名单。</w:t>
      </w:r>
      <w:r/>
    </w:p>
    <w:p>
      <w:pPr>
        <w:ind w:firstLine="420"/>
        <w:spacing w:line="48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四、</w:t>
      </w:r>
      <w:r>
        <w:rPr>
          <w:rFonts w:hint="eastAsia" w:ascii="宋体" w:hAnsi="宋体" w:cs="宋体"/>
          <w:color w:val="000000" w:themeColor="text1"/>
          <w:highlight w:val="none"/>
          <w14:textFill>
            <w14:solidFill>
              <w14:schemeClr w14:val="tx1"/>
            </w14:solidFill>
          </w14:textFill>
        </w:rPr>
        <w:t xml:space="preserve">如在履约过程中造成任何损失，由我方全部承担赔偿责任。</w:t>
      </w:r>
      <w:r/>
    </w:p>
    <w:p>
      <w:pPr>
        <w:ind w:firstLine="420"/>
        <w:spacing w:line="48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五、</w:t>
      </w:r>
      <w:r>
        <w:rPr>
          <w:rFonts w:hint="eastAsia" w:ascii="宋体" w:hAnsi="宋体" w:cs="宋体"/>
          <w:color w:val="000000" w:themeColor="text1"/>
          <w:highlight w:val="none"/>
          <w14:textFill>
            <w14:solidFill>
              <w14:schemeClr w14:val="tx1"/>
            </w14:solidFill>
          </w14:textFill>
        </w:rPr>
        <w:t xml:space="preserve">如违背上述承诺，本公司（单位）将承担一切法律责任。</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特此承诺</w:t>
      </w:r>
      <w:r/>
    </w:p>
    <w:p>
      <w:pPr>
        <w:pStyle w:val="1185"/>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185"/>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5"/>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供应商（加盖CA电子公章）：</w:t>
      </w:r>
      <w:r/>
    </w:p>
    <w:p>
      <w:pPr>
        <w:pStyle w:val="1185"/>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85"/>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法定代表人或授权代表（签字或盖章）：</w:t>
      </w:r>
      <w:r/>
    </w:p>
    <w:p>
      <w:pPr>
        <w:pStyle w:val="1185"/>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85"/>
        <w:jc w:val="righ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sectPr>
          <w:footerReference w:type="default" r:id="rId24"/>
          <w:footerReference w:type="first" r:id="rId25"/>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b/>
          <w:color w:val="000000" w:themeColor="text1"/>
          <w:szCs w:val="2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附件13：</w:t>
      </w:r>
      <w:r>
        <w:rPr>
          <w:b/>
          <w:bCs/>
          <w:color w:val="000000" w:themeColor="text1"/>
          <w:highlight w:val="none"/>
          <w14:textFill>
            <w14:solidFill>
              <w14:schemeClr w14:val="tx1"/>
            </w14:solidFill>
          </w14:textFill>
        </w:rPr>
        <w:t xml:space="preserve">本项目要求的其他资料</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1.供应商认为有必要提供的其他证明材料（如有自拟并自行添加）。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69"/>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369"/>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369"/>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369"/>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369"/>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质疑函范本</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一、质疑供应商基本信息</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                      联系电话：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授权代表：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二、质疑项目基本情况</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质疑项目的名称：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质疑项目的编号：                         包号：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采购人名称：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采购文件获取日期：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三、质疑事项具体内容</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质疑事项1：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事实依据：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法律依据：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质疑事项2</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四、与质疑事项相关的质疑请求</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请求：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签字(</w:t>
      </w:r>
      <w:r>
        <w:rPr>
          <w:rFonts w:hint="eastAsia"/>
          <w:color w:val="000000" w:themeColor="text1"/>
          <w:highlight w:val="none"/>
          <w14:textFill>
            <w14:solidFill>
              <w14:schemeClr w14:val="tx1"/>
            </w14:solidFill>
          </w14:textFill>
        </w:rPr>
        <w:t xml:space="preserve">签字或盖章</w:t>
      </w:r>
      <w:r>
        <w:rPr>
          <w:color w:val="000000" w:themeColor="text1"/>
          <w:highlight w:val="none"/>
          <w14:textFill>
            <w14:solidFill>
              <w14:schemeClr w14:val="tx1"/>
            </w14:solidFill>
          </w14:textFill>
        </w:rPr>
        <w:t xml:space="preserve">)：                   公章：                      </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    </w:t>
      </w:r>
      <w:r/>
    </w:p>
    <w:p>
      <w:pPr>
        <w:pStyle w:val="136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质疑函制作说明：</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1.供应商提出质疑时，应提交质疑函和必要的证明材料。</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3.质疑供应商若对项目的某一分包进行质疑，质疑函中应列明具体分包号。</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4.质疑函的质疑事项应具体、明确，并有必要的事实依据和法律依据。</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5.质疑函的质疑请求应与质疑事项相关。</w:t>
      </w:r>
      <w:r/>
    </w:p>
    <w:p>
      <w:pPr>
        <w:pStyle w:val="136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华文楷体">
    <w:panose1 w:val="02010600040101010101"/>
  </w:font>
  <w:font w:name="Calibri">
    <w:panose1 w:val="020F0502020204030204"/>
  </w:font>
  <w:font w:name="仿宋">
    <w:panose1 w:val="02010609060101010101"/>
  </w:font>
  <w:font w:name="等线 Light">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w:r/>
  </w:p>
  <w:p>
    <w:pPr>
      <w:pStyle w:val="11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w:r/>
  </w:p>
  <w:p>
    <w:pPr>
      <w:pStyle w:val="11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2622550</wp:posOffset>
              </wp:positionH>
              <wp:positionV relativeFrom="paragraph">
                <wp:posOffset>8255</wp:posOffset>
              </wp:positionV>
              <wp:extent cx="16954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954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23</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206.5pt;mso-position-horizontal:absolute;mso-position-vertical-relative:text;margin-top:0.7pt;mso-position-vertical:absolute;width:13.3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001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001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2</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4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7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1930"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01930"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5.9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620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2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2284730</wp:posOffset>
              </wp:positionH>
              <wp:positionV relativeFrom="paragraph">
                <wp:posOffset>24765</wp:posOffset>
              </wp:positionV>
              <wp:extent cx="15557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5557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47</w:t>
                          </w:r>
                          <w:r>
                            <w:fldChar w:fldCharType="end"/>
                          </w:r>
                          <w:r/>
                        </w:p>
                      </w:txbxContent>
                    </wps:txbx>
                    <wps:bodyPr wrap="square" lIns="0" tIns="0" rIns="0" bIns="0" upright="1"/>
                  </wps:wsp>
                </a:graphicData>
              </a:graphic>
            </wp:anchor>
          </w:drawing>
        </mc:Choice>
        <mc:Fallback>
          <w:pict>
            <v:shape id="shape 5" o:spid="_x0000_s5" o:spt="202" type="#_x0000_t202" style="position:absolute;z-index:251664384;o:allowoverlap:true;o:allowincell:true;mso-position-horizontal-relative:margin;margin-left:179.9pt;mso-position-horizontal:absolute;mso-position-vertical-relative:text;margin-top:1.9pt;mso-position-vertical:absolute;width:12.2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47</w:t>
                    </w:r>
                    <w:r>
                      <w:fldChar w:fldCharType="end"/>
                    </w:r>
                    <w:r/>
                  </w:p>
                </w:txbxContent>
              </v:textbox>
            </v:shape>
          </w:pict>
        </mc:Fallback>
      </mc:AlternateContent>
    </w:r>
    <w: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049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5049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5049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5049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1.8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684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5684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2.3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4680"/>
      <w:tabs>
        <w:tab w:val="clear" w:pos="4153" w:leader="none"/>
        <w:tab w:val="center" w:pos="4725"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509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2509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54</w:t>
                          </w:r>
                          <w:r>
                            <w:fldChar w:fldCharType="end"/>
                          </w:r>
                          <w:r/>
                        </w:p>
                      </w:txbxContent>
                    </wps:txbx>
                    <wps:bodyPr wrap="square" lIns="0" tIns="0" rIns="0" bIns="0" upright="1"/>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54</w:t>
                    </w:r>
                    <w:r>
                      <w:fldChar w:fldCharType="end"/>
                    </w:r>
                    <w:r/>
                  </w:p>
                </w:txbxContent>
              </v:textbox>
            </v:shape>
          </w:pict>
        </mc:Fallback>
      </mc:AlternateContent>
    </w:r>
    <w:r>
      <w:tab/>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6954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6954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3.3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6954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69545" cy="131445"/>
                      </a:xfrm>
                      <a:prstGeom prst="rect">
                        <a:avLst/>
                      </a:prstGeom>
                      <a:noFill/>
                      <a:ln>
                        <a:noFill/>
                        <a:miter/>
                      </a:ln>
                    </wps:spPr>
                    <wps:txbx>
                      <w:txbxContent>
                        <w:p>
                          <w:pPr>
                            <w:pStyle w:val="1172"/>
                          </w:pPr>
                          <w:r>
                            <w:fldChar w:fldCharType="begin"/>
                          </w:r>
                          <w:r>
                            <w:instrText xml:space="preserve"> PAGE  \* MERGEFORMAT </w:instrText>
                          </w:r>
                          <w:r>
                            <w:fldChar w:fldCharType="separate"/>
                          </w:r>
                          <w:r>
                            <w:t xml:space="preserve">55</w:t>
                          </w:r>
                          <w:r>
                            <w:fldChar w:fldCharType="end"/>
                          </w:r>
                          <w:r/>
                        </w:p>
                      </w:txbxContent>
                    </wps:txbx>
                    <wps:bodyPr wrap="square" lIns="0" tIns="0" rIns="0" bIns="0" upright="1"/>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3.3pt;height:10.3pt;mso-wrap-distance-left:9.0pt;mso-wrap-distance-top:0.0pt;mso-wrap-distance-right:9.0pt;mso-wrap-distance-bottom:0.0pt;visibility:visible;" filled="f" stroked="f">
              <v:textbox inset="0,0,0,0">
                <w:txbxContent>
                  <w:p>
                    <w:pPr>
                      <w:pStyle w:val="1172"/>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16">
    <w:name w:val="Heading 4 Char"/>
    <w:basedOn w:val="1157"/>
    <w:link w:val="1151"/>
    <w:uiPriority w:val="9"/>
    <w:rPr>
      <w:rFonts w:ascii="Arial" w:hAnsi="Arial" w:eastAsia="Arial" w:cs="Arial"/>
      <w:b/>
      <w:bCs/>
      <w:sz w:val="26"/>
      <w:szCs w:val="26"/>
    </w:rPr>
  </w:style>
  <w:style w:type="character" w:styleId="1117">
    <w:name w:val="Heading 5 Char"/>
    <w:basedOn w:val="1157"/>
    <w:link w:val="1152"/>
    <w:uiPriority w:val="9"/>
    <w:rPr>
      <w:rFonts w:ascii="Arial" w:hAnsi="Arial" w:eastAsia="Arial" w:cs="Arial"/>
      <w:b/>
      <w:bCs/>
      <w:sz w:val="24"/>
      <w:szCs w:val="24"/>
    </w:rPr>
  </w:style>
  <w:style w:type="character" w:styleId="1118">
    <w:name w:val="Heading 6 Char"/>
    <w:basedOn w:val="1157"/>
    <w:link w:val="1153"/>
    <w:uiPriority w:val="9"/>
    <w:rPr>
      <w:rFonts w:ascii="Arial" w:hAnsi="Arial" w:eastAsia="Arial" w:cs="Arial"/>
      <w:b/>
      <w:bCs/>
      <w:sz w:val="22"/>
      <w:szCs w:val="22"/>
    </w:rPr>
  </w:style>
  <w:style w:type="character" w:styleId="1119">
    <w:name w:val="Heading 7 Char"/>
    <w:basedOn w:val="1157"/>
    <w:link w:val="1154"/>
    <w:uiPriority w:val="9"/>
    <w:rPr>
      <w:rFonts w:ascii="Arial" w:hAnsi="Arial" w:eastAsia="Arial" w:cs="Arial"/>
      <w:b/>
      <w:bCs/>
      <w:i/>
      <w:iCs/>
      <w:sz w:val="22"/>
      <w:szCs w:val="22"/>
    </w:rPr>
  </w:style>
  <w:style w:type="character" w:styleId="1120">
    <w:name w:val="Heading 8 Char"/>
    <w:basedOn w:val="1157"/>
    <w:link w:val="1155"/>
    <w:uiPriority w:val="9"/>
    <w:rPr>
      <w:rFonts w:ascii="Arial" w:hAnsi="Arial" w:eastAsia="Arial" w:cs="Arial"/>
      <w:i/>
      <w:iCs/>
      <w:sz w:val="22"/>
      <w:szCs w:val="22"/>
    </w:rPr>
  </w:style>
  <w:style w:type="character" w:styleId="1121">
    <w:name w:val="Heading 9 Char"/>
    <w:basedOn w:val="1157"/>
    <w:link w:val="1156"/>
    <w:uiPriority w:val="9"/>
    <w:rPr>
      <w:rFonts w:ascii="Arial" w:hAnsi="Arial" w:eastAsia="Arial" w:cs="Arial"/>
      <w:i/>
      <w:iCs/>
      <w:sz w:val="21"/>
      <w:szCs w:val="21"/>
    </w:rPr>
  </w:style>
  <w:style w:type="character" w:styleId="1122">
    <w:name w:val="Subtitle Char"/>
    <w:basedOn w:val="1157"/>
    <w:link w:val="1176"/>
    <w:uiPriority w:val="11"/>
    <w:rPr>
      <w:sz w:val="24"/>
      <w:szCs w:val="24"/>
    </w:rPr>
  </w:style>
  <w:style w:type="character" w:styleId="1123">
    <w:name w:val="Quote Char"/>
    <w:link w:val="1205"/>
    <w:uiPriority w:val="29"/>
    <w:rPr>
      <w:i/>
    </w:rPr>
  </w:style>
  <w:style w:type="character" w:styleId="1124">
    <w:name w:val="Intense Quote Char"/>
    <w:link w:val="1207"/>
    <w:uiPriority w:val="30"/>
    <w:rPr>
      <w:i/>
    </w:rPr>
  </w:style>
  <w:style w:type="table" w:styleId="1125">
    <w:name w:val="Plain Table 1"/>
    <w:basedOn w:val="11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6">
    <w:name w:val="Plain Table 2"/>
    <w:basedOn w:val="11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7">
    <w:name w:val="Plain Table 3"/>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8">
    <w:name w:val="Plain Table 4"/>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9">
    <w:name w:val="Plain Table 5"/>
    <w:basedOn w:val="11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0">
    <w:name w:val="Grid Table 1 Light"/>
    <w:basedOn w:val="11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1">
    <w:name w:val="Grid Table 2"/>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32">
    <w:name w:val="Grid Table 3"/>
    <w:basedOn w:val="11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4"/>
    <w:basedOn w:val="11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4">
    <w:name w:val="Grid Table 5 Dark"/>
    <w:basedOn w:val="11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5">
    <w:name w:val="Grid Table 6 Colorful"/>
    <w:basedOn w:val="11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6">
    <w:name w:val="Grid Table 7 Colorful"/>
    <w:basedOn w:val="11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7">
    <w:name w:val="List Table 1 Light"/>
    <w:basedOn w:val="11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8">
    <w:name w:val="List Table 2"/>
    <w:basedOn w:val="11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9">
    <w:name w:val="List Table 3"/>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0">
    <w:name w:val="List Table 4"/>
    <w:basedOn w:val="11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1">
    <w:name w:val="List Table 5 Dark"/>
    <w:basedOn w:val="11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6 Colorful"/>
    <w:basedOn w:val="11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3">
    <w:name w:val="List Table 7 Colorful"/>
    <w:basedOn w:val="11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44">
    <w:name w:val="Footnote Text Char"/>
    <w:link w:val="1177"/>
    <w:uiPriority w:val="99"/>
    <w:rPr>
      <w:sz w:val="18"/>
    </w:rPr>
  </w:style>
  <w:style w:type="character" w:styleId="1145">
    <w:name w:val="Endnote Text Char"/>
    <w:link w:val="1171"/>
    <w:uiPriority w:val="99"/>
    <w:rPr>
      <w:sz w:val="20"/>
    </w:rPr>
  </w:style>
  <w:style w:type="paragraph" w:styleId="1146">
    <w:name w:val="TOC Heading"/>
    <w:uiPriority w:val="39"/>
    <w:unhideWhenUsed/>
  </w:style>
  <w:style w:type="paragraph" w:styleId="11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48">
    <w:name w:val="Heading 1"/>
    <w:basedOn w:val="1147"/>
    <w:next w:val="1147"/>
    <w:link w:val="1344"/>
    <w:uiPriority w:val="0"/>
    <w:qFormat/>
    <w:pPr>
      <w:jc w:val="center"/>
      <w:keepNext/>
      <w:outlineLvl w:val="0"/>
    </w:pPr>
    <w:rPr>
      <w:rFonts w:ascii="楷体_GB2312" w:hAnsi="楷体_GB2312"/>
      <w:b/>
      <w:szCs w:val="20"/>
    </w:rPr>
  </w:style>
  <w:style w:type="paragraph" w:styleId="1149">
    <w:name w:val="Heading 2"/>
    <w:basedOn w:val="1147"/>
    <w:next w:val="1159"/>
    <w:uiPriority w:val="0"/>
    <w:qFormat/>
    <w:pPr>
      <w:jc w:val="center"/>
      <w:keepLines/>
      <w:keepNext/>
      <w:spacing w:before="260" w:after="260" w:line="416" w:lineRule="auto"/>
      <w:outlineLvl w:val="1"/>
    </w:pPr>
    <w:rPr>
      <w:rFonts w:ascii="Arial" w:hAnsi="Arial" w:eastAsia="幼圆"/>
      <w:b/>
      <w:sz w:val="44"/>
      <w:szCs w:val="20"/>
    </w:rPr>
  </w:style>
  <w:style w:type="paragraph" w:styleId="1150">
    <w:name w:val="Heading 3"/>
    <w:basedOn w:val="1147"/>
    <w:next w:val="1147"/>
    <w:uiPriority w:val="0"/>
    <w:qFormat/>
    <w:pPr>
      <w:keepLines/>
      <w:keepNext/>
      <w:spacing w:before="260" w:after="260" w:line="415" w:lineRule="auto"/>
      <w:outlineLvl w:val="2"/>
    </w:pPr>
    <w:rPr>
      <w:sz w:val="32"/>
      <w:szCs w:val="32"/>
    </w:rPr>
  </w:style>
  <w:style w:type="paragraph" w:styleId="1151">
    <w:name w:val="Heading 4"/>
    <w:basedOn w:val="1147"/>
    <w:next w:val="1147"/>
    <w:link w:val="1196"/>
    <w:uiPriority w:val="9"/>
    <w:unhideWhenUsed/>
    <w:qFormat/>
    <w:pPr>
      <w:keepLines/>
      <w:keepNext/>
      <w:spacing w:before="320" w:after="200"/>
      <w:outlineLvl w:val="3"/>
    </w:pPr>
    <w:rPr>
      <w:rFonts w:ascii="Arial" w:hAnsi="Arial" w:eastAsia="Arial" w:cs="Arial"/>
      <w:b/>
      <w:bCs/>
      <w:sz w:val="26"/>
      <w:szCs w:val="26"/>
    </w:rPr>
  </w:style>
  <w:style w:type="paragraph" w:styleId="1152">
    <w:name w:val="Heading 5"/>
    <w:basedOn w:val="1147"/>
    <w:next w:val="1147"/>
    <w:link w:val="1197"/>
    <w:uiPriority w:val="9"/>
    <w:unhideWhenUsed/>
    <w:qFormat/>
    <w:pPr>
      <w:keepLines/>
      <w:keepNext/>
      <w:spacing w:before="320" w:after="200"/>
      <w:outlineLvl w:val="4"/>
    </w:pPr>
    <w:rPr>
      <w:rFonts w:ascii="Arial" w:hAnsi="Arial" w:eastAsia="Arial" w:cs="Arial"/>
      <w:b/>
      <w:bCs/>
      <w:sz w:val="24"/>
    </w:rPr>
  </w:style>
  <w:style w:type="paragraph" w:styleId="1153">
    <w:name w:val="Heading 6"/>
    <w:basedOn w:val="1147"/>
    <w:next w:val="1147"/>
    <w:link w:val="1198"/>
    <w:uiPriority w:val="9"/>
    <w:unhideWhenUsed/>
    <w:qFormat/>
    <w:pPr>
      <w:keepLines/>
      <w:keepNext/>
      <w:spacing w:before="320" w:after="200"/>
      <w:outlineLvl w:val="5"/>
    </w:pPr>
    <w:rPr>
      <w:rFonts w:ascii="Arial" w:hAnsi="Arial" w:eastAsia="Arial" w:cs="Arial"/>
      <w:b/>
      <w:bCs/>
      <w:sz w:val="22"/>
      <w:szCs w:val="22"/>
    </w:rPr>
  </w:style>
  <w:style w:type="paragraph" w:styleId="1154">
    <w:name w:val="Heading 7"/>
    <w:basedOn w:val="1147"/>
    <w:next w:val="1147"/>
    <w:link w:val="1199"/>
    <w:uiPriority w:val="9"/>
    <w:unhideWhenUsed/>
    <w:qFormat/>
    <w:pPr>
      <w:keepLines/>
      <w:keepNext/>
      <w:spacing w:before="320" w:after="200"/>
      <w:outlineLvl w:val="6"/>
    </w:pPr>
    <w:rPr>
      <w:rFonts w:ascii="Arial" w:hAnsi="Arial" w:eastAsia="Arial" w:cs="Arial"/>
      <w:b/>
      <w:bCs/>
      <w:i/>
      <w:iCs/>
      <w:sz w:val="22"/>
      <w:szCs w:val="22"/>
    </w:rPr>
  </w:style>
  <w:style w:type="paragraph" w:styleId="1155">
    <w:name w:val="Heading 8"/>
    <w:basedOn w:val="1147"/>
    <w:next w:val="1147"/>
    <w:link w:val="1200"/>
    <w:uiPriority w:val="9"/>
    <w:unhideWhenUsed/>
    <w:qFormat/>
    <w:pPr>
      <w:keepLines/>
      <w:keepNext/>
      <w:spacing w:before="320" w:after="200"/>
      <w:outlineLvl w:val="7"/>
    </w:pPr>
    <w:rPr>
      <w:rFonts w:ascii="Arial" w:hAnsi="Arial" w:eastAsia="Arial" w:cs="Arial"/>
      <w:i/>
      <w:iCs/>
      <w:sz w:val="22"/>
      <w:szCs w:val="22"/>
    </w:rPr>
  </w:style>
  <w:style w:type="paragraph" w:styleId="1156">
    <w:name w:val="Heading 9"/>
    <w:basedOn w:val="1147"/>
    <w:next w:val="1147"/>
    <w:link w:val="1201"/>
    <w:uiPriority w:val="9"/>
    <w:unhideWhenUsed/>
    <w:qFormat/>
    <w:pPr>
      <w:keepLines/>
      <w:keepNext/>
      <w:spacing w:before="320" w:after="200"/>
      <w:outlineLvl w:val="8"/>
    </w:pPr>
    <w:rPr>
      <w:rFonts w:ascii="Arial" w:hAnsi="Arial" w:eastAsia="Arial" w:cs="Arial"/>
      <w:i/>
      <w:iCs/>
      <w:szCs w:val="21"/>
    </w:rPr>
  </w:style>
  <w:style w:type="character" w:styleId="1157" w:default="1">
    <w:name w:val="Default Paragraph Font"/>
    <w:uiPriority w:val="1"/>
    <w:semiHidden/>
    <w:unhideWhenUsed/>
    <w:qFormat/>
  </w:style>
  <w:style w:type="table" w:styleId="1158" w:default="1">
    <w:name w:val="Normal Table"/>
    <w:uiPriority w:val="99"/>
    <w:semiHidden/>
    <w:unhideWhenUsed/>
    <w:qFormat/>
    <w:tblPr>
      <w:tblCellMar>
        <w:left w:w="108" w:type="dxa"/>
        <w:top w:w="0" w:type="dxa"/>
        <w:right w:w="108" w:type="dxa"/>
        <w:bottom w:w="0" w:type="dxa"/>
      </w:tblCellMar>
    </w:tblPr>
  </w:style>
  <w:style w:type="paragraph" w:styleId="1159">
    <w:name w:val="Normal Indent"/>
    <w:basedOn w:val="1147"/>
    <w:next w:val="1147"/>
    <w:link w:val="1366"/>
    <w:uiPriority w:val="0"/>
    <w:qFormat/>
    <w:pPr>
      <w:ind w:firstLine="420"/>
    </w:pPr>
    <w:rPr>
      <w:szCs w:val="20"/>
    </w:rPr>
  </w:style>
  <w:style w:type="paragraph" w:styleId="1160">
    <w:name w:val="toc 7"/>
    <w:basedOn w:val="1147"/>
    <w:next w:val="1147"/>
    <w:uiPriority w:val="39"/>
    <w:unhideWhenUsed/>
    <w:qFormat/>
    <w:pPr>
      <w:ind w:left="1701"/>
      <w:spacing w:after="57"/>
    </w:pPr>
  </w:style>
  <w:style w:type="paragraph" w:styleId="1161">
    <w:name w:val="Caption"/>
    <w:basedOn w:val="1147"/>
    <w:next w:val="1147"/>
    <w:uiPriority w:val="35"/>
    <w:semiHidden/>
    <w:unhideWhenUsed/>
    <w:qFormat/>
    <w:pPr>
      <w:spacing w:line="276" w:lineRule="auto"/>
    </w:pPr>
    <w:rPr>
      <w:b/>
      <w:bCs/>
      <w:color w:val="5b9bd5" w:themeColor="accent1"/>
      <w:sz w:val="18"/>
      <w:szCs w:val="18"/>
    </w:rPr>
  </w:style>
  <w:style w:type="paragraph" w:styleId="1162">
    <w:name w:val="Body Text"/>
    <w:basedOn w:val="1147"/>
    <w:link w:val="1362"/>
    <w:uiPriority w:val="0"/>
    <w:qFormat/>
    <w:rPr>
      <w:rFonts w:ascii="楷体_GB2312" w:hAnsi="Arial" w:eastAsia="楷体_GB2312"/>
      <w:sz w:val="28"/>
      <w:szCs w:val="20"/>
    </w:rPr>
  </w:style>
  <w:style w:type="paragraph" w:styleId="1163">
    <w:name w:val="Body Text Indent"/>
    <w:basedOn w:val="1147"/>
    <w:next w:val="1164"/>
    <w:uiPriority w:val="0"/>
    <w:qFormat/>
    <w:pPr>
      <w:ind w:firstLine="645"/>
    </w:pPr>
    <w:rPr>
      <w:rFonts w:ascii="楷体_GB2312" w:eastAsia="楷体_GB2312"/>
      <w:sz w:val="32"/>
      <w:szCs w:val="20"/>
    </w:rPr>
  </w:style>
  <w:style w:type="paragraph" w:styleId="1164">
    <w:name w:val="envelope return"/>
    <w:basedOn w:val="1147"/>
    <w:uiPriority w:val="0"/>
    <w:qFormat/>
    <w:rPr>
      <w:rFonts w:ascii="Arial" w:hAnsi="Arial"/>
    </w:rPr>
  </w:style>
  <w:style w:type="paragraph" w:styleId="1165">
    <w:name w:val="Block Text"/>
    <w:basedOn w:val="1147"/>
    <w:uiPriority w:val="99"/>
    <w:unhideWhenUsed/>
    <w:qFormat/>
    <w:pPr>
      <w:ind w:left="1440" w:right="1440"/>
      <w:spacing w:after="120"/>
    </w:pPr>
  </w:style>
  <w:style w:type="paragraph" w:styleId="1166">
    <w:name w:val="toc 5"/>
    <w:basedOn w:val="1147"/>
    <w:next w:val="1147"/>
    <w:uiPriority w:val="39"/>
    <w:unhideWhenUsed/>
    <w:qFormat/>
    <w:pPr>
      <w:ind w:left="1134"/>
      <w:spacing w:after="57"/>
    </w:pPr>
  </w:style>
  <w:style w:type="paragraph" w:styleId="1167">
    <w:name w:val="toc 3"/>
    <w:basedOn w:val="1147"/>
    <w:next w:val="1147"/>
    <w:uiPriority w:val="39"/>
    <w:unhideWhenUsed/>
    <w:qFormat/>
    <w:pPr>
      <w:ind w:left="567"/>
      <w:spacing w:after="57"/>
    </w:pPr>
  </w:style>
  <w:style w:type="paragraph" w:styleId="1168">
    <w:name w:val="Plain Text"/>
    <w:basedOn w:val="1147"/>
    <w:next w:val="1147"/>
    <w:link w:val="1364"/>
    <w:uiPriority w:val="0"/>
    <w:qFormat/>
    <w:rPr>
      <w:rFonts w:ascii="宋体" w:hAnsi="Courier New"/>
      <w:szCs w:val="20"/>
    </w:rPr>
  </w:style>
  <w:style w:type="paragraph" w:styleId="1169">
    <w:name w:val="toc 8"/>
    <w:basedOn w:val="1147"/>
    <w:next w:val="1147"/>
    <w:uiPriority w:val="39"/>
    <w:unhideWhenUsed/>
    <w:qFormat/>
    <w:pPr>
      <w:ind w:left="1984"/>
      <w:spacing w:after="57"/>
    </w:pPr>
  </w:style>
  <w:style w:type="paragraph" w:styleId="1170">
    <w:name w:val="Date"/>
    <w:basedOn w:val="1147"/>
    <w:next w:val="1147"/>
    <w:uiPriority w:val="0"/>
    <w:qFormat/>
    <w:rPr>
      <w:sz w:val="24"/>
      <w:szCs w:val="20"/>
    </w:rPr>
  </w:style>
  <w:style w:type="paragraph" w:styleId="1171">
    <w:name w:val="endnote text"/>
    <w:basedOn w:val="1147"/>
    <w:link w:val="1338"/>
    <w:uiPriority w:val="99"/>
    <w:semiHidden/>
    <w:unhideWhenUsed/>
    <w:qFormat/>
    <w:rPr>
      <w:sz w:val="20"/>
    </w:rPr>
  </w:style>
  <w:style w:type="paragraph" w:styleId="1172">
    <w:name w:val="Footer"/>
    <w:basedOn w:val="1147"/>
    <w:uiPriority w:val="99"/>
    <w:qFormat/>
    <w:pPr>
      <w:jc w:val="left"/>
      <w:tabs>
        <w:tab w:val="center" w:pos="4153" w:leader="none"/>
        <w:tab w:val="right" w:pos="8306" w:leader="none"/>
      </w:tabs>
    </w:pPr>
    <w:rPr>
      <w:sz w:val="18"/>
      <w:szCs w:val="20"/>
    </w:rPr>
  </w:style>
  <w:style w:type="paragraph" w:styleId="1173">
    <w:name w:val="Header"/>
    <w:basedOn w:val="1147"/>
    <w:uiPriority w:val="0"/>
    <w:qFormat/>
    <w:pPr>
      <w:jc w:val="center"/>
      <w:tabs>
        <w:tab w:val="center" w:pos="4153" w:leader="none"/>
        <w:tab w:val="right" w:pos="8306" w:leader="none"/>
      </w:tabs>
      <w:pBdr>
        <w:bottom w:val="single" w:color="auto" w:sz="6" w:space="1"/>
      </w:pBdr>
    </w:pPr>
    <w:rPr>
      <w:sz w:val="18"/>
      <w:szCs w:val="18"/>
    </w:rPr>
  </w:style>
  <w:style w:type="paragraph" w:styleId="1174">
    <w:name w:val="toc 1"/>
    <w:basedOn w:val="1147"/>
    <w:next w:val="1147"/>
    <w:uiPriority w:val="0"/>
    <w:qFormat/>
  </w:style>
  <w:style w:type="paragraph" w:styleId="1175">
    <w:name w:val="toc 4"/>
    <w:basedOn w:val="1147"/>
    <w:next w:val="1147"/>
    <w:uiPriority w:val="39"/>
    <w:unhideWhenUsed/>
    <w:qFormat/>
    <w:pPr>
      <w:ind w:left="850"/>
      <w:spacing w:after="57"/>
    </w:pPr>
  </w:style>
  <w:style w:type="paragraph" w:styleId="1176">
    <w:name w:val="Subtitle"/>
    <w:basedOn w:val="1147"/>
    <w:next w:val="1147"/>
    <w:link w:val="1204"/>
    <w:uiPriority w:val="11"/>
    <w:qFormat/>
    <w:pPr>
      <w:spacing w:before="200" w:after="200"/>
    </w:pPr>
    <w:rPr>
      <w:sz w:val="24"/>
    </w:rPr>
  </w:style>
  <w:style w:type="paragraph" w:styleId="1177">
    <w:name w:val="footnote text"/>
    <w:basedOn w:val="1147"/>
    <w:link w:val="1337"/>
    <w:uiPriority w:val="99"/>
    <w:semiHidden/>
    <w:unhideWhenUsed/>
    <w:qFormat/>
    <w:pPr>
      <w:spacing w:after="40"/>
    </w:pPr>
    <w:rPr>
      <w:sz w:val="18"/>
    </w:rPr>
  </w:style>
  <w:style w:type="paragraph" w:styleId="1178">
    <w:name w:val="toc 6"/>
    <w:basedOn w:val="1147"/>
    <w:next w:val="1147"/>
    <w:uiPriority w:val="39"/>
    <w:unhideWhenUsed/>
    <w:qFormat/>
    <w:pPr>
      <w:ind w:left="1417"/>
      <w:spacing w:after="57"/>
    </w:pPr>
  </w:style>
  <w:style w:type="paragraph" w:styleId="1179">
    <w:name w:val="table of figures"/>
    <w:basedOn w:val="1147"/>
    <w:next w:val="1147"/>
    <w:uiPriority w:val="99"/>
    <w:unhideWhenUsed/>
    <w:qFormat/>
  </w:style>
  <w:style w:type="paragraph" w:styleId="1180">
    <w:name w:val="toc 2"/>
    <w:basedOn w:val="1147"/>
    <w:next w:val="1147"/>
    <w:uiPriority w:val="39"/>
    <w:qFormat/>
    <w:pPr>
      <w:ind w:left="210"/>
      <w:jc w:val="left"/>
    </w:pPr>
    <w:rPr>
      <w:smallCaps/>
    </w:rPr>
  </w:style>
  <w:style w:type="paragraph" w:styleId="1181">
    <w:name w:val="toc 9"/>
    <w:basedOn w:val="1147"/>
    <w:next w:val="1147"/>
    <w:uiPriority w:val="39"/>
    <w:unhideWhenUsed/>
    <w:qFormat/>
    <w:pPr>
      <w:ind w:left="2268"/>
      <w:spacing w:after="57"/>
    </w:pPr>
  </w:style>
  <w:style w:type="paragraph" w:styleId="1182">
    <w:name w:val="Body Text 2"/>
    <w:basedOn w:val="1147"/>
    <w:uiPriority w:val="99"/>
    <w:qFormat/>
    <w:rPr>
      <w:rFonts w:eastAsia="仿宋_GB2312"/>
      <w:color w:val="000000"/>
    </w:rPr>
  </w:style>
  <w:style w:type="paragraph" w:styleId="1183">
    <w:name w:val="Normal (Web)"/>
    <w:basedOn w:val="1147"/>
    <w:uiPriority w:val="0"/>
    <w:unhideWhenUsed/>
    <w:qFormat/>
    <w:pPr>
      <w:jc w:val="left"/>
      <w:spacing w:before="100" w:beforeAutospacing="1" w:after="100" w:afterAutospacing="1"/>
      <w:widowControl/>
    </w:pPr>
    <w:rPr>
      <w:rFonts w:ascii="宋体" w:hAnsi="宋体" w:cs="宋体"/>
      <w:sz w:val="24"/>
    </w:rPr>
  </w:style>
  <w:style w:type="paragraph" w:styleId="1184">
    <w:name w:val="Title"/>
    <w:basedOn w:val="1147"/>
    <w:next w:val="1147"/>
    <w:uiPriority w:val="0"/>
    <w:qFormat/>
    <w:pPr>
      <w:jc w:val="center"/>
      <w:spacing w:before="240" w:after="60"/>
      <w:outlineLvl w:val="0"/>
    </w:pPr>
    <w:rPr>
      <w:rFonts w:ascii="等线 Light" w:hAnsi="等线 Light"/>
      <w:b/>
      <w:bCs/>
      <w:sz w:val="32"/>
      <w:szCs w:val="32"/>
    </w:rPr>
  </w:style>
  <w:style w:type="paragraph" w:styleId="1185">
    <w:name w:val="Body Text First Indent"/>
    <w:basedOn w:val="1147"/>
    <w:link w:val="1363"/>
    <w:uiPriority w:val="99"/>
    <w:unhideWhenUsed/>
    <w:qFormat/>
    <w:pPr>
      <w:ind w:firstLine="420"/>
    </w:pPr>
  </w:style>
  <w:style w:type="paragraph" w:styleId="1186">
    <w:name w:val="Body Text First Indent 2"/>
    <w:basedOn w:val="1163"/>
    <w:next w:val="1147"/>
    <w:uiPriority w:val="0"/>
    <w:unhideWhenUsed/>
    <w:qFormat/>
    <w:pPr>
      <w:ind w:left="420" w:firstLine="420"/>
      <w:spacing w:after="120"/>
    </w:pPr>
    <w:rPr>
      <w:rFonts w:ascii="Times New Roman" w:eastAsia="宋体"/>
      <w:sz w:val="21"/>
      <w:szCs w:val="24"/>
    </w:rPr>
  </w:style>
  <w:style w:type="table" w:styleId="1187">
    <w:name w:val="Table Grid"/>
    <w:basedOn w:val="115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8">
    <w:name w:val="Strong"/>
    <w:basedOn w:val="1157"/>
    <w:uiPriority w:val="22"/>
    <w:qFormat/>
    <w:rPr>
      <w:b/>
      <w:bCs/>
    </w:rPr>
  </w:style>
  <w:style w:type="character" w:styleId="1189">
    <w:name w:val="endnote reference"/>
    <w:basedOn w:val="1157"/>
    <w:uiPriority w:val="99"/>
    <w:semiHidden/>
    <w:unhideWhenUsed/>
    <w:qFormat/>
    <w:rPr>
      <w:vertAlign w:val="superscript"/>
    </w:rPr>
  </w:style>
  <w:style w:type="character" w:styleId="1190">
    <w:name w:val="page number"/>
    <w:uiPriority w:val="0"/>
    <w:qFormat/>
  </w:style>
  <w:style w:type="character" w:styleId="1191">
    <w:name w:val="Hyperlink"/>
    <w:uiPriority w:val="99"/>
    <w:unhideWhenUsed/>
    <w:qFormat/>
    <w:rPr>
      <w:color w:val="0563c1" w:themeColor="hyperlink"/>
      <w:u w:val="single"/>
    </w:rPr>
  </w:style>
  <w:style w:type="character" w:styleId="1192">
    <w:name w:val="footnote reference"/>
    <w:basedOn w:val="1157"/>
    <w:uiPriority w:val="99"/>
    <w:unhideWhenUsed/>
    <w:qFormat/>
    <w:rPr>
      <w:vertAlign w:val="superscript"/>
    </w:rPr>
  </w:style>
  <w:style w:type="character" w:styleId="1193" w:customStyle="1">
    <w:name w:val="Heading 1 Char"/>
    <w:basedOn w:val="1157"/>
    <w:uiPriority w:val="9"/>
    <w:qFormat/>
    <w:rPr>
      <w:rFonts w:ascii="Arial" w:hAnsi="Arial" w:eastAsia="Arial" w:cs="Arial"/>
      <w:sz w:val="40"/>
      <w:szCs w:val="40"/>
    </w:rPr>
  </w:style>
  <w:style w:type="character" w:styleId="1194" w:customStyle="1">
    <w:name w:val="Heading 2 Char"/>
    <w:basedOn w:val="1157"/>
    <w:uiPriority w:val="9"/>
    <w:qFormat/>
    <w:rPr>
      <w:rFonts w:ascii="Arial" w:hAnsi="Arial" w:eastAsia="Arial" w:cs="Arial"/>
      <w:sz w:val="34"/>
    </w:rPr>
  </w:style>
  <w:style w:type="character" w:styleId="1195" w:customStyle="1">
    <w:name w:val="Heading 3 Char"/>
    <w:basedOn w:val="1157"/>
    <w:uiPriority w:val="9"/>
    <w:qFormat/>
    <w:rPr>
      <w:rFonts w:ascii="Arial" w:hAnsi="Arial" w:eastAsia="Arial" w:cs="Arial"/>
      <w:sz w:val="30"/>
      <w:szCs w:val="30"/>
    </w:rPr>
  </w:style>
  <w:style w:type="character" w:styleId="1196" w:customStyle="1">
    <w:name w:val="标题 4 字符"/>
    <w:basedOn w:val="1157"/>
    <w:link w:val="1151"/>
    <w:uiPriority w:val="9"/>
    <w:qFormat/>
    <w:rPr>
      <w:rFonts w:ascii="Arial" w:hAnsi="Arial" w:eastAsia="Arial" w:cs="Arial"/>
      <w:b/>
      <w:bCs/>
      <w:sz w:val="26"/>
      <w:szCs w:val="26"/>
    </w:rPr>
  </w:style>
  <w:style w:type="character" w:styleId="1197" w:customStyle="1">
    <w:name w:val="标题 5 字符"/>
    <w:basedOn w:val="1157"/>
    <w:link w:val="1152"/>
    <w:uiPriority w:val="9"/>
    <w:qFormat/>
    <w:rPr>
      <w:rFonts w:ascii="Arial" w:hAnsi="Arial" w:eastAsia="Arial" w:cs="Arial"/>
      <w:b/>
      <w:bCs/>
      <w:sz w:val="24"/>
      <w:szCs w:val="24"/>
    </w:rPr>
  </w:style>
  <w:style w:type="character" w:styleId="1198" w:customStyle="1">
    <w:name w:val="标题 6 字符"/>
    <w:basedOn w:val="1157"/>
    <w:link w:val="1153"/>
    <w:uiPriority w:val="9"/>
    <w:qFormat/>
    <w:rPr>
      <w:rFonts w:ascii="Arial" w:hAnsi="Arial" w:eastAsia="Arial" w:cs="Arial"/>
      <w:b/>
      <w:bCs/>
      <w:sz w:val="22"/>
      <w:szCs w:val="22"/>
    </w:rPr>
  </w:style>
  <w:style w:type="character" w:styleId="1199" w:customStyle="1">
    <w:name w:val="标题 7 字符"/>
    <w:basedOn w:val="1157"/>
    <w:link w:val="1154"/>
    <w:uiPriority w:val="9"/>
    <w:qFormat/>
    <w:rPr>
      <w:rFonts w:ascii="Arial" w:hAnsi="Arial" w:eastAsia="Arial" w:cs="Arial"/>
      <w:b/>
      <w:bCs/>
      <w:i/>
      <w:iCs/>
      <w:sz w:val="22"/>
      <w:szCs w:val="22"/>
    </w:rPr>
  </w:style>
  <w:style w:type="character" w:styleId="1200" w:customStyle="1">
    <w:name w:val="标题 8 字符"/>
    <w:basedOn w:val="1157"/>
    <w:link w:val="1155"/>
    <w:uiPriority w:val="9"/>
    <w:qFormat/>
    <w:rPr>
      <w:rFonts w:ascii="Arial" w:hAnsi="Arial" w:eastAsia="Arial" w:cs="Arial"/>
      <w:i/>
      <w:iCs/>
      <w:sz w:val="22"/>
      <w:szCs w:val="22"/>
    </w:rPr>
  </w:style>
  <w:style w:type="character" w:styleId="1201" w:customStyle="1">
    <w:name w:val="标题 9 字符"/>
    <w:basedOn w:val="1157"/>
    <w:link w:val="1156"/>
    <w:uiPriority w:val="9"/>
    <w:qFormat/>
    <w:rPr>
      <w:rFonts w:ascii="Arial" w:hAnsi="Arial" w:eastAsia="Arial" w:cs="Arial"/>
      <w:i/>
      <w:iCs/>
      <w:sz w:val="21"/>
      <w:szCs w:val="21"/>
    </w:rPr>
  </w:style>
  <w:style w:type="paragraph" w:styleId="1202">
    <w:name w:val="No Spacing"/>
    <w:uiPriority w:val="1"/>
    <w:qFormat/>
    <w:rPr>
      <w:rFonts w:ascii="Times New Roman" w:hAnsi="Times New Roman" w:eastAsia="宋体" w:cs="Times New Roman"/>
      <w:lang w:val="en-US" w:eastAsia="zh-CN" w:bidi="ar-SA"/>
    </w:rPr>
  </w:style>
  <w:style w:type="character" w:styleId="1203" w:customStyle="1">
    <w:name w:val="Title Char"/>
    <w:basedOn w:val="1157"/>
    <w:uiPriority w:val="10"/>
    <w:qFormat/>
    <w:rPr>
      <w:sz w:val="48"/>
      <w:szCs w:val="48"/>
    </w:rPr>
  </w:style>
  <w:style w:type="character" w:styleId="1204" w:customStyle="1">
    <w:name w:val="副标题 字符"/>
    <w:basedOn w:val="1157"/>
    <w:link w:val="1176"/>
    <w:uiPriority w:val="11"/>
    <w:qFormat/>
    <w:rPr>
      <w:sz w:val="24"/>
      <w:szCs w:val="24"/>
    </w:rPr>
  </w:style>
  <w:style w:type="paragraph" w:styleId="1205">
    <w:name w:val="Quote"/>
    <w:basedOn w:val="1147"/>
    <w:next w:val="1147"/>
    <w:link w:val="1206"/>
    <w:uiPriority w:val="29"/>
    <w:qFormat/>
    <w:pPr>
      <w:ind w:left="720" w:right="720"/>
    </w:pPr>
    <w:rPr>
      <w:i/>
    </w:rPr>
  </w:style>
  <w:style w:type="character" w:styleId="1206" w:customStyle="1">
    <w:name w:val="引用 字符"/>
    <w:link w:val="1205"/>
    <w:uiPriority w:val="29"/>
    <w:qFormat/>
    <w:rPr>
      <w:i/>
    </w:rPr>
  </w:style>
  <w:style w:type="paragraph" w:styleId="1207">
    <w:name w:val="Intense Quote"/>
    <w:basedOn w:val="1147"/>
    <w:next w:val="1147"/>
    <w:link w:val="12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8" w:customStyle="1">
    <w:name w:val="明显引用 字符"/>
    <w:link w:val="1207"/>
    <w:uiPriority w:val="30"/>
    <w:qFormat/>
    <w:rPr>
      <w:i/>
    </w:rPr>
  </w:style>
  <w:style w:type="character" w:styleId="1209" w:customStyle="1">
    <w:name w:val="Header Char"/>
    <w:basedOn w:val="1157"/>
    <w:uiPriority w:val="99"/>
    <w:qFormat/>
  </w:style>
  <w:style w:type="character" w:styleId="1210" w:customStyle="1">
    <w:name w:val="Footer Char"/>
    <w:basedOn w:val="1157"/>
    <w:uiPriority w:val="99"/>
    <w:qFormat/>
  </w:style>
  <w:style w:type="character" w:styleId="1211" w:customStyle="1">
    <w:name w:val="Caption Char"/>
    <w:uiPriority w:val="99"/>
    <w:qFormat/>
  </w:style>
  <w:style w:type="table" w:styleId="1212" w:customStyle="1">
    <w:name w:val="Table Grid Light"/>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13" w:customStyle="1">
    <w:name w:val="无格式表格 11"/>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无格式表格 21"/>
    <w:basedOn w:val="11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无格式表格 3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无格式表格 4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无格式表格 5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网格表 1 浅色1"/>
    <w:basedOn w:val="11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1"/>
    <w:basedOn w:val="11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2"/>
    <w:basedOn w:val="11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3"/>
    <w:basedOn w:val="11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4"/>
    <w:basedOn w:val="11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5"/>
    <w:basedOn w:val="11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6"/>
    <w:basedOn w:val="11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25" w:customStyle="1">
    <w:name w:val="网格表 2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6" w:customStyle="1">
    <w:name w:val="Grid Table 2 - Accent 1"/>
    <w:basedOn w:val="11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27" w:customStyle="1">
    <w:name w:val="Grid Table 2 - Accent 2"/>
    <w:basedOn w:val="11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28" w:customStyle="1">
    <w:name w:val="Grid Table 2 - Accent 3"/>
    <w:basedOn w:val="11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29" w:customStyle="1">
    <w:name w:val="Grid Table 2 - Accent 4"/>
    <w:basedOn w:val="11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30" w:customStyle="1">
    <w:name w:val="Grid Table 2 - Accent 5"/>
    <w:basedOn w:val="11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31" w:customStyle="1">
    <w:name w:val="Grid Table 2 - Accent 6"/>
    <w:basedOn w:val="11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32" w:customStyle="1">
    <w:name w:val="网格表 3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1"/>
    <w:basedOn w:val="115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2"/>
    <w:basedOn w:val="115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3"/>
    <w:basedOn w:val="11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4"/>
    <w:basedOn w:val="115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5"/>
    <w:basedOn w:val="115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6"/>
    <w:basedOn w:val="11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网格表 41"/>
    <w:basedOn w:val="11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customStyle="1">
    <w:name w:val="Grid Table 4 - Accent 1"/>
    <w:basedOn w:val="115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41" w:customStyle="1">
    <w:name w:val="Grid Table 4 - Accent 2"/>
    <w:basedOn w:val="11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42" w:customStyle="1">
    <w:name w:val="Grid Table 4 - Accent 3"/>
    <w:basedOn w:val="11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43" w:customStyle="1">
    <w:name w:val="Grid Table 4 - Accent 4"/>
    <w:basedOn w:val="115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44" w:customStyle="1">
    <w:name w:val="Grid Table 4 - Accent 5"/>
    <w:basedOn w:val="115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45" w:customStyle="1">
    <w:name w:val="Grid Table 4 - Accent 6"/>
    <w:basedOn w:val="11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46" w:customStyle="1">
    <w:name w:val="网格表 5 深色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7" w:customStyle="1">
    <w:name w:val="Grid Table 5 Dark- Accent 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48" w:customStyle="1">
    <w:name w:val="Grid Table 5 Dark - Accent 2"/>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49" w:customStyle="1">
    <w:name w:val="Grid Table 5 Dark - Accent 3"/>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50" w:customStyle="1">
    <w:name w:val="Grid Table 5 Dark- Accent 4"/>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51" w:customStyle="1">
    <w:name w:val="Grid Table 5 Dark - Accent 5"/>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52" w:customStyle="1">
    <w:name w:val="Grid Table 5 Dark - Accent 6"/>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53" w:customStyle="1">
    <w:name w:val="网格表 6 彩色1"/>
    <w:basedOn w:val="11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254" w:customStyle="1">
    <w:name w:val="Grid Table 6 Colorful - Accent 1"/>
    <w:basedOn w:val="115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b/>
        <w:color w:val="accce9" w:themeColor="accent1" w:themeTint="80" w:themeShade="95"/>
      </w:rPr>
    </w:tblStylePr>
    <w:tblStylePr w:type="firstRow">
      <w:rPr>
        <w:b/>
        <w:color w:val="accce9" w:themeColor="accent1" w:themeTint="80" w:themeShade="95"/>
      </w:rPr>
      <w:tcPr>
        <w:tcBorders>
          <w:bottom w:val="single" w:color="ACCCE9" w:themeColor="accent1" w:themeTint="80" w:sz="12" w:space="0"/>
        </w:tcBorders>
      </w:tcPr>
    </w:tblStylePr>
    <w:tblStylePr w:type="lastCol">
      <w:rPr>
        <w:b/>
        <w:color w:val="accce9" w:themeColor="accent1" w:themeTint="80" w:themeShade="95"/>
      </w:rPr>
    </w:tblStylePr>
    <w:tblStylePr w:type="lastRow">
      <w:rPr>
        <w:b/>
        <w:color w:val="accce9" w:themeColor="accent1" w:themeTint="80" w:themeShade="95"/>
      </w:rPr>
    </w:tblStylePr>
  </w:style>
  <w:style w:type="table" w:styleId="1255" w:customStyle="1">
    <w:name w:val="Grid Table 6 Colorful - Accent 2"/>
    <w:basedOn w:val="11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1256" w:customStyle="1">
    <w:name w:val="Grid Table 6 Colorful - Accent 3"/>
    <w:basedOn w:val="11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257" w:customStyle="1">
    <w:name w:val="Grid Table 6 Colorful - Accent 4"/>
    <w:basedOn w:val="11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1258" w:customStyle="1">
    <w:name w:val="Grid Table 6 Colorful - Accent 5"/>
    <w:basedOn w:val="115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4472C4" w:themeColor="accent5" w:sz="12" w:space="0"/>
        </w:tcBorders>
      </w:tcPr>
    </w:tblStylePr>
    <w:tblStylePr w:type="lastCol">
      <w:rPr>
        <w:b/>
        <w:color w:val="244175" w:themeColor="accent5" w:themeShade="95"/>
      </w:rPr>
    </w:tblStylePr>
    <w:tblStylePr w:type="lastRow">
      <w:rPr>
        <w:b/>
        <w:color w:val="244175" w:themeColor="accent5" w:themeShade="95"/>
      </w:rPr>
    </w:tblStylePr>
  </w:style>
  <w:style w:type="table" w:styleId="1259" w:customStyle="1">
    <w:name w:val="Grid Table 6 Colorful - Accent 6"/>
    <w:basedOn w:val="11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5" w:themeColor="accent5" w:themeShade="95"/>
        <w:sz w:val="22"/>
      </w:rPr>
    </w:tblStylePr>
    <w:tblStylePr w:type="firstCol">
      <w:rPr>
        <w:b/>
        <w:color w:val="244175" w:themeColor="accent5" w:themeShade="95"/>
      </w:rPr>
    </w:tblStylePr>
    <w:tblStylePr w:type="firstRow">
      <w:rPr>
        <w:b/>
        <w:color w:val="244175" w:themeColor="accent5" w:themeShade="95"/>
      </w:rPr>
      <w:tcPr>
        <w:tcBorders>
          <w:bottom w:val="single" w:color="70AD47" w:themeColor="accent6" w:sz="12" w:space="0"/>
        </w:tcBorders>
      </w:tcPr>
    </w:tblStylePr>
    <w:tblStylePr w:type="lastCol">
      <w:rPr>
        <w:b/>
        <w:color w:val="244175" w:themeColor="accent5" w:themeShade="95"/>
      </w:rPr>
    </w:tblStylePr>
    <w:tblStylePr w:type="lastRow">
      <w:rPr>
        <w:b/>
        <w:color w:val="244175" w:themeColor="accent5" w:themeShade="95"/>
      </w:rPr>
    </w:tblStylePr>
  </w:style>
  <w:style w:type="table" w:styleId="1260" w:customStyle="1">
    <w:name w:val="网格表 7 彩色1"/>
    <w:basedOn w:val="11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Grid Table 7 Colorful - Accent 1"/>
    <w:basedOn w:val="115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themeShade="95"/>
        <w:sz w:val="22"/>
      </w:rPr>
    </w:tblStylePr>
    <w:tblStylePr w:type="firstCol">
      <w:rPr>
        <w:rFonts w:ascii="Arial" w:hAnsi="Arial"/>
        <w:i/>
        <w:color w:val="accce9"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themeShade="95"/>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themeShade="95"/>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themeShade="95"/>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62" w:customStyle="1">
    <w:name w:val="Grid Table 7 Colorful - Accent 2"/>
    <w:basedOn w:val="115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3" w:customStyle="1">
    <w:name w:val="Grid Table 7 Colorful - Accent 3"/>
    <w:basedOn w:val="11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64" w:customStyle="1">
    <w:name w:val="Grid Table 7 Colorful - Accent 4"/>
    <w:basedOn w:val="115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5" w:customStyle="1">
    <w:name w:val="Grid Table 7 Colorful - Accent 5"/>
    <w:basedOn w:val="115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5" w:themeColor="accent5" w:themeShade="95"/>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5" w:themeColor="accent5" w:themeShade="95"/>
        <w:sz w:val="22"/>
      </w:rPr>
    </w:tblStylePr>
    <w:tblStylePr w:type="firstCol">
      <w:rPr>
        <w:rFonts w:ascii="Arial" w:hAnsi="Arial"/>
        <w:i/>
        <w:color w:val="24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66" w:customStyle="1">
    <w:name w:val="Grid Table 7 Colorful - Accent 6"/>
    <w:basedOn w:val="11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67" w:customStyle="1">
    <w:name w:val="清单表 1 浅色1"/>
    <w:basedOn w:val="11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customStyle="1">
    <w:name w:val="List Table 1 Light - Accent 1"/>
    <w:basedOn w:val="115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69" w:customStyle="1">
    <w:name w:val="List Table 1 Light - Accent 2"/>
    <w:basedOn w:val="11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70" w:customStyle="1">
    <w:name w:val="List Table 1 Light - Accent 3"/>
    <w:basedOn w:val="11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71" w:customStyle="1">
    <w:name w:val="List Table 1 Light - Accent 4"/>
    <w:basedOn w:val="115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72" w:customStyle="1">
    <w:name w:val="List Table 1 Light - Accent 5"/>
    <w:basedOn w:val="115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73" w:customStyle="1">
    <w:name w:val="List Table 1 Light - Accent 6"/>
    <w:basedOn w:val="11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74" w:customStyle="1">
    <w:name w:val="清单表 21"/>
    <w:basedOn w:val="11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5" w:customStyle="1">
    <w:name w:val="List Table 2 - Accent 1"/>
    <w:basedOn w:val="115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76" w:customStyle="1">
    <w:name w:val="List Table 2 - Accent 2"/>
    <w:basedOn w:val="11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77" w:customStyle="1">
    <w:name w:val="List Table 2 - Accent 3"/>
    <w:basedOn w:val="11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78" w:customStyle="1">
    <w:name w:val="List Table 2 - Accent 4"/>
    <w:basedOn w:val="115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79" w:customStyle="1">
    <w:name w:val="List Table 2 - Accent 5"/>
    <w:basedOn w:val="115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80" w:customStyle="1">
    <w:name w:val="List Table 2 - Accent 6"/>
    <w:basedOn w:val="11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81" w:customStyle="1">
    <w:name w:val="清单表 3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2" w:customStyle="1">
    <w:name w:val="List Table 3 - Accent 1"/>
    <w:basedOn w:val="115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83" w:customStyle="1">
    <w:name w:val="List Table 3 - Accent 2"/>
    <w:basedOn w:val="115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84" w:customStyle="1">
    <w:name w:val="List Table 3 - Accent 3"/>
    <w:basedOn w:val="115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85" w:customStyle="1">
    <w:name w:val="List Table 3 - Accent 4"/>
    <w:basedOn w:val="115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86" w:customStyle="1">
    <w:name w:val="List Table 3 - Accent 5"/>
    <w:basedOn w:val="115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87" w:customStyle="1">
    <w:name w:val="List Table 3 - Accent 6"/>
    <w:basedOn w:val="115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88" w:customStyle="1">
    <w:name w:val="清单表 4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9" w:customStyle="1">
    <w:name w:val="List Table 4 - Accent 1"/>
    <w:basedOn w:val="115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90" w:customStyle="1">
    <w:name w:val="List Table 4 - Accent 2"/>
    <w:basedOn w:val="115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91" w:customStyle="1">
    <w:name w:val="List Table 4 - Accent 3"/>
    <w:basedOn w:val="115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92" w:customStyle="1">
    <w:name w:val="List Table 4 - Accent 4"/>
    <w:basedOn w:val="115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93" w:customStyle="1">
    <w:name w:val="List Table 4 - Accent 5"/>
    <w:basedOn w:val="115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94" w:customStyle="1">
    <w:name w:val="List Table 4 - Accent 6"/>
    <w:basedOn w:val="115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95" w:customStyle="1">
    <w:name w:val="清单表 5 深色1"/>
    <w:basedOn w:val="11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96" w:customStyle="1">
    <w:name w:val="List Table 5 Dark - Accent 1"/>
    <w:basedOn w:val="115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97" w:customStyle="1">
    <w:name w:val="List Table 5 Dark - Accent 2"/>
    <w:basedOn w:val="115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298" w:customStyle="1">
    <w:name w:val="List Table 5 Dark - Accent 3"/>
    <w:basedOn w:val="115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99" w:customStyle="1">
    <w:name w:val="List Table 5 Dark - Accent 4"/>
    <w:basedOn w:val="115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300" w:customStyle="1">
    <w:name w:val="List Table 5 Dark - Accent 5"/>
    <w:basedOn w:val="115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1301" w:customStyle="1">
    <w:name w:val="List Table 5 Dark - Accent 6"/>
    <w:basedOn w:val="115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302" w:customStyle="1">
    <w:name w:val="清单表 6 彩色1"/>
    <w:basedOn w:val="11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03" w:customStyle="1">
    <w:name w:val="List Table 6 Colorful - Accent 1"/>
    <w:basedOn w:val="1158"/>
    <w:uiPriority w:val="99"/>
    <w:qFormat/>
    <w:tblPr>
      <w:tblBorders>
        <w:top w:val="single" w:color="5B9BD5" w:themeColor="accent1" w:sz="4" w:space="0"/>
        <w:bottom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b/>
        <w:color w:val="245b8d" w:themeColor="accent1" w:themeShade="95"/>
      </w:rPr>
    </w:tblStylePr>
    <w:tblStylePr w:type="firstRow">
      <w:rPr>
        <w:b/>
        <w:color w:val="245b8d" w:themeColor="accent1" w:themeShade="95"/>
      </w:rPr>
      <w:tcPr>
        <w:tcBorders>
          <w:bottom w:val="single" w:color="5B9BD5" w:themeColor="accent1" w:sz="4" w:space="0"/>
        </w:tcBorders>
      </w:tcPr>
    </w:tblStylePr>
    <w:tblStylePr w:type="lastCol">
      <w:rPr>
        <w:b/>
        <w:color w:val="245b8d" w:themeColor="accent1" w:themeShade="95"/>
      </w:rPr>
    </w:tblStylePr>
    <w:tblStylePr w:type="lastRow">
      <w:rPr>
        <w:b/>
        <w:color w:val="245b8d" w:themeColor="accent1" w:themeShade="95"/>
      </w:rPr>
      <w:tcPr>
        <w:tcBorders>
          <w:top w:val="single" w:color="5B9BD5" w:themeColor="accent1" w:sz="4" w:space="0"/>
        </w:tcBorders>
      </w:tcPr>
    </w:tblStylePr>
  </w:style>
  <w:style w:type="table" w:styleId="1304" w:customStyle="1">
    <w:name w:val="List Table 6 Colorful - Accent 2"/>
    <w:basedOn w:val="115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1305" w:customStyle="1">
    <w:name w:val="List Table 6 Colorful - Accent 3"/>
    <w:basedOn w:val="115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306" w:customStyle="1">
    <w:name w:val="List Table 6 Colorful - Accent 4"/>
    <w:basedOn w:val="115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1307" w:customStyle="1">
    <w:name w:val="List Table 6 Colorful - Accent 5"/>
    <w:basedOn w:val="115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b/>
        <w:color w:val="8ea9db" w:themeColor="accent5" w:themeTint="9A" w:themeShade="95"/>
      </w:rPr>
    </w:tblStylePr>
    <w:tblStylePr w:type="firstRow">
      <w:rPr>
        <w:b/>
        <w:color w:val="8ea9db" w:themeColor="accent5" w:themeTint="9A" w:themeShade="95"/>
      </w:rPr>
      <w:tcPr>
        <w:tcBorders>
          <w:bottom w:val="single" w:color="8EA9DB" w:themeColor="accent5" w:themeTint="9A" w:sz="4" w:space="0"/>
        </w:tcBorders>
      </w:tcPr>
    </w:tblStylePr>
    <w:tblStylePr w:type="lastCol">
      <w:rPr>
        <w:b/>
        <w:color w:val="8ea9db" w:themeColor="accent5" w:themeTint="9A" w:themeShade="95"/>
      </w:rPr>
    </w:tblStylePr>
    <w:tblStylePr w:type="lastRow">
      <w:rPr>
        <w:b/>
        <w:color w:val="8ea9db" w:themeColor="accent5" w:themeTint="9A" w:themeShade="95"/>
      </w:rPr>
      <w:tcPr>
        <w:tcBorders>
          <w:top w:val="single" w:color="8EA9DB" w:themeColor="accent5" w:themeTint="9A" w:sz="4" w:space="0"/>
        </w:tcBorders>
      </w:tcPr>
    </w:tblStylePr>
  </w:style>
  <w:style w:type="table" w:styleId="1308" w:customStyle="1">
    <w:name w:val="List Table 6 Colorful - Accent 6"/>
    <w:basedOn w:val="115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309" w:customStyle="1">
    <w:name w:val="清单表 7 彩色1"/>
    <w:basedOn w:val="1158"/>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0" w:customStyle="1">
    <w:name w:val="List Table 7 Colorful - Accent 1"/>
    <w:basedOn w:val="1158"/>
    <w:uiPriority w:val="99"/>
    <w:qFormat/>
    <w:tblPr>
      <w:tblBorders>
        <w:right w:val="single" w:color="5B9BD5" w:themeColor="accent1" w:sz="4" w:space="0"/>
      </w:tblBorders>
    </w:tblPr>
    <w:tblStylePr w:type="band1Horz">
      <w:rPr>
        <w:rFonts w:ascii="Arial" w:hAnsi="Arial"/>
        <w:color w:val="245b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d" w:themeColor="accent1" w:themeShade="95"/>
        <w:sz w:val="22"/>
      </w:rPr>
    </w:tblStylePr>
    <w:tblStylePr w:type="firstCol">
      <w:rPr>
        <w:rFonts w:ascii="Arial" w:hAnsi="Arial"/>
        <w:i/>
        <w:color w:val="245b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11" w:customStyle="1">
    <w:name w:val="List Table 7 Colorful - Accent 2"/>
    <w:basedOn w:val="1158"/>
    <w:uiPriority w:val="99"/>
    <w:qFormat/>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12" w:customStyle="1">
    <w:name w:val="List Table 7 Colorful - Accent 3"/>
    <w:basedOn w:val="1158"/>
    <w:uiPriority w:val="99"/>
    <w:qFormat/>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13" w:customStyle="1">
    <w:name w:val="List Table 7 Colorful - Accent 4"/>
    <w:basedOn w:val="1158"/>
    <w:uiPriority w:val="99"/>
    <w:qFormat/>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14" w:customStyle="1">
    <w:name w:val="List Table 7 Colorful - Accent 5"/>
    <w:basedOn w:val="1158"/>
    <w:uiPriority w:val="99"/>
    <w:qFormat/>
    <w:tblPr>
      <w:tblBorders>
        <w:right w:val="single" w:color="8EA9DB" w:themeColor="accent5" w:themeTint="9A" w:sz="4" w:space="0"/>
      </w:tblBorders>
    </w:tblPr>
    <w:tblStylePr w:type="band1Horz">
      <w:rPr>
        <w:rFonts w:ascii="Arial" w:hAnsi="Arial"/>
        <w:color w:val="8ea9db" w:themeColor="accent5" w:themeTint="9A" w:themeShade="95"/>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9db" w:themeColor="accent5" w:themeTint="9A" w:themeShade="95"/>
        <w:sz w:val="22"/>
      </w:rPr>
    </w:tblStylePr>
    <w:tblStylePr w:type="firstCol">
      <w:rPr>
        <w:rFonts w:ascii="Arial" w:hAnsi="Arial"/>
        <w:i/>
        <w:color w:val="8e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9db" w:themeColor="accent5" w:themeTint="9A" w:themeShade="95"/>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9db" w:themeColor="accent5" w:themeTint="9A" w:themeShade="95"/>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9db" w:themeColor="accent5" w:themeTint="9A" w:themeShade="95"/>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15" w:customStyle="1">
    <w:name w:val="List Table 7 Colorful - Accent 6"/>
    <w:basedOn w:val="1158"/>
    <w:uiPriority w:val="99"/>
    <w:qFormat/>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16" w:customStyle="1">
    <w:name w:val="Lined - Accent"/>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7" w:customStyle="1">
    <w:name w:val="Lined - Accent 1"/>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18" w:customStyle="1">
    <w:name w:val="Lined - Accent 2"/>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19" w:customStyle="1">
    <w:name w:val="Lined - Accent 3"/>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0" w:customStyle="1">
    <w:name w:val="Lined - Accent 4"/>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1" w:customStyle="1">
    <w:name w:val="Lined - Accent 5"/>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2" w:customStyle="1">
    <w:name w:val="Lined - Accent 6"/>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23" w:customStyle="1">
    <w:name w:val="Bordered &amp; Lined - Accent"/>
    <w:basedOn w:val="11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4" w:customStyle="1">
    <w:name w:val="Bordered &amp; Lined - Accent 1"/>
    <w:basedOn w:val="115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25" w:customStyle="1">
    <w:name w:val="Bordered &amp; Lined - Accent 2"/>
    <w:basedOn w:val="115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26" w:customStyle="1">
    <w:name w:val="Bordered &amp; Lined - Accent 3"/>
    <w:basedOn w:val="115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27" w:customStyle="1">
    <w:name w:val="Bordered &amp; Lined - Accent 4"/>
    <w:basedOn w:val="115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28" w:customStyle="1">
    <w:name w:val="Bordered &amp; Lined - Accent 5"/>
    <w:basedOn w:val="115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29" w:customStyle="1">
    <w:name w:val="Bordered &amp; Lined - Accent 6"/>
    <w:basedOn w:val="115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30" w:customStyle="1">
    <w:name w:val="Bordered"/>
    <w:basedOn w:val="11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1" w:customStyle="1">
    <w:name w:val="Bordered - Accent 1"/>
    <w:basedOn w:val="115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32" w:customStyle="1">
    <w:name w:val="Bordered - Accent 2"/>
    <w:basedOn w:val="11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33" w:customStyle="1">
    <w:name w:val="Bordered - Accent 3"/>
    <w:basedOn w:val="11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34" w:customStyle="1">
    <w:name w:val="Bordered - Accent 4"/>
    <w:basedOn w:val="115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35" w:customStyle="1">
    <w:name w:val="Bordered - Accent 5"/>
    <w:basedOn w:val="115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36" w:customStyle="1">
    <w:name w:val="Bordered - Accent 6"/>
    <w:basedOn w:val="11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37" w:customStyle="1">
    <w:name w:val="脚注文本 字符"/>
    <w:link w:val="1177"/>
    <w:uiPriority w:val="99"/>
    <w:qFormat/>
    <w:rPr>
      <w:sz w:val="18"/>
    </w:rPr>
  </w:style>
  <w:style w:type="character" w:styleId="1338" w:customStyle="1">
    <w:name w:val="尾注文本 字符"/>
    <w:link w:val="1171"/>
    <w:uiPriority w:val="99"/>
    <w:qFormat/>
    <w:rPr>
      <w:sz w:val="20"/>
    </w:rPr>
  </w:style>
  <w:style w:type="paragraph" w:styleId="1339" w:customStyle="1">
    <w:name w:val="TOC 标题1"/>
    <w:uiPriority w:val="39"/>
    <w:unhideWhenUsed/>
    <w:qFormat/>
    <w:rPr>
      <w:rFonts w:ascii="Times New Roman" w:hAnsi="Times New Roman" w:eastAsia="宋体" w:cs="Times New Roman"/>
      <w:lang w:val="en-US" w:eastAsia="zh-CN" w:bidi="ar-SA"/>
    </w:rPr>
  </w:style>
  <w:style w:type="paragraph" w:styleId="1340" w:customStyle="1">
    <w:name w:val="DAS正文"/>
    <w:basedOn w:val="1147"/>
    <w:uiPriority w:val="0"/>
    <w:qFormat/>
    <w:pPr>
      <w:ind w:right="181" w:firstLine="480"/>
      <w:spacing w:line="360" w:lineRule="auto"/>
    </w:pPr>
    <w:rPr>
      <w:rFonts w:ascii="Verdana" w:hAnsi="Verdana"/>
    </w:rPr>
  </w:style>
  <w:style w:type="paragraph" w:styleId="1341" w:customStyle="1">
    <w:name w:val="正文文本缩进1"/>
    <w:basedOn w:val="1147"/>
    <w:next w:val="1342"/>
    <w:uiPriority w:val="0"/>
    <w:qFormat/>
    <w:pPr>
      <w:ind w:left="420"/>
      <w:spacing w:after="120"/>
    </w:pPr>
    <w:rPr>
      <w:szCs w:val="21"/>
    </w:rPr>
  </w:style>
  <w:style w:type="paragraph" w:styleId="1342" w:customStyle="1">
    <w:name w:val="寄信人地址1"/>
    <w:basedOn w:val="1147"/>
    <w:uiPriority w:val="0"/>
    <w:qFormat/>
    <w:rPr>
      <w:rFonts w:ascii="Arial" w:hAnsi="Arial"/>
    </w:rPr>
  </w:style>
  <w:style w:type="paragraph" w:styleId="1343" w:customStyle="1">
    <w:name w:val="普通正文"/>
    <w:basedOn w:val="1147"/>
    <w:uiPriority w:val="0"/>
    <w:qFormat/>
    <w:pPr>
      <w:ind w:firstLine="480"/>
      <w:jc w:val="left"/>
      <w:spacing w:before="120" w:after="120" w:line="360" w:lineRule="auto"/>
    </w:pPr>
    <w:rPr>
      <w:rFonts w:ascii="Arial" w:hAnsi="Arial"/>
      <w:sz w:val="24"/>
    </w:rPr>
  </w:style>
  <w:style w:type="character" w:styleId="1344" w:customStyle="1">
    <w:name w:val="标题 1 字符"/>
    <w:link w:val="1148"/>
    <w:uiPriority w:val="0"/>
    <w:qFormat/>
    <w:rPr>
      <w:rFonts w:ascii="楷体_GB2312" w:hAnsi="楷体_GB2312"/>
      <w:b/>
      <w:szCs w:val="20"/>
    </w:rPr>
  </w:style>
  <w:style w:type="character" w:styleId="1345" w:customStyle="1">
    <w:name w:val="apple-style-span"/>
    <w:uiPriority w:val="0"/>
    <w:qFormat/>
  </w:style>
  <w:style w:type="paragraph" w:styleId="1346" w:customStyle="1">
    <w:name w:val="格式３"/>
    <w:basedOn w:val="1147"/>
    <w:uiPriority w:val="99"/>
    <w:qFormat/>
    <w:pPr>
      <w:ind w:left="600" w:hanging="600"/>
      <w:spacing w:line="420" w:lineRule="exact"/>
    </w:pPr>
    <w:rPr>
      <w:rFonts w:ascii="宋体" w:hAnsi="宋体"/>
      <w:color w:val="000000"/>
      <w:sz w:val="24"/>
      <w:szCs w:val="20"/>
    </w:rPr>
  </w:style>
  <w:style w:type="paragraph" w:styleId="1347">
    <w:name w:val="List Paragraph"/>
    <w:basedOn w:val="1147"/>
    <w:uiPriority w:val="99"/>
    <w:qFormat/>
    <w:pPr>
      <w:ind w:firstLine="420"/>
    </w:pPr>
    <w:rPr>
      <w:rFonts w:ascii="Calibri" w:hAnsi="Calibri"/>
      <w:szCs w:val="22"/>
    </w:rPr>
  </w:style>
  <w:style w:type="paragraph" w:styleId="1348" w:customStyle="1">
    <w:name w:val="标题 41"/>
    <w:basedOn w:val="1147"/>
    <w:next w:val="1147"/>
    <w:uiPriority w:val="0"/>
    <w:qFormat/>
    <w:pPr>
      <w:keepLines/>
      <w:keepNext/>
      <w:spacing w:before="280" w:after="290" w:line="376" w:lineRule="auto"/>
      <w:outlineLvl w:val="3"/>
    </w:pPr>
    <w:rPr>
      <w:rFonts w:ascii="Arial" w:hAnsi="Arial" w:eastAsia="黑体" w:cs="Arial"/>
      <w:b/>
      <w:bCs/>
      <w:sz w:val="28"/>
      <w:szCs w:val="28"/>
    </w:rPr>
  </w:style>
  <w:style w:type="paragraph" w:styleId="1349" w:customStyle="1">
    <w:name w:val="正文缩进1"/>
    <w:basedOn w:val="1147"/>
    <w:uiPriority w:val="0"/>
    <w:qFormat/>
    <w:pPr>
      <w:ind w:firstLine="420"/>
    </w:pPr>
    <w:rPr>
      <w:szCs w:val="21"/>
    </w:rPr>
  </w:style>
  <w:style w:type="paragraph" w:styleId="1350" w:customStyle="1">
    <w:name w:val="标题 11"/>
    <w:basedOn w:val="1147"/>
    <w:next w:val="1147"/>
    <w:uiPriority w:val="0"/>
    <w:qFormat/>
    <w:pPr>
      <w:jc w:val="center"/>
      <w:keepNext/>
      <w:outlineLvl w:val="0"/>
    </w:pPr>
    <w:rPr>
      <w:rFonts w:ascii="楷体_GB2312" w:eastAsia="楷体_GB2312"/>
      <w:sz w:val="28"/>
      <w:szCs w:val="28"/>
    </w:rPr>
  </w:style>
  <w:style w:type="paragraph" w:styleId="135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352" w:customStyle="1">
    <w:name w:val="列出段落1"/>
    <w:basedOn w:val="1147"/>
    <w:uiPriority w:val="0"/>
    <w:qFormat/>
    <w:pPr>
      <w:contextualSpacing/>
      <w:ind w:left="720"/>
      <w:jc w:val="left"/>
      <w:widowControl/>
    </w:pPr>
    <w:rPr>
      <w:rFonts w:ascii="Calibri" w:hAnsi="Calibri"/>
      <w:sz w:val="24"/>
      <w:lang w:eastAsia="en-US" w:bidi="en-US"/>
    </w:rPr>
  </w:style>
  <w:style w:type="paragraph" w:styleId="1353" w:customStyle="1">
    <w:name w:val="纯文本1"/>
    <w:basedOn w:val="1147"/>
    <w:uiPriority w:val="0"/>
    <w:qFormat/>
    <w:rPr>
      <w:rFonts w:ascii="宋体" w:hAnsi="Courier New" w:cs="Courier New"/>
      <w:szCs w:val="21"/>
    </w:rPr>
  </w:style>
  <w:style w:type="paragraph" w:styleId="1354" w:customStyle="1">
    <w:name w:val="二级目录"/>
    <w:next w:val="1147"/>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1355" w:customStyle="1">
    <w:name w:val="页脚1"/>
    <w:basedOn w:val="1147"/>
    <w:uiPriority w:val="0"/>
    <w:qFormat/>
    <w:pPr>
      <w:jc w:val="left"/>
      <w:tabs>
        <w:tab w:val="center" w:pos="4153" w:leader="none"/>
        <w:tab w:val="right" w:pos="8306" w:leader="none"/>
      </w:tabs>
    </w:pPr>
    <w:rPr>
      <w:sz w:val="18"/>
    </w:rPr>
  </w:style>
  <w:style w:type="character" w:styleId="1356" w:customStyle="1">
    <w:name w:val="页码1"/>
    <w:uiPriority w:val="0"/>
    <w:qFormat/>
  </w:style>
  <w:style w:type="paragraph" w:styleId="1357" w:customStyle="1">
    <w:name w:val="标题 21"/>
    <w:basedOn w:val="1147"/>
    <w:next w:val="13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58" w:customStyle="1">
    <w:name w:val="简单回函地址"/>
    <w:basedOn w:val="1147"/>
    <w:uiPriority w:val="0"/>
    <w:qFormat/>
    <w:rPr>
      <w:rFonts w:cs="宋体"/>
      <w:szCs w:val="21"/>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Table Paragraph"/>
    <w:basedOn w:val="1147"/>
    <w:uiPriority w:val="1"/>
    <w:qFormat/>
    <w:pPr>
      <w:jc w:val="left"/>
    </w:pPr>
    <w:rPr>
      <w:sz w:val="22"/>
      <w:lang w:eastAsia="en-US"/>
    </w:rPr>
  </w:style>
  <w:style w:type="paragraph" w:styleId="1361" w:customStyle="1">
    <w:name w:val="sh4"/>
    <w:basedOn w:val="1147"/>
    <w:uiPriority w:val="0"/>
    <w:qFormat/>
    <w:pPr>
      <w:ind w:firstLine="420"/>
      <w:spacing w:line="460" w:lineRule="exact"/>
    </w:pPr>
    <w:rPr>
      <w:rFonts w:ascii="宋体" w:hAnsi="宋体"/>
      <w:szCs w:val="21"/>
      <w:lang w:eastAsia="en-US"/>
    </w:rPr>
  </w:style>
  <w:style w:type="character" w:styleId="1362" w:customStyle="1">
    <w:name w:val="正文文本 字符"/>
    <w:basedOn w:val="1157"/>
    <w:link w:val="1162"/>
    <w:uiPriority w:val="0"/>
    <w:qFormat/>
    <w:rPr>
      <w:rFonts w:ascii="楷体_GB2312" w:hAnsi="Arial" w:eastAsia="楷体_GB2312"/>
      <w:sz w:val="28"/>
    </w:rPr>
  </w:style>
  <w:style w:type="character" w:styleId="1363" w:customStyle="1">
    <w:name w:val="正文文本首行缩进 字符"/>
    <w:basedOn w:val="1362"/>
    <w:link w:val="1185"/>
    <w:uiPriority w:val="99"/>
    <w:qFormat/>
    <w:rPr>
      <w:rFonts w:ascii="楷体_GB2312" w:hAnsi="Arial" w:eastAsia="楷体_GB2312"/>
      <w:sz w:val="28"/>
    </w:rPr>
  </w:style>
  <w:style w:type="character" w:styleId="1364" w:customStyle="1">
    <w:name w:val="纯文本 字符"/>
    <w:link w:val="1168"/>
    <w:uiPriority w:val="99"/>
    <w:qFormat/>
    <w:rPr>
      <w:rFonts w:ascii="宋体" w:hAnsi="Courier New"/>
      <w:sz w:val="21"/>
    </w:rPr>
  </w:style>
  <w:style w:type="character" w:styleId="1365" w:customStyle="1">
    <w:name w:val="标题 1 字符1"/>
    <w:basedOn w:val="1157"/>
    <w:uiPriority w:val="0"/>
    <w:qFormat/>
    <w:rPr>
      <w:rFonts w:ascii="宋体" w:hAnsi="宋体" w:cs="宋体"/>
      <w:b/>
      <w:sz w:val="28"/>
      <w:szCs w:val="28"/>
    </w:rPr>
  </w:style>
  <w:style w:type="character" w:styleId="1366" w:customStyle="1">
    <w:name w:val="正文缩进 字符"/>
    <w:link w:val="1159"/>
    <w:uiPriority w:val="99"/>
    <w:qFormat/>
    <w:rPr>
      <w:sz w:val="21"/>
    </w:rPr>
  </w:style>
  <w:style w:type="paragraph" w:styleId="1367" w:customStyle="1">
    <w:name w:val="正文11"/>
    <w:next w:val="1368"/>
    <w:uiPriority w:val="0"/>
    <w:qFormat/>
    <w:pPr>
      <w:ind w:right="-91"/>
      <w:jc w:val="both"/>
      <w:spacing w:line="360" w:lineRule="auto"/>
    </w:pPr>
    <w:rPr>
      <w:rFonts w:ascii="Times New Roman" w:hAnsi="Times New Roman" w:eastAsia="宋体" w:cs="Times New Roman"/>
      <w:sz w:val="21"/>
      <w:szCs w:val="24"/>
      <w:lang w:val="en-US" w:eastAsia="zh-CN" w:bidi="ar-SA"/>
    </w:rPr>
  </w:style>
  <w:style w:type="paragraph" w:styleId="1368" w:customStyle="1">
    <w:name w:val="文本块1"/>
    <w:basedOn w:val="1367"/>
    <w:uiPriority w:val="0"/>
    <w:qFormat/>
    <w:pPr>
      <w:ind w:left="256" w:right="6" w:firstLine="624"/>
    </w:pPr>
    <w:rPr>
      <w:rFonts w:eastAsia="仿宋_GB2312"/>
      <w:sz w:val="28"/>
    </w:rPr>
  </w:style>
  <w:style w:type="paragraph" w:styleId="1369" w:customStyle="1">
    <w:name w:val="msonormal"/>
    <w:basedOn w:val="1147"/>
    <w:uiPriority w:val="0"/>
    <w:qFormat/>
    <w:pPr>
      <w:jc w:val="left"/>
      <w:spacing w:before="100" w:beforeAutospacing="1" w:after="100" w:afterAutospacing="1"/>
      <w:widowControl/>
    </w:pPr>
    <w:rPr>
      <w:rFonts w:ascii="宋体" w:hAnsi="宋体" w:cs="宋体"/>
      <w:sz w:val="24"/>
    </w:rPr>
  </w:style>
  <w:style w:type="paragraph" w:styleId="1370" w:customStyle="1">
    <w:name w:val="段"/>
    <w:next w:val="1147"/>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1371" w:customStyle="1">
    <w:name w:val="9-正文"/>
    <w:basedOn w:val="1147"/>
    <w:uiPriority w:val="0"/>
    <w:qFormat/>
    <w:pPr>
      <w:ind w:firstLine="480"/>
      <w:spacing w:line="360" w:lineRule="auto"/>
    </w:pPr>
    <w:rPr>
      <w:sz w:val="24"/>
    </w:rPr>
  </w:style>
  <w:style w:type="paragraph" w:styleId="1372" w:customStyle="1">
    <w:name w:val="9-正文编号"/>
    <w:basedOn w:val="1371"/>
    <w:uiPriority w:val="0"/>
    <w:qFormat/>
    <w:pPr>
      <w:ind w:left="846" w:hanging="422"/>
    </w:pPr>
    <w:rPr>
      <w:rFonts w:ascii="宋体" w:hAnsi="宋体"/>
      <w:szCs w:val="21"/>
    </w:rPr>
  </w:style>
  <w:style w:type="character" w:styleId="1373" w:customStyle="1">
    <w:name w:val="NormalCharacter"/>
    <w:uiPriority w:val="0"/>
    <w:qFormat/>
  </w:style>
  <w:style w:type="paragraph" w:styleId="1374" w:customStyle="1">
    <w:name w:val="正文文本1"/>
    <w:basedOn w:val="1375"/>
    <w:uiPriority w:val="0"/>
    <w:qFormat/>
    <w:rPr>
      <w:rFonts w:ascii="楷体_GB2312" w:hAnsi="Arial" w:eastAsia="楷体_GB2312"/>
      <w:sz w:val="28"/>
      <w:szCs w:val="20"/>
    </w:rPr>
  </w:style>
  <w:style w:type="paragraph" w:styleId="1375" w:customStyle="1">
    <w:name w:val="正文1"/>
    <w:basedOn w:val="1147"/>
    <w:uiPriority w:val="0"/>
    <w:qFormat/>
    <w:pPr>
      <w:jc w:val="left"/>
      <w:spacing w:before="156" w:line="360" w:lineRule="auto"/>
    </w:pPr>
    <w:rPr>
      <w:rFonts w:ascii="华文楷体" w:hAnsi="Times New Roman" w:eastAsia="宋体" w:cs="Times New Roman"/>
      <w:sz w:val="24"/>
      <w:szCs w:val="20"/>
    </w:r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0ae48e71-4491-4505-9816-85e98f357121</errorID>
      <errorWord>JSZC-321202-JWPG-C2026-0002</errorWord>
      <group>L1_AI</group>
      <groupName>深度校对</groupName>
      <ability>L2_AI_Punc</ability>
      <abilityName>标点纠错</abilityName>
      <candidateList>
        <item>（JSZC-321202-JWPG-C2026-0002）</item>
      </candidateList>
      <explain/>
      <paraID> E4C2F3F</paraID>
      <start>13</start>
      <end>40</end>
      <status>unmodified</status>
      <modifiedWord/>
      <trackRevisions>false</trackRevisions>
    </reviewItem>
    <reviewItem>
      <errorID>b955b650-ebb7-4fad-8e99-be04ff7e4b06</errorID>
      <errorWord>，</errorWord>
      <group>L1_Word</group>
      <groupName>字词问题</groupName>
      <ability>L2_Typo</ability>
      <abilityName>字词错误</abilityName>
      <candidateList>
        <item>，可</item>
      </candidateList>
      <explain/>
      <paraID>3C76CE39</paraID>
      <start>25</start>
      <end>26</end>
      <status>unmodified</status>
      <modifiedWord/>
      <trackRevisions>false</trackRevisions>
    </reviewItem>
    <reviewItem>
      <errorID>f98a9933-84e8-4e1f-b968-89ff8486a9f3</errorID>
      <errorWord>间</errorWord>
      <group>L1_Word</group>
      <groupName>字词问题</groupName>
      <ability>L2_Typo</ability>
      <abilityName>字词错误</abilityName>
      <candidateList>
        <item>间之</item>
      </candidateList>
      <explain/>
      <paraID>16BE8EEF</paraID>
      <start>13</start>
      <end>14</end>
      <status>unmodified</status>
      <modifiedWord/>
      <trackRevisions>false</trackRevisions>
    </reviewItem>
    <reviewItem>
      <errorID>b54f2f14-19f9-4c28-9267-40e017d1e8ff</errorID>
      <errorWord>通过</errorWord>
      <group>L1_AI</group>
      <groupName>深度校对</groupName>
      <ability>L2_AI_Word</ability>
      <abilityName>字词纠错</abilityName>
      <candidateList>
        <item>应通过</item>
      </candidateList>
      <explain/>
      <paraID>7434C684</paraID>
      <start>32</start>
      <end>34</end>
      <status>unmodified</status>
      <modifiedWord/>
      <trackRevisions>false</trackRevisions>
    </reviewItem>
    <reviewItem>
      <errorID>b3a40acf-4519-42d3-9d47-68e30a920429</errorID>
      <errorWord>采购</errorWord>
      <group>L1_AI</group>
      <groupName>深度校对</groupName>
      <ability>L2_AI_Punc</ability>
      <abilityName>标点纠错</abilityName>
      <candidateList>
        <item>，采购</item>
      </candidateList>
      <explain/>
      <paraID>7434C684</paraID>
      <start>120</start>
      <end>123</end>
      <status>modified</status>
      <modifiedWord>，采购</modifiedWord>
      <trackRevisions>false</trackRevisions>
    </reviewItem>
    <reviewItem>
      <errorID>4163e44b-a611-4248-972c-3b575f684d7d</errorID>
      <errorWord>“.</errorWord>
      <group>L1_Punc</group>
      <groupName>标点问题</groupName>
      <ability>L2_Punc</ability>
      <abilityName>标点符号检查</abilityName>
      <candidateList>
        <item>“</item>
      </candidateList>
      <explain/>
      <paraID>7434C684</paraID>
      <start>191</start>
      <end>193</end>
      <status>unmodified</status>
      <modifiedWord/>
      <trackRevisions>false</trackRevisions>
    </reviewItem>
    <reviewItem>
      <errorID>ee7d6afe-1439-4dca-9992-972238c6e718</errorID>
      <errorWord>由于</errorWord>
      <group>L1_AI</group>
      <groupName>深度校对</groupName>
      <ability>L2_AI_Word</ability>
      <abilityName>字词纠错</abilityName>
      <candidateList>
        <item>因</item>
      </candidateList>
      <explain/>
      <paraID>27B0A30D</paraID>
      <start>40</start>
      <end>41</end>
      <status>modified</status>
      <modifiedWord>因</modifiedWord>
      <trackRevisions>false</trackRevisions>
    </reviewItem>
    <reviewItem>
      <errorID>8b302104-a5e5-4354-a6f8-d3034014c8ae</errorID>
      <errorWord>采购</errorWord>
      <group>L1_AI</group>
      <groupName>深度校对</groupName>
      <ability>L2_AI_Word</ability>
      <abilityName>字词纠错</abilityName>
      <candidateList>
        <item>因采购</item>
      </candidateList>
      <explain/>
      <paraID>27B0A30D</paraID>
      <start>57</start>
      <end>60</end>
      <status>modified</status>
      <modifiedWord>因采购</modifiedWord>
      <trackRevisions>false</trackRevisions>
    </reviewItem>
    <reviewItem>
      <errorID>61ec20aa-a22d-45e3-8553-7f431084cf95</errorID>
      <errorWord>响应</errorWord>
      <group>L1_AI</group>
      <groupName>深度校对</groupName>
      <ability>L2_AI_Word</ability>
      <abilityName>字词纠错</abilityName>
      <candidateList>
        <item> 响应</item>
      </candidateList>
      <explain/>
      <paraID>4DC3A029</paraID>
      <start>2</start>
      <end>5</end>
      <status>modified</status>
      <modifiedWord> 响应</modifiedWord>
      <trackRevisions>false</trackRevisions>
    </reviewItem>
    <reviewItem>
      <errorID>abfd195b-9dce-471e-9854-67e4af00337f</errorID>
      <errorWord>供应商</errorWord>
      <group>L1_AI</group>
      <groupName>深度校对</groupName>
      <ability>L2_AI_Word</ability>
      <abilityName>字词纠错</abilityName>
      <candidateList>
        <item> 供应商</item>
      </candidateList>
      <explain/>
      <paraID>64E426AD</paraID>
      <start>3</start>
      <end>7</end>
      <status>modified</status>
      <modifiedWord> 供应商</modifiedWord>
      <trackRevisions>false</trackRevisions>
    </reviewItem>
    <reviewItem>
      <errorID>43008356-ca50-4304-ac0d-467ba3ed39dd</errorID>
      <errorWord>均</errorWord>
      <group>L1_AI</group>
      <groupName>深度校对</groupName>
      <ability>L2_AI_Punc</ability>
      <abilityName>标点纠错</abilityName>
      <candidateList>
        <item>，均</item>
      </candidateList>
      <explain/>
      <paraID>64E426AD</paraID>
      <start>48</start>
      <end>49</end>
      <status>unmodified</status>
      <modifiedWord/>
      <trackRevisions>false</trackRevisions>
    </reviewItem>
    <reviewItem>
      <errorID>e58e7072-8fec-4bed-a79a-8383b61ef14c</errorID>
      <errorWord>除</errorWord>
      <group>L1_AI</group>
      <groupName>深度校对</groupName>
      <ability>L2_AI_Word</ability>
      <abilityName>字词纠错</abilityName>
      <candidateList>
        <item> 除</item>
      </candidateList>
      <explain/>
      <paraID>1FAC9643</paraID>
      <start>3</start>
      <end>5</end>
      <status>modified</status>
      <modifiedWord> 除</modifiedWord>
      <trackRevisions>false</trackRevisions>
    </reviewItem>
    <reviewItem>
      <errorID>1b03a6bd-622b-44ed-bfe3-b08fed4302d6</errorID>
      <errorWord>响应</errorWord>
      <group>L1_AI</group>
      <groupName>深度校对</groupName>
      <ability>L2_AI_Word</ability>
      <abilityName>字词纠错</abilityName>
      <candidateList>
        <item> 响应</item>
      </candidateList>
      <explain/>
      <paraID>3B0D52E5</paraID>
      <start>2</start>
      <end>5</end>
      <status>modified</status>
      <modifiedWord> 响应</modifiedWord>
      <trackRevisions>false</trackRevisions>
    </reviewItem>
    <reviewItem>
      <errorID>f33e1efe-156a-46a8-aa36-585ea477fcdb</errorID>
      <errorWord>供应商</errorWord>
      <group>L1_AI</group>
      <groupName>深度校对</groupName>
      <ability>L2_AI_Word</ability>
      <abilityName>字词纠错</abilityName>
      <candidateList>
        <item> 供应商</item>
      </candidateList>
      <explain/>
      <paraID> 931EAC5</paraID>
      <start>3</start>
      <end>7</end>
      <status>modified</status>
      <modifiedWord> 供应商</modifiedWord>
      <trackRevisions>false</trackRevisions>
    </reviewItem>
    <reviewItem>
      <errorID>bb8c8e0a-680d-4474-8038-f78e7aea8541</errorID>
      <errorWord>磋商</errorWord>
      <group>L1_AI</group>
      <groupName>深度校对</groupName>
      <ability>L2_AI_Word</ability>
      <abilityName>字词纠错</abilityName>
      <candidateList>
        <item> 磋商</item>
      </candidateList>
      <explain/>
      <paraID>5B08374B</paraID>
      <start>2</start>
      <end>5</end>
      <status>modified</status>
      <modifiedWord> 磋商</modifiedWord>
      <trackRevisions>false</trackRevisions>
    </reviewItem>
    <reviewItem>
      <errorID>89a64735-f3b6-43b3-9a8d-ff4a98f5fbc9</errorID>
      <errorWord>磋商</errorWord>
      <group>L1_AI</group>
      <groupName>深度校对</groupName>
      <ability>L2_AI_Word</ability>
      <abilityName>字词纠错</abilityName>
      <candidateList>
        <item> 磋商</item>
      </candidateList>
      <explain/>
      <paraID>653E2D22</paraID>
      <start>3</start>
      <end>6</end>
      <status>modified</status>
      <modifiedWord> 磋商</modifiedWord>
      <trackRevisions>false</trackRevisions>
    </reviewItem>
    <reviewItem>
      <errorID>b6f2fcde-80f8-4981-89f2-e46419c9dfc9</errorID>
      <errorWord>标的物</errorWord>
      <group>L1_AI</group>
      <groupName>深度校对</groupName>
      <ability>L2_AI_Word</ability>
      <abilityName>字词纠错</abilityName>
      <candidateList>
        <item> 标的物</item>
      </candidateList>
      <explain/>
      <paraID>1D5658FB</paraID>
      <start>3</start>
      <end>7</end>
      <status>modified</status>
      <modifiedWord> 标的物</modifiedWord>
      <trackRevisions>false</trackRevisions>
    </reviewItem>
    <reviewItem>
      <errorID>4a9283dd-6ce6-4fd6-ae6d-0d8c2bf28ec7</errorID>
      <errorWord>有关</errorWord>
      <group>L1_AI</group>
      <groupName>深度校对</groupName>
      <ability>L2_AI_Word</ability>
      <abilityName>字词纠错</abilityName>
      <candidateList>
        <item> 有关</item>
      </candidateList>
      <explain/>
      <paraID>6543DF3A</paraID>
      <start>3</start>
      <end>6</end>
      <status>modified</status>
      <modifiedWord> 有关</modifiedWord>
      <trackRevisions>false</trackRevisions>
    </reviewItem>
    <reviewItem>
      <errorID>a33be730-a20e-478f-a0da-64610d2909e6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F040F19</paraID>
      <start>20</start>
      <end>22</end>
      <status>unmodified</status>
      <modifiedWord/>
      <trackRevisions>false</trackRevisions>
    </reviewItem>
    <reviewItem>
      <errorID>ca91c91d-a34b-4ee4-a801-a245ec55a6b0</errorID>
      <errorWord>保持通讯畅通</errorWord>
      <group>L1_Word</group>
      <groupName>字词问题</groupName>
      <ability>L2_Typo</ability>
      <abilityName>字词错误</abilityName>
      <candidateList>
        <item>保持通信畅通</item>
      </candidateList>
      <explain/>
      <paraID>179A97A0</paraID>
      <start>14</start>
      <end>20</end>
      <status>unmodified</status>
      <modifiedWord/>
      <trackRevisions>false</trackRevisions>
    </reviewItem>
    <reviewItem>
      <errorID>4443dad0-ef76-4a86-a9e9-6599c88f608c</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433a5fc1-3a28-4be4-bbcc-4a5e8616d39f</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d1a0d7bf-82ce-4801-b614-a23213d543b6</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7e500dcc-69dd-4376-bd3b-b223599a05e1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6FC66A9F</paraID>
      <start>34</start>
      <end>35</end>
      <status>unmodified</status>
      <modifiedWord/>
      <trackRevisions>false</trackRevisions>
    </reviewItem>
    <reviewItem>
      <errorID>862ff194-9f59-47b1-9206-5807288f0600</errorID>
      <errorWord>，</errorWord>
      <group>L1_Word</group>
      <groupName>字词问题</groupName>
      <ability>L2_Typo</ability>
      <abilityName>字词错误</abilityName>
      <candidateList>
        <item>，在</item>
      </candidateList>
      <explain/>
      <paraID>748B902F</paraID>
      <start>19</start>
      <end>20</end>
      <status>unmodified</status>
      <modifiedWord/>
      <trackRevisions>false</trackRevisions>
    </reviewItem>
    <reviewItem>
      <errorID>09fa7761-0fe0-4ec1-88a7-69a49869a3c4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7D6A3D45</paraID>
      <start>43</start>
      <end>44</end>
      <status>unmodified</status>
      <modifiedWord/>
      <trackRevisions>false</trackRevisions>
    </reviewItem>
    <reviewItem>
      <errorID>07be39f6-e817-4730-967f-f17bdcb17170</errorID>
      <errorWord>》</errorWord>
      <group>L1_Word</group>
      <groupName>字词问题</groupName>
      <ability>L2_Typo</ability>
      <abilityName>字词错误</abilityName>
      <candidateList>
        <item>》和</item>
      </candidateList>
      <explain/>
      <paraID>2274EBD9</paraID>
      <start>15</start>
      <end>17</end>
      <status>modified</status>
      <modifiedWord>》和</modifiedWord>
      <trackRevisions>false</trackRevisions>
    </reviewItem>
    <reviewItem>
      <errorID>8fb20daf-8e4f-4242-b335-8c2891c9b210</errorID>
      <errorWord>(</errorWord>
      <group>L1_Format</group>
      <groupName>格式问题</groupName>
      <ability>L2_HalfPunc</ability>
      <abilityName>全半角检查</abilityName>
      <candidateList>
        <item>（</item>
      </candidateList>
      <explain>文本全半角错误。</explain>
      <paraID>59874DF6</paraID>
      <start>96</start>
      <end>97</end>
      <status>modified</status>
      <modifiedWord>（</modifiedWord>
      <trackRevisions>false</trackRevisions>
    </reviewItem>
    <reviewItem>
      <errorID>b561d40a-706c-4c67-93d9-56540a0ef9f3</errorID>
      <errorWord>)</errorWord>
      <group>L1_Format</group>
      <groupName>格式问题</groupName>
      <ability>L2_HalfPunc</ability>
      <abilityName>全半角检查</abilityName>
      <candidateList>
        <item>）</item>
      </candidateList>
      <explain>文本全半角错误。</explain>
      <paraID>59874DF6</paraID>
      <start>100</start>
      <end>101</end>
      <status>modified</status>
      <modifiedWord>）</modifiedWord>
      <trackRevisions>false</trackRevisions>
    </reviewItem>
    <reviewItem>
      <errorID>4af2058b-10bb-47d4-b9ce-ab144aa27025</errorID>
      <errorWord>(</errorWord>
      <group>L1_Format</group>
      <groupName>格式问题</groupName>
      <ability>L2_HalfPunc</ability>
      <abilityName>全半角检查</abilityName>
      <candidateList>
        <item>（</item>
      </candidateList>
      <explain>文本全半角错误。</explain>
      <paraID>210BABED</paraID>
      <start>2</start>
      <end>3</end>
      <status>modified</status>
      <modifiedWord>（</modifiedWord>
      <trackRevisions>false</trackRevisions>
    </reviewItem>
    <reviewItem>
      <errorID>eeceffc3-0d9d-4d39-8244-d833a0c98791</errorID>
      <errorWord>)</errorWord>
      <group>L1_Format</group>
      <groupName>格式问题</groupName>
      <ability>L2_HalfPunc</ability>
      <abilityName>全半角检查</abilityName>
      <candidateList>
        <item>）</item>
      </candidateList>
      <explain>文本全半角错误。</explain>
      <paraID>210BABED</paraID>
      <start>5</start>
      <end>6</end>
      <status>modified</status>
      <modifiedWord>）</modifiedWord>
      <trackRevisions>false</trackRevisions>
    </reviewItem>
    <reviewItem>
      <errorID>54994599-57b8-451d-ae3c-f55bdc0915b3</errorID>
      <errorWord>(</errorWord>
      <group>L1_Format</group>
      <groupName>格式问题</groupName>
      <ability>L2_HalfPunc</ability>
      <abilityName>全半角检查</abilityName>
      <candidateList>
        <item>（</item>
      </candidateList>
      <explain>文本全半角错误。</explain>
      <paraID>210BABED</paraID>
      <start>33</start>
      <end>34</end>
      <status>modified</status>
      <modifiedWord>（</modifiedWord>
      <trackRevisions>false</trackRevisions>
    </reviewItem>
    <reviewItem>
      <errorID>3e37b021-ea3b-4c3b-b238-53f61d1b12a0</errorID>
      <errorWord>)</errorWord>
      <group>L1_Format</group>
      <groupName>格式问题</groupName>
      <ability>L2_HalfPunc</ability>
      <abilityName>全半角检查</abilityName>
      <candidateList>
        <item>）</item>
      </candidateList>
      <explain>文本全半角错误。</explain>
      <paraID>210BABED</paraID>
      <start>36</start>
      <end>37</end>
      <status>modified</status>
      <modifiedWord>）</modifiedWord>
      <trackRevisions>false</trackRevisions>
    </reviewItem>
    <reviewItem>
      <errorID>3d9c995a-1e69-47d2-b225-a3b9a1965e59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209ACDED</paraID>
      <start>0</start>
      <end>2</end>
      <status>unmodified</status>
      <modifiedWord/>
      <trackRevisions>false</trackRevisions>
    </reviewItem>
    <reviewItem>
      <errorID>bf38e249-af54-47fa-b39c-1870beebf606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76C2AD6C</paraID>
      <start>0</start>
      <end>2</end>
      <status>unmodified</status>
      <modifiedWord/>
      <trackRevisions>false</trackRevisions>
    </reviewItem>
    <reviewItem>
      <errorID>77f06626-a3f4-45b2-b02f-08177df04bed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58003C00</paraID>
      <start>0</start>
      <end>2</end>
      <status>unmodified</status>
      <modifiedWord/>
      <trackRevisions>false</trackRevisions>
    </reviewItem>
    <reviewItem>
      <errorID>e722cdc7-fe22-475d-b3ee-590cd0b67a13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5593D4C1</paraID>
      <start>0</start>
      <end>2</end>
      <status>unmodified</status>
      <modifiedWord/>
      <trackRevisions>false</trackRevisions>
    </reviewItem>
    <reviewItem>
      <errorID>aad7d58e-7403-453d-bcba-372f76901b0b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27A56C05</paraID>
      <start>0</start>
      <end>2</end>
      <status>unmodified</status>
      <modifiedWord/>
      <trackRevisions>false</trackRevisions>
    </reviewItem>
    <reviewItem>
      <errorID>64e243e9-4130-45e5-989e-3b098c082c5e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56F5C784</paraID>
      <start>0</start>
      <end>2</end>
      <status>unmodified</status>
      <modifiedWord/>
      <trackRevisions>false</trackRevisions>
    </reviewItem>
    <reviewItem>
      <errorID>0e8467fa-e311-4c13-87ca-ed7722f70631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4D6E098</paraID>
      <start>0</start>
      <end>2</end>
      <status>unmodified</status>
      <modifiedWord/>
      <trackRevisions>false</trackRevisions>
    </reviewItem>
    <reviewItem>
      <errorID>1349647e-05d3-4e27-a922-0e4fc3c09bb6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13F62097</paraID>
      <start>0</start>
      <end>2</end>
      <status>unmodified</status>
      <modifiedWord/>
      <trackRevisions>false</trackRevisions>
    </reviewItem>
    <reviewItem>
      <errorID>68805232-a8d2-4ecd-aa92-60a9d4ec8eeb</errorID>
      <errorWord>(</errorWord>
      <group>L1_Format</group>
      <groupName>格式问题</groupName>
      <ability>L2_HalfPunc</ability>
      <abilityName>全半角检查</abilityName>
      <candidateList>
        <item>（</item>
      </candidateList>
      <explain>文本全半角错误。</explain>
      <paraID>1FF4D896</paraID>
      <start>80</start>
      <end>81</end>
      <status>modified</status>
      <modifiedWord>（</modifiedWord>
      <trackRevisions>false</trackRevisions>
    </reviewItem>
    <reviewItem>
      <errorID>1fa6bdc5-66cf-4635-b320-3439d86e358e</errorID>
      <errorWord>)</errorWord>
      <group>L1_Format</group>
      <groupName>格式问题</groupName>
      <ability>L2_HalfPunc</ability>
      <abilityName>全半角检查</abilityName>
      <candidateList>
        <item>）</item>
      </candidateList>
      <explain>文本全半角错误。</explain>
      <paraID>1FF4D896</paraID>
      <start>91</start>
      <end>92</end>
      <status>modified</status>
      <modifiedWord>）</modifiedWord>
      <trackRevisions>false</trackRevisions>
    </reviewItem>
    <reviewItem>
      <errorID>a5960cbb-4712-46f5-bfa3-ea1d4a89b397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3A45649</paraID>
      <start>0</start>
      <end>2</end>
      <status>unmodified</status>
      <modifiedWord/>
      <trackRevisions>false</trackRevisions>
    </reviewItem>
    <reviewItem>
      <errorID>f017d9b0-c7f4-4f28-9106-5438eeb4cce3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44DE3D6F</paraID>
      <start>0</start>
      <end>2</end>
      <status>unmodified</status>
      <modifiedWord/>
      <trackRevisions>false</trackRevisions>
    </reviewItem>
    <reviewItem>
      <errorID>500c69b4-ff2a-4ced-9895-8743e998af67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49ACA48D</paraID>
      <start>0</start>
      <end>2</end>
      <status>unmodified</status>
      <modifiedWord/>
      <trackRevisions>false</trackRevisions>
    </reviewItem>
    <reviewItem>
      <errorID>6d49460e-1d3b-4bab-bcc4-f37a8b4cb064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7F318099</paraID>
      <start>0</start>
      <end>2</end>
      <status>unmodified</status>
      <modifiedWord/>
      <trackRevisions>false</trackRevisions>
    </reviewItem>
    <reviewItem>
      <errorID>27f64495-7f65-45dc-9d2d-2c361f482083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291F6372</paraID>
      <start>0</start>
      <end>2</end>
      <status>unmodified</status>
      <modifiedWord/>
      <trackRevisions>false</trackRevisions>
    </reviewItem>
    <reviewItem>
      <errorID>3a82c666-0d62-4d9c-ae88-0c3b7a01d969</errorID>
      <errorWord>(</errorWord>
      <group>L1_Format</group>
      <groupName>格式问题</groupName>
      <ability>L2_HalfPunc</ability>
      <abilityName>全半角检查</abilityName>
      <candidateList>
        <item>（</item>
      </candidateList>
      <explain>文本全半角错误。</explain>
      <paraID>42A2CB66</paraID>
      <start>31</start>
      <end>32</end>
      <status>modified</status>
      <modifiedWord>（</modifiedWord>
      <trackRevisions>false</trackRevisions>
    </reviewItem>
    <reviewItem>
      <errorID>5392af16-a17e-4623-8452-b98805885d47</errorID>
      <errorWord>)</errorWord>
      <group>L1_Format</group>
      <groupName>格式问题</groupName>
      <ability>L2_HalfPunc</ability>
      <abilityName>全半角检查</abilityName>
      <candidateList>
        <item>）</item>
      </candidateList>
      <explain>文本全半角错误。</explain>
      <paraID>42A2CB66</paraID>
      <start>36</start>
      <end>37</end>
      <status>modified</status>
      <modifiedWord>）</modifiedWord>
      <trackRevisions>false</trackRevisions>
    </reviewItem>
    <reviewItem>
      <errorID>397fb093-8643-4b0c-aeb4-6a17c1c2aa76</errorID>
      <errorWord>(</errorWord>
      <group>L1_Format</group>
      <groupName>格式问题</groupName>
      <ability>L2_HalfPunc</ability>
      <abilityName>全半角检查</abilityName>
      <candidateList>
        <item>（</item>
      </candidateList>
      <explain>文本全半角错误。</explain>
      <paraID>180152DC</paraID>
      <start>54</start>
      <end>55</end>
      <status>modified</status>
      <modifiedWord>（</modifiedWord>
      <trackRevisions>false</trackRevisions>
    </reviewItem>
    <reviewItem>
      <errorID>846353cd-82ca-475c-8e17-5a6a73cc02c7</errorID>
      <errorWord>)</errorWord>
      <group>L1_Format</group>
      <groupName>格式问题</groupName>
      <ability>L2_HalfPunc</ability>
      <abilityName>全半角检查</abilityName>
      <candidateList>
        <item>）</item>
      </candidateList>
      <explain>文本全半角错误。</explain>
      <paraID>180152DC</paraID>
      <start>58</start>
      <end>59</end>
      <status>modified</status>
      <modifiedWord>）</modifiedWord>
      <trackRevisions>false</trackRevisions>
    </reviewItem>
    <reviewItem>
      <errorID>d3d35b65-4fd7-4e14-9e1f-637d2569fdc7</errorID>
      <errorWord>（</errorWord>
      <group>L1_Punc</group>
      <groupName>标点问题</groupName>
      <ability>L2_Punc</ability>
      <abilityName>标点符号检查</abilityName>
      <candidateList/>
      <explain>同一形式括号套用。</explain>
      <paraID>1544C7D5</paraID>
      <start>27</start>
      <end>28</end>
      <status>ignored</status>
      <modifiedWord/>
      <trackRevisions>false</trackRevisions>
    </reviewItem>
    <reviewItem>
      <errorID>1e9f8a26-42f1-485f-aa41-37dd17a72206</errorID>
      <errorWord>）</errorWord>
      <group>L1_Punc</group>
      <groupName>标点问题</groupName>
      <ability>L2_Punc</ability>
      <abilityName>标点符号检查</abilityName>
      <candidateList/>
      <explain>同一形式括号套用。</explain>
      <paraID>1544C7D5</paraID>
      <start>44</start>
      <end>45</end>
      <status>ignored</status>
      <modifiedWord/>
      <trackRevisions>false</trackRevisions>
    </reviewItem>
    <reviewItem>
      <errorID>5ece6edd-ceb0-463a-b870-13a66b0149b3</errorID>
      <errorWord>（</errorWord>
      <group>L1_Punc</group>
      <groupName>标点问题</groupName>
      <ability>L2_Punc</ability>
      <abilityName>标点符号检查</abilityName>
      <candidateList>
        <item/>
      </candidateList>
      <explain>同一形式括号套用。</explain>
      <paraID>6AD2C05A</paraID>
      <start>0</start>
      <end>0</end>
      <status>modified</status>
      <modifiedWord/>
      <trackRevisions>false</trackRevisions>
    </reviewItem>
    <reviewItem>
      <errorID>8d46f1e0-fa99-4a01-b376-51c25265f759</errorID>
      <errorWord>(</errorWord>
      <group>L1_Punc</group>
      <groupName>标点问题</groupName>
      <ability>L2_Punc</ability>
      <abilityName>标点符号检查</abilityName>
      <candidateList/>
      <explain>同一形式括号套用。</explain>
      <paraID>6AD2C05A</paraID>
      <start>18</start>
      <end>19</end>
      <status>ignored</status>
      <modifiedWord/>
      <trackRevisions>false</trackRevisions>
    </reviewItem>
    <reviewItem>
      <errorID>33d60c1f-3eaf-45f7-9f33-56490ccace90</errorID>
      <errorWord>)</errorWord>
      <group>L1_Punc</group>
      <groupName>标点问题</groupName>
      <ability>L2_Punc</ability>
      <abilityName>标点符号检查</abilityName>
      <candidateList/>
      <explain>同一形式括号套用。</explain>
      <paraID>6AD2C05A</paraID>
      <start>28</start>
      <end>29</end>
      <status>ignored</status>
      <modifiedWord/>
      <trackRevisions>false</trackRevisions>
    </reviewItem>
    <reviewItem>
      <errorID>7837e0fa-4388-4bd7-878b-4e54724a28b9</errorID>
      <errorWord>）</errorWord>
      <group>L1_Punc</group>
      <groupName>标点问题</groupName>
      <ability>L2_Punc</ability>
      <abilityName>标点符号检查</abilityName>
      <candidateList/>
      <explain>同一形式括号套用。</explain>
      <paraID>6AD2C05A</paraID>
      <start>43</start>
      <end>44</end>
      <status>unmodified</status>
      <modifiedWord/>
      <trackRevisions>false</trackRevisions>
    </reviewItem>
    <reviewItem>
      <errorID>0a00fca7-f7f8-463d-ba98-3897fbfca2bd</errorID>
      <errorWord>,</errorWord>
      <group>L1_Format</group>
      <groupName>格式问题</groupName>
      <ability>L2_HalfPunc</ability>
      <abilityName>全半角检查</abilityName>
      <candidateList>
        <item>，</item>
      </candidateList>
      <explain>文本全半角错误。</explain>
      <paraID>5B453936</paraID>
      <start>45</start>
      <end>46</end>
      <status>unmodified</status>
      <modifiedWord/>
      <trackRevisions>false</trackRevisions>
    </reviewItem>
    <reviewItem>
      <errorID>be81cd00-476d-43a1-81ff-42badfa5941d</errorID>
      <errorWord>(</errorWord>
      <group>L1_Format</group>
      <groupName>格式问题</groupName>
      <ability>L2_HalfPunc</ability>
      <abilityName>全半角检查</abilityName>
      <candidateList>
        <item>（</item>
      </candidateList>
      <explain>文本全半角错误。</explain>
      <paraID>506EC95B</paraID>
      <start>2</start>
      <end>3</end>
      <status>unmodified</status>
      <modifiedWord/>
      <trackRevisions>false</trackRevisions>
    </reviewItem>
    <reviewItem>
      <errorID>cb38b3c8-a1ce-472b-b25a-53af5ac49145</errorID>
      <errorWord>)</errorWord>
      <group>L1_Format</group>
      <groupName>格式问题</groupName>
      <ability>L2_HalfPunc</ability>
      <abilityName>全半角检查</abilityName>
      <candidateList>
        <item>）</item>
      </candidateList>
      <explain>文本全半角错误。</explain>
      <paraID>506EC95B</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Info spid="_x0000_s1025"/>
  </customShpExts>
</s:customData>
</file>

<file path=customXml/itemProps1.xml><?xml version="1.0" encoding="utf-8"?>
<ds:datastoreItem xmlns:ds="http://schemas.openxmlformats.org/officeDocument/2006/customXml" ds:itemID="{3E4B60D2-832C-4187-B32A-A6BB36C497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俞乃勤</cp:lastModifiedBy>
  <cp:revision>229</cp:revision>
  <dcterms:created xsi:type="dcterms:W3CDTF">2023-03-28T01:23:00Z</dcterms:created>
  <dcterms:modified xsi:type="dcterms:W3CDTF">2026-03-06T01:50:11Z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13964351B898434AAC93B880296D52E2_13</vt:lpwstr>
  </property>
  <property fmtid="{D5CDD505-2E9C-101B-9397-08002B2CF9AE}" pid="4" name="KSOTemplateDocerSaveRecord">
    <vt:lpwstr>eyJoZGlkIjoiYmFjZDFmOTY2MThjYzEwMzM2ZWI0ZmJhNjlkMzU2ODMiLCJ1c2VySWQiOiIxNDU5MTMxODE2In0=</vt:lpwstr>
  </property>
</Properties>
</file>