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4"/>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JSZC-320200-XWJC-G2026-0018</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无锡市人民医院全自动蒸汽灭菌器项目</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4"/>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20823272"/>
      <w:r/>
      <w:bookmarkStart w:id="2" w:name="_Toc16938516"/>
      <w:r/>
      <w:bookmarkStart w:id="3" w:name="_Toc523127445"/>
      <w:r/>
      <w:bookmarkStart w:id="4" w:name="_Toc479757206"/>
      <w:r/>
      <w:bookmarkStart w:id="5" w:name="_Toc513029200"/>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采购需求-------------------------------（33）</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评标方法与评标标准---------------------（41）</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无锡市人民医院全自动蒸汽灭菌器项目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JSZC-320200-XWJC-G2026-0018</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无锡市人民医院全自动蒸汽灭菌器项目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2026年3月20日13点30分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1"/>
        <w:keepLines w:val="0"/>
        <w:keepNext w:val="0"/>
        <w:spacing w:before="0" w:after="0" w:line="500" w:lineRule="exact"/>
        <w:rPr>
          <w:highlight w:val="white"/>
        </w:rPr>
      </w:pPr>
      <w:r>
        <w:rPr>
          <w:highlight w:val="white"/>
        </w:rPr>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JSZC-320200-XWJC-G2026-0018</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无锡市人民医院全自动蒸汽灭菌器项目</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160万元/2套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160万元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8985264"/>
      <w:r/>
      <w:bookmarkStart w:id="13" w:name="_Toc28359003"/>
      <w:r/>
      <w:bookmarkStart w:id="14" w:name="_Toc28359080"/>
      <w:r/>
      <w:bookmarkStart w:id="15" w:name="_Toc35393791"/>
      <w:r/>
      <w:bookmarkStart w:id="16" w:name="_Toc35393622"/>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3"/>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2026年3月20日13点30分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625"/>
      <w:r/>
      <w:bookmarkStart w:id="28" w:name="_Toc35393794"/>
      <w:r/>
      <w:bookmarkStart w:id="29" w:name="_Toc38985267"/>
      <w:r/>
      <w:bookmarkStart w:id="30" w:name="_Toc28359084"/>
      <w:r/>
      <w:bookmarkStart w:id="31" w:name="_Toc2835900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28359008"/>
      <w:r/>
      <w:bookmarkStart w:id="36" w:name="_Toc28359085"/>
      <w:r/>
      <w:bookmarkStart w:id="37" w:name="_Toc38985269"/>
      <w:r/>
      <w:bookmarkStart w:id="38" w:name="_Toc35393627"/>
      <w:r/>
      <w:bookmarkStart w:id="39" w:name="_Toc35393796"/>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20614214"/>
      <w:r/>
      <w:bookmarkStart w:id="48" w:name="_Toc16938519"/>
      <w:r/>
      <w:bookmarkStart w:id="49" w:name="_Toc513029203"/>
      <w:r/>
      <w:bookmarkStart w:id="50" w:name="_Toc20823275"/>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120614215"/>
      <w:r/>
      <w:bookmarkStart w:id="66" w:name="_Toc513029209"/>
      <w:r/>
      <w:bookmarkStart w:id="67" w:name="_Toc20823281"/>
      <w:r/>
      <w:bookmarkStart w:id="68" w:name="_Toc1693852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16938526"/>
      <w:r/>
      <w:bookmarkStart w:id="70" w:name="_Toc513029210"/>
      <w:r/>
      <w:bookmarkStart w:id="71" w:name="_Toc20823282"/>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513029211"/>
      <w:r/>
      <w:bookmarkStart w:id="73" w:name="_Toc462564070"/>
      <w:r/>
      <w:bookmarkStart w:id="74" w:name="_Toc20823283"/>
      <w:r/>
      <w:bookmarkStart w:id="75" w:name="_Toc16938527"/>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16938528"/>
      <w:r/>
      <w:bookmarkStart w:id="77" w:name="_Toc462564071"/>
      <w:r/>
      <w:bookmarkStart w:id="78" w:name="_Toc20823284"/>
      <w:r/>
      <w:bookmarkStart w:id="79" w:name="_Toc513029212"/>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20614216"/>
      <w:r/>
      <w:bookmarkStart w:id="81" w:name="_Toc462564072"/>
      <w:r/>
      <w:bookmarkStart w:id="82" w:name="_Toc16938529"/>
      <w:r/>
      <w:bookmarkStart w:id="83" w:name="_Toc20823285"/>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462564074"/>
      <w:r/>
      <w:bookmarkStart w:id="90" w:name="_Toc513029215"/>
      <w:r/>
      <w:bookmarkStart w:id="91" w:name="_Toc16938531"/>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6"/>
      <w:r/>
      <w:bookmarkStart w:id="98" w:name="_Toc513029219"/>
      <w:r/>
      <w:bookmarkStart w:id="99" w:name="_Toc49090507"/>
      <w:r/>
      <w:bookmarkStart w:id="100" w:name="_Toc49090509"/>
      <w:r/>
      <w:bookmarkStart w:id="101" w:name="_Toc14577354"/>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954844"/>
      <w:r/>
      <w:bookmarkEnd w:id="108"/>
      <w:r/>
      <w:bookmarkStart w:id="109" w:name="_Hlt26954846"/>
      <w:r/>
      <w:bookmarkEnd w:id="109"/>
      <w:r/>
      <w:bookmarkStart w:id="110" w:name="_Hlt26670425"/>
      <w:r/>
      <w:bookmarkEnd w:id="110"/>
      <w:r/>
      <w:bookmarkStart w:id="111" w:name="_Hlt26670486"/>
      <w:r/>
      <w:bookmarkEnd w:id="111"/>
      <w:r/>
      <w:bookmarkStart w:id="112" w:name="_Hlt26954842"/>
      <w:r/>
      <w:bookmarkEnd w:id="112"/>
      <w:r/>
      <w:bookmarkStart w:id="113" w:name="_Hlt26668983"/>
      <w:r/>
      <w:bookmarkEnd w:id="113"/>
      <w:r/>
      <w:bookmarkStart w:id="114" w:name="_Hlt26670482"/>
      <w:r/>
      <w:bookmarkEnd w:id="114"/>
      <w:r/>
      <w:bookmarkStart w:id="115" w:name="_Hlt26954848"/>
      <w:r/>
      <w:bookmarkEnd w:id="115"/>
      <w:r/>
      <w:bookmarkStart w:id="116" w:name="_Hlt26954731"/>
      <w:r/>
      <w:bookmarkEnd w:id="116"/>
      <w:r/>
      <w:bookmarkStart w:id="117" w:name="_Hlt26670403"/>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20823297"/>
      <w:r/>
      <w:bookmarkStart w:id="130" w:name="_Toc462564084"/>
      <w:r/>
      <w:bookmarkStart w:id="131" w:name="_Toc513029225"/>
      <w:r/>
      <w:bookmarkStart w:id="132" w:name="_Toc16938541"/>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16938542"/>
      <w:r/>
      <w:bookmarkStart w:id="134" w:name="_Toc513029226"/>
      <w:r/>
      <w:bookmarkStart w:id="135" w:name="_Toc2082329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20823299"/>
      <w:r/>
      <w:bookmarkStart w:id="137" w:name="_Toc513029227"/>
      <w:r/>
      <w:bookmarkStart w:id="138" w:name="_Toc16938543"/>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20614218"/>
      <w:r/>
      <w:bookmarkStart w:id="143" w:name="_Toc16938545"/>
      <w:r/>
      <w:bookmarkStart w:id="144" w:name="_Toc20823301"/>
      <w:r/>
      <w:bookmarkStart w:id="145" w:name="_Toc513029229"/>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16938548"/>
      <w:r/>
      <w:bookmarkStart w:id="153" w:name="_Toc20823304"/>
      <w:r/>
      <w:bookmarkStart w:id="154" w:name="_Toc513029232"/>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513029233"/>
      <w:r/>
      <w:bookmarkStart w:id="156" w:name="_Toc16938549"/>
      <w:r/>
      <w:bookmarkStart w:id="157" w:name="_Toc20823305"/>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58" w:name="_Toc20823306"/>
      <w:r/>
      <w:bookmarkStart w:id="159" w:name="_Toc513029234"/>
      <w:r/>
      <w:bookmarkStart w:id="160" w:name="_Toc16938550"/>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16938551"/>
      <w:r/>
      <w:bookmarkStart w:id="162" w:name="_Toc513029235"/>
      <w:r/>
      <w:bookmarkStart w:id="163" w:name="_Toc20823307"/>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120614220"/>
      <w:r/>
      <w:bookmarkStart w:id="170" w:name="_Toc513029236"/>
      <w:r/>
      <w:bookmarkStart w:id="171" w:name="_Toc20823308"/>
      <w:r/>
      <w:bookmarkStart w:id="172"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3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20823314"/>
      <w:r/>
      <w:bookmarkStart w:id="177" w:name="_Toc513029242"/>
      <w:r/>
      <w:bookmarkStart w:id="178" w:name="_Toc120614221"/>
      <w:r/>
      <w:bookmarkStart w:id="179" w:name="_Toc16938558"/>
      <w:r/>
      <w:bookmarkStart w:id="180" w:name="_Toc479757207"/>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rPr>
      </w:pPr>
      <w:r/>
      <w:bookmarkStart w:id="181" w:name="_Hlt16619350"/>
      <w:r/>
      <w:bookmarkStart w:id="182" w:name="_Toc20823346"/>
      <w:r/>
      <w:bookmarkStart w:id="183" w:name="_Toc16938590"/>
      <w:r/>
      <w:bookmarkStart w:id="184" w:name="_Toc120614244"/>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无锡市卫生健康综合服务中心</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r>
    </w:tbl>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lang w:eastAsia="zh-CN"/>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lang w:eastAsia="zh-CN"/>
        </w:rPr>
        <w:t xml:space="preserve">给予</w:t>
      </w:r>
      <w:r>
        <w:rPr>
          <w:rFonts w:ascii="宋体" w:hAnsi="宋体" w:cs="Courier New"/>
          <w:color w:val="000000"/>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rPr>
      </w:pPr>
      <w:r>
        <w:rPr>
          <w:rFonts w:ascii="宋体" w:hAnsi="宋体" w:cs="Courier New"/>
          <w:color w:val="000000"/>
          <w:sz w:val="24"/>
        </w:rPr>
        <w:t xml:space="preserve">6.1乙方交纳</w:t>
      </w:r>
      <w:r>
        <w:rPr>
          <w:rFonts w:hint="eastAsia" w:ascii="宋体" w:hAnsi="宋体" w:cs="Courier New"/>
          <w:color w:val="000000"/>
          <w:sz w:val="24"/>
        </w:rPr>
        <w:t xml:space="preserve">合同金额的10%</w:t>
      </w:r>
      <w:r>
        <w:rPr>
          <w:rFonts w:ascii="宋体" w:hAnsi="宋体" w:cs="Courier New"/>
          <w:color w:val="000000"/>
          <w:sz w:val="24"/>
        </w:rPr>
        <w:t xml:space="preserve">作为本合同的履约保证金。</w:t>
      </w:r>
      <w:r/>
    </w:p>
    <w:p>
      <w:pPr>
        <w:pStyle w:val="733"/>
        <w:ind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6.1.1履约保证金缴纳时间:合同生效后进行缴纳。</w:t>
      </w:r>
      <w:r/>
    </w:p>
    <w:p>
      <w:pPr>
        <w:pStyle w:val="733"/>
        <w:ind w:left="0"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6.1.2缴纳形式:银行保函等非现金形式缴纳。</w:t>
      </w:r>
      <w:r/>
    </w:p>
    <w:p>
      <w:pPr>
        <w:ind w:firstLine="480"/>
        <w:spacing w:line="400" w:lineRule="exact"/>
        <w:rPr>
          <w:rFonts w:ascii="宋体" w:hAnsi="宋体" w:eastAsia="宋体" w:cs="Courier New"/>
          <w:color w:val="000000"/>
          <w:sz w:val="24"/>
        </w:rPr>
      </w:pPr>
      <w:r>
        <w:rPr>
          <w:rFonts w:hint="eastAsia" w:ascii="宋体" w:hAnsi="宋体" w:cs="Courier New"/>
          <w:color w:val="000000"/>
          <w:sz w:val="24"/>
        </w:rPr>
        <w:t xml:space="preserve">6.2合同履行结束后，甲方</w:t>
      </w:r>
      <w:r>
        <w:rPr>
          <w:rFonts w:hint="eastAsia" w:ascii="宋体" w:hAnsi="宋体" w:eastAsia="宋体" w:cs="Courier New"/>
          <w:color w:val="000000"/>
          <w:sz w:val="24"/>
        </w:rPr>
        <w:t xml:space="preserve">应及时退还交纳的履约保证金。</w:t>
      </w:r>
      <w:r/>
    </w:p>
    <w:p>
      <w:pPr>
        <w:ind w:firstLine="480"/>
        <w:spacing w:line="400" w:lineRule="exact"/>
        <w:rPr>
          <w:rFonts w:hint="eastAsia" w:ascii="宋体" w:hAnsi="宋体" w:eastAsia="宋体" w:cs="Courier New"/>
          <w:color w:val="000000"/>
          <w:sz w:val="24"/>
          <w:lang w:eastAsia="zh-CN"/>
        </w:rPr>
      </w:pPr>
      <w:r>
        <w:rPr>
          <w:rFonts w:hint="eastAsia" w:ascii="宋体" w:hAnsi="宋体" w:eastAsia="宋体" w:cs="Courier New"/>
          <w:color w:val="000000"/>
          <w:sz w:val="24"/>
        </w:rPr>
        <w:t xml:space="preserve">6.2.1履约保证金退还方式：履约保函到期自动失效</w:t>
      </w:r>
      <w:r>
        <w:rPr>
          <w:rFonts w:hint="eastAsia" w:ascii="宋体" w:hAnsi="宋体" w:eastAsia="宋体" w:cs="Courier New"/>
          <w:color w:val="000000"/>
          <w:sz w:val="24"/>
          <w:lang w:eastAsia="zh-CN"/>
        </w:rPr>
        <w:t xml:space="preserve">。</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6.2.2履约保证金退还时间及条件：根据中标合同约定，待中标人履行完合同约定权利义务事项后退还。</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6.2.3履约保证金不予退还的情形：</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①由于供方的原因不能履约的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②在履行合同期间发生重大安全事故，给需方造成不良影响和严重经济损失的。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6.2.4逾期退还履约保证金的违约责任：承担约保证金金额千分之二/天的违约金。</w:t>
      </w:r>
      <w:r/>
    </w:p>
    <w:p>
      <w:pPr>
        <w:ind w:firstLine="480"/>
        <w:spacing w:line="400" w:lineRule="exact"/>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lang w:val="en-US" w:eastAsia="zh-CN"/>
        </w:rPr>
        <w:t xml:space="preserve">6.2.5乙方向甲方支付赔偿金或违约金的，甲方有权在应付款或履约保证金中直接扣除。</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pPr>
      <w:r>
        <w:rPr>
          <w:rFonts w:hint="eastAsia" w:ascii="宋体" w:hAnsi="宋体"/>
          <w:color w:val="000000"/>
          <w:sz w:val="24"/>
          <w:szCs w:val="24"/>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如果中标人为中小企业，按《保障中小企业款项支付条例》(国令第 802 号) 及政府采购相关规定执行。</w:t>
      </w:r>
      <w:r>
        <w:rPr>
          <w:rFonts w:hint="eastAsia" w:ascii="宋体" w:hAnsi="宋体"/>
          <w:color w:val="000000"/>
          <w:sz w:val="24"/>
          <w:szCs w:val="24"/>
          <w:lang w:eastAsia="zh-CN"/>
        </w:rPr>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维修配件</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折提供</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保修费用为</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元/年.台</w:t>
      </w:r>
      <w:r/>
    </w:p>
    <w:p>
      <w:pPr>
        <w:ind w:firstLine="480"/>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rPr>
        <w:t xml:space="preserve">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p>
    <w:p>
      <w:pPr>
        <w:pStyle w:val="753"/>
        <w:rPr>
          <w:b/>
          <w:bCs/>
          <w:color w:val="auto"/>
        </w:rPr>
      </w:pPr>
      <w:r>
        <w:rPr>
          <w:rFonts w:hint="eastAsia" w:ascii="宋体" w:hAnsi="宋体" w:eastAsia="宋体" w:cs="宋体"/>
          <w:b/>
          <w:bCs/>
          <w:i w:val="0"/>
          <w:iCs w:val="0"/>
          <w:color w:val="auto"/>
          <w:sz w:val="24"/>
          <w:szCs w:val="24"/>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.1甲方无正当理由拒收货物的，甲方向乙方偿付拒收货款总值</w:t>
      </w:r>
      <w:r>
        <w:rPr>
          <w:rFonts w:hint="eastAsia" w:ascii="宋体" w:hAnsi="宋体" w:cs="Courier New"/>
          <w:color w:val="000000"/>
          <w:sz w:val="24"/>
          <w:szCs w:val="24"/>
          <w:u w:val="none"/>
          <w:lang w:val="en-US" w:eastAsia="zh-CN"/>
        </w:rPr>
        <w:t xml:space="preserve">10%</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lang w:val="en-US" w:eastAsia="zh-CN"/>
        </w:rPr>
        <w:t xml:space="preserve">万分之一</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w:t>
      </w:r>
      <w:r>
        <w:rPr>
          <w:rFonts w:hint="eastAsia" w:ascii="宋体" w:hAnsi="宋体" w:cs="Courier New"/>
          <w:color w:val="000000"/>
          <w:sz w:val="24"/>
          <w:szCs w:val="24"/>
          <w:lang w:val="en-US" w:eastAsia="zh-CN"/>
        </w:rPr>
        <w:t xml:space="preserve">一</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13.6保证半年之内</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省内同配置</w:t>
      </w:r>
      <w:r>
        <w:rPr>
          <w:rFonts w:hint="eastAsia" w:ascii="宋体" w:hAnsi="宋体" w:eastAsia="宋体" w:cs="宋体"/>
          <w:b w:val="0"/>
          <w:bCs w:val="0"/>
          <w:sz w:val="24"/>
          <w:szCs w:val="24"/>
        </w:rPr>
        <w:t xml:space="preserve">项目成交价</w:t>
      </w:r>
      <w:r>
        <w:rPr>
          <w:rFonts w:hint="eastAsia" w:ascii="宋体" w:hAnsi="宋体" w:eastAsia="宋体" w:cs="宋体"/>
          <w:b w:val="0"/>
          <w:bCs w:val="0"/>
          <w:sz w:val="24"/>
          <w:szCs w:val="24"/>
          <w:lang w:val="en-US" w:eastAsia="zh-CN"/>
        </w:rPr>
        <w:t xml:space="preserve">无低于本项目成交</w:t>
      </w:r>
      <w:r>
        <w:rPr>
          <w:rFonts w:hint="eastAsia" w:ascii="宋体" w:hAnsi="宋体" w:eastAsia="宋体" w:cs="宋体"/>
          <w:b w:val="0"/>
          <w:bCs w:val="0"/>
          <w:sz w:val="24"/>
          <w:szCs w:val="24"/>
        </w:rPr>
        <w:t xml:space="preserve">价，如有违约从尾款中扣除差价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如差价大于未付款额度，乙方按差额补足退回至甲方账户或双方协商解决。</w:t>
      </w:r>
      <w:r/>
    </w:p>
    <w:p>
      <w:pPr>
        <w:pStyle w:val="753"/>
        <w:rPr>
          <w:b w:val="0"/>
          <w:bCs w:val="0"/>
        </w:rPr>
      </w:pPr>
      <w:r>
        <w:rPr>
          <w:rFonts w:hint="eastAsia" w:ascii="宋体" w:hAnsi="宋体" w:eastAsia="宋体" w:cs="宋体"/>
          <w:b w:val="0"/>
          <w:bCs w:val="0"/>
          <w:sz w:val="24"/>
          <w:szCs w:val="24"/>
        </w:rPr>
        <w:t xml:space="preserve">13.7如果</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方在合同履行完毕之前破产或无清偿能力，</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可在任何时候以书面形式通知</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方，提出解除合同。该终止合同将不损害或影响</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已经采取或将要采取的任何行动或补救措施的权利。</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中华人民共和国民法典》《中华人民共和国政府采购法</w:t>
      </w:r>
      <w:r>
        <w:rPr>
          <w:rFonts w:hint="eastAsia" w:ascii="宋体" w:hAnsi="宋体" w:cs="Courier New"/>
          <w:color w:val="000000"/>
          <w:sz w:val="24"/>
          <w:szCs w:val="24"/>
        </w:rPr>
        <w:t xml:space="preserve">》</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本合同正本</w:t>
      </w:r>
      <w:r>
        <w:rPr>
          <w:rFonts w:hint="eastAsia" w:ascii="宋体" w:hAnsi="宋体" w:cs="Courier New"/>
          <w:color w:val="000000"/>
          <w:sz w:val="24"/>
          <w:szCs w:val="24"/>
          <w:lang w:eastAsia="zh-CN"/>
        </w:rPr>
        <w:t xml:space="preserve">一式四份</w:t>
      </w:r>
      <w:r>
        <w:rPr>
          <w:rFonts w:ascii="宋体" w:hAnsi="宋体" w:cs="Courier New"/>
          <w:color w:val="000000"/>
          <w:sz w:val="24"/>
          <w:szCs w:val="24"/>
        </w:rPr>
        <w:t xml:space="preserve">，具有同等法律效力，甲</w:t>
      </w:r>
      <w:r>
        <w:rPr>
          <w:rFonts w:hint="eastAsia" w:ascii="宋体" w:hAnsi="宋体" w:cs="Courier New"/>
          <w:color w:val="000000"/>
          <w:sz w:val="24"/>
          <w:szCs w:val="24"/>
        </w:rPr>
        <w:t xml:space="preserve">方</w:t>
      </w:r>
      <w:r>
        <w:rPr>
          <w:rFonts w:hint="eastAsia" w:ascii="宋体" w:hAnsi="宋体" w:cs="Courier New"/>
          <w:color w:val="000000"/>
          <w:sz w:val="24"/>
          <w:szCs w:val="24"/>
          <w:lang w:val="en-US" w:eastAsia="zh-CN"/>
        </w:rPr>
        <w:t xml:space="preserve">叁份</w:t>
      </w:r>
      <w:r>
        <w:rPr>
          <w:rFonts w:hint="eastAsia" w:ascii="宋体" w:hAnsi="宋体" w:cs="Courier New"/>
          <w:color w:val="000000"/>
          <w:sz w:val="24"/>
          <w:szCs w:val="24"/>
        </w:rPr>
        <w:t xml:space="preserve">、</w:t>
      </w: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壹</w:t>
      </w:r>
      <w:r>
        <w:rPr>
          <w:rFonts w:ascii="宋体" w:hAnsi="宋体" w:cs="Courier New"/>
          <w:color w:val="000000"/>
          <w:sz w:val="24"/>
          <w:szCs w:val="24"/>
        </w:rPr>
        <w:t xml:space="preserve">份。</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十七、合同附件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rPr>
        <w:t xml:space="preserve">17.2药品、器械采供廉政协议书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r>
        <w:rPr>
          <w:rFonts w:hint="eastAsia"/>
          <w:b/>
          <w:bCs/>
          <w:sz w:val="32"/>
          <w:highlight w:val="whit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5" w:name="_Toc49090575"/>
      <w:r/>
      <w:bookmarkStart w:id="186" w:name="_Toc26554093"/>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全自动蒸汽灭菌器</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8"/>
        <w:gridCol w:w="6943"/>
        <w:gridCol w:w="819"/>
      </w:tblGrid>
      <w:tr>
        <w:trPr>
          <w:trHeight w:val="285"/>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技术参数及配置清单</w:t>
            </w:r>
            <w:r/>
          </w:p>
        </w:tc>
      </w:tr>
      <w:tr>
        <w:trPr>
          <w:trHeight w:val="4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项目名称：全自动蒸汽灭菌器</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数量：2台，预算：160</w:t>
            </w:r>
            <w:r>
              <w:rPr>
                <w:rFonts w:hint="eastAsia" w:ascii="宋体" w:hAnsi="宋体" w:cs="宋体"/>
                <w:b/>
                <w:bCs/>
                <w:i w:val="0"/>
                <w:iCs w:val="0"/>
                <w:color w:val="000000"/>
                <w:sz w:val="24"/>
                <w:szCs w:val="24"/>
                <w:u w:val="none"/>
                <w:lang w:val="en-US" w:eastAsia="zh-CN" w:bidi="ar"/>
              </w:rPr>
              <w:t xml:space="preserve">万元</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适用范围：全自动蒸汽灭菌器适用于医疗机构对医疗器械、敷料等耐高温高湿物品进行灭菌处理。</w:t>
            </w:r>
            <w:r/>
          </w:p>
        </w:tc>
      </w:tr>
      <w:tr>
        <w:trPr>
          <w:trHeight w:val="39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配置清单（单台）：</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压力蒸汽灭菌器（主机）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r>
      <w:tr>
        <w:trPr>
          <w:trHeight w:val="37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内置式数据采集打印系统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灭菌器篮筐导轨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装卸载车（带推送器）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标准灭菌篮筐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灭菌数据监控管理系统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备用全套压力表、安全阀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r>
      <w:tr>
        <w:trPr>
          <w:trHeight w:val="44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主要技术参数及要求</w:t>
            </w:r>
            <w:r/>
          </w:p>
        </w:tc>
      </w:tr>
      <w:tr>
        <w:trPr>
          <w:trHeight w:val="1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单台处理量：腔体有效容积≥750升（有效是指腔体内方形有效部分的容积，并说明尺寸）；纯篮筐装载方式，单次可装载≥12个灭菌篮筐（≥585×395×195mm）。投标时提供装载实例照片。</w:t>
            </w:r>
            <w:r/>
          </w:p>
        </w:tc>
      </w:tr>
      <w:tr>
        <w:trPr>
          <w:trHeight w:val="29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灭菌性能（即主要杀菌因子及其强度）要求：以蒸汽作为灭菌因子，设定温度为（132℃-134℃），灭菌时间＜5分钟。</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控制系统与监控系统相互独立：灭菌输出记录上须有两个系统独立的数据。所有过程数据打印在一份打印报告上。</w:t>
            </w:r>
            <w:r/>
          </w:p>
        </w:tc>
      </w:tr>
      <w:tr>
        <w:trPr>
          <w:trHeight w:val="2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报警：当灭菌程序发生异常时，系统会进入报警期，并且自动、安全地中止程序，报警方式支持视觉和声音两种，报警范围需包含：超高温超高压、阶段超时。</w:t>
            </w:r>
            <w:r/>
          </w:p>
        </w:tc>
      </w:tr>
      <w:tr>
        <w:trPr>
          <w:trHeight w:val="9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真空泵：水环真空泵，具备防震基座。真空泵与热交换器串联，密封水环有低液位报警。</w:t>
            </w:r>
            <w:r/>
          </w:p>
        </w:tc>
      </w:tr>
      <w:tr>
        <w:trPr>
          <w:trHeight w:val="474"/>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密码管理：支持多级密码系统，≥2级。</w:t>
            </w:r>
            <w:r/>
          </w:p>
        </w:tc>
      </w:tr>
      <w:tr>
        <w:trPr>
          <w:trHeight w:val="214"/>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温度传感器精确度为≤±0.1°C，压力传感器具有温度补偿，在压力范围 0-5 bar 内的精确度为≤1% 。</w:t>
            </w:r>
            <w:r/>
          </w:p>
        </w:tc>
      </w:tr>
      <w:tr>
        <w:trPr>
          <w:trHeight w:val="474"/>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记录方式：内置打印机进行打印记录，打印耗材为通用耗材。</w:t>
            </w:r>
            <w:r/>
          </w:p>
        </w:tc>
      </w:tr>
      <w:tr>
        <w:trPr>
          <w:trHeight w:val="9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具备中英文可选操作界面，并能实时显示腔体温度、压力、时间参数曲线</w:t>
            </w:r>
            <w:r>
              <w:rPr>
                <w:rFonts w:hint="eastAsia" w:ascii="宋体" w:hAnsi="宋体" w:cs="宋体"/>
                <w:i w:val="0"/>
                <w:iCs w:val="0"/>
                <w:color w:val="000000"/>
                <w:sz w:val="24"/>
                <w:szCs w:val="24"/>
                <w:u w:val="none"/>
                <w:lang w:val="en-US" w:eastAsia="zh-CN" w:bidi="ar"/>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门：双门、互锁，全自动气动升降密封门。关门时如遇到障碍，门停止移动。</w:t>
            </w:r>
            <w:r/>
          </w:p>
        </w:tc>
      </w:tr>
      <w:tr>
        <w:trPr>
          <w:trHeight w:val="93"/>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灭菌器腔体、加热夹套、蒸汽管、水管线材质：耐酸耐碱要求≥316L不锈钢。</w:t>
            </w:r>
            <w:r/>
          </w:p>
        </w:tc>
      </w:tr>
      <w:tr>
        <w:trPr>
          <w:trHeight w:val="66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机器净重≤1600kg，满足楼板承重要求。机器宽度≤1100mm，</w:t>
            </w:r>
            <w:r>
              <w:rPr>
                <w:rFonts w:hint="eastAsia" w:ascii="宋体" w:hAnsi="宋体" w:cs="宋体"/>
                <w:i w:val="0"/>
                <w:iCs w:val="0"/>
                <w:color w:val="000000"/>
                <w:sz w:val="24"/>
                <w:szCs w:val="24"/>
                <w:highlight w:val="none"/>
                <w:u w:val="none"/>
                <w:lang w:val="en-US" w:eastAsia="zh-CN" w:bidi="ar"/>
              </w:rPr>
              <w:t xml:space="preserve">装机</w:t>
            </w:r>
            <w:r>
              <w:rPr>
                <w:rFonts w:hint="eastAsia" w:ascii="宋体" w:hAnsi="宋体" w:eastAsia="宋体" w:cs="宋体"/>
                <w:i w:val="0"/>
                <w:iCs w:val="0"/>
                <w:color w:val="000000"/>
                <w:sz w:val="24"/>
                <w:szCs w:val="24"/>
                <w:highlight w:val="none"/>
                <w:u w:val="none"/>
                <w:lang w:val="en-US" w:eastAsia="zh-CN" w:bidi="ar"/>
              </w:rPr>
              <w:t xml:space="preserve">现场</w:t>
            </w:r>
            <w:r>
              <w:rPr>
                <w:rFonts w:hint="eastAsia" w:ascii="宋体" w:hAnsi="宋体" w:cs="宋体"/>
                <w:i w:val="0"/>
                <w:iCs w:val="0"/>
                <w:color w:val="000000"/>
                <w:sz w:val="24"/>
                <w:szCs w:val="24"/>
                <w:highlight w:val="none"/>
                <w:u w:val="none"/>
                <w:lang w:val="en-US" w:eastAsia="zh-CN" w:bidi="ar"/>
              </w:rPr>
              <w:t xml:space="preserve">宽度为</w:t>
            </w:r>
            <w:r>
              <w:rPr>
                <w:rFonts w:hint="eastAsia" w:ascii="宋体" w:hAnsi="宋体" w:eastAsia="宋体" w:cs="宋体"/>
                <w:i w:val="0"/>
                <w:iCs w:val="0"/>
                <w:color w:val="000000"/>
                <w:sz w:val="24"/>
                <w:szCs w:val="24"/>
                <w:highlight w:val="none"/>
                <w:u w:val="none"/>
                <w:lang w:val="en-US" w:eastAsia="zh-CN" w:bidi="ar"/>
              </w:rPr>
              <w:t xml:space="preserve">1400mm。</w:t>
            </w:r>
            <w:r/>
          </w:p>
        </w:tc>
      </w:tr>
    </w:tbl>
    <w:p>
      <w:pPr>
        <w:spacing w:line="360" w:lineRule="auto"/>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r>
      <w:r/>
    </w:p>
    <w:p>
      <w:pPr>
        <w:ind w:firstLine="482"/>
        <w:spacing w:line="360" w:lineRule="auto"/>
        <w:rPr>
          <w:rFonts w:ascii="宋体" w:cs="宋体"/>
          <w:b/>
          <w:i/>
          <w:iCs/>
          <w:color w:val="000000" w:themeColor="text1"/>
          <w:sz w:val="24"/>
          <w:szCs w:val="24"/>
          <w:highlight w:val="none"/>
          <w:u w:val="single"/>
          <w14:textFill>
            <w14:solidFill>
              <w14:schemeClr w14:val="tx1"/>
            </w14:solidFill>
          </w14:textFill>
        </w:rPr>
      </w:pPr>
      <w:r>
        <w:rPr>
          <w:rFonts w:hint="eastAsia" w:ascii="宋体" w:hAnsi="宋体"/>
          <w:b/>
          <w:i/>
          <w:iCs/>
          <w:color w:val="000000" w:themeColor="text1"/>
          <w:sz w:val="24"/>
          <w:szCs w:val="24"/>
          <w:highlight w:val="none"/>
          <w:u w:val="single"/>
          <w14:textFill>
            <w14:solidFill>
              <w14:schemeClr w14:val="tx1"/>
            </w14:solidFill>
          </w14:textFill>
        </w:rPr>
        <w:t xml:space="preserve">★</w:t>
      </w:r>
      <w:r>
        <w:rPr>
          <w:rFonts w:hint="eastAsia" w:ascii="宋体" w:cs="宋体"/>
          <w:b/>
          <w:i/>
          <w:iCs/>
          <w:color w:val="000000" w:themeColor="text1"/>
          <w:sz w:val="24"/>
          <w:szCs w:val="24"/>
          <w:highlight w:val="non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（1）整机保修≥</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年，质保期内每年提供两次原厂维护保养，出保后</w:t>
      </w:r>
      <w:r>
        <w:rPr>
          <w:rFonts w:hint="eastAsia" w:ascii="宋体" w:hAnsi="宋体" w:cs="宋体"/>
          <w:color w:val="000000"/>
          <w:sz w:val="24"/>
          <w:szCs w:val="24"/>
          <w:highlight w:val="none"/>
          <w:lang w:val="en-US" w:eastAsia="zh-CN"/>
        </w:rPr>
        <w:t xml:space="preserve">全保价格</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%成交价。</w:t>
      </w:r>
      <w:r/>
    </w:p>
    <w:p>
      <w:pPr>
        <w:ind w:firstLine="480"/>
        <w:spacing w:line="360" w:lineRule="auto"/>
        <w:rPr>
          <w:rFonts w:ascii="宋体" w:hAnsi="宋体" w:cs="宋体"/>
          <w:color w:val="000000"/>
          <w:sz w:val="22"/>
          <w:szCs w:val="22"/>
          <w:highlight w:val="none"/>
        </w:rPr>
      </w:pPr>
      <w:r>
        <w:rPr>
          <w:rFonts w:hint="eastAsia" w:ascii="宋体" w:hAnsi="宋体" w:cs="宋体"/>
          <w:color w:val="000000"/>
          <w:sz w:val="24"/>
          <w:szCs w:val="24"/>
          <w:highlight w:val="none"/>
        </w:rPr>
        <w:t xml:space="preserve">（2）在质保期内，开机率≥95%，仪器故障要求2小时内应答，24小时修复或提供</w:t>
      </w:r>
      <w:r>
        <w:rPr>
          <w:rFonts w:hint="eastAsia" w:ascii="宋体" w:hAnsi="宋体" w:cs="宋体"/>
          <w:color w:val="000000"/>
          <w:sz w:val="24"/>
          <w:szCs w:val="24"/>
          <w:highlight w:val="none"/>
          <w:lang w:val="en-US" w:eastAsia="zh-CN"/>
        </w:rPr>
        <w:t xml:space="preserve">维修方案</w:t>
      </w:r>
      <w:r>
        <w:rPr>
          <w:rFonts w:hint="eastAsia" w:ascii="宋体" w:hAnsi="宋体" w:cs="宋体"/>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（3）供应方须具有履行合同所必需的设备和专业技术能力，并配备受过专业培训的售后服务人员。</w:t>
      </w:r>
      <w:r/>
    </w:p>
    <w:p>
      <w:pPr>
        <w:pStyle w:val="753"/>
        <w:ind w:firstLine="480"/>
        <w:spacing w:after="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（4）为保证设备正常运行，供应方应设置备件库，存入所有必需的备件，并保证10年以上的供应期。</w:t>
      </w:r>
      <w:r/>
    </w:p>
    <w:p>
      <w:pPr>
        <w:pStyle w:val="753"/>
        <w:ind w:firstLine="480"/>
        <w:spacing w:after="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（5）提供24小时报修电话。</w:t>
      </w:r>
      <w:r/>
    </w:p>
    <w:p>
      <w:pPr>
        <w:pStyle w:val="753"/>
        <w:ind w:firstLine="480"/>
        <w:spacing w:after="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（6）供应方承担设备初次计量检定/校准费用。</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none"/>
        </w:rPr>
        <w:t xml:space="preserve">（7）提供场地设计及规划方案，配合施</w:t>
      </w:r>
      <w:r>
        <w:rPr>
          <w:rFonts w:hint="eastAsia" w:ascii="宋体" w:hAnsi="宋体" w:cs="宋体"/>
          <w:color w:val="000000"/>
          <w:sz w:val="24"/>
          <w:szCs w:val="24"/>
          <w:highlight w:val="white"/>
        </w:rPr>
        <w:t xml:space="preserve">工及场地验收。</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设备安装现场条件</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无</w:t>
      </w:r>
      <w:bookmarkStart w:id="194" w:name="_GoBack"/>
      <w:r>
        <w:rPr>
          <w:rFonts w:hint="eastAsia" w:ascii="宋体" w:hAnsi="宋体" w:cs="宋体"/>
          <w:color w:val="000000"/>
          <w:sz w:val="24"/>
          <w:szCs w:val="24"/>
          <w:highlight w:val="none"/>
        </w:rPr>
        <w:t xml:space="preserve">改造配</w:t>
      </w:r>
      <w:r>
        <w:rPr>
          <w:rFonts w:hint="eastAsia" w:ascii="宋体" w:hAnsi="宋体" w:cs="宋体"/>
          <w:color w:val="000000"/>
          <w:sz w:val="24"/>
          <w:szCs w:val="24"/>
          <w:highlight w:val="none"/>
          <w:lang w:val="en-US" w:eastAsia="zh-CN"/>
        </w:rPr>
        <w:t xml:space="preserve">套</w:t>
      </w:r>
      <w:r>
        <w:rPr>
          <w:rFonts w:hint="eastAsia" w:ascii="宋体" w:hAnsi="宋体" w:cs="宋体"/>
          <w:color w:val="000000"/>
          <w:sz w:val="24"/>
          <w:szCs w:val="24"/>
          <w:highlight w:val="none"/>
        </w:rPr>
        <w:t xml:space="preserve">计划</w:t>
      </w:r>
      <w:bookmarkEnd w:id="194"/>
      <w:r>
        <w:rPr>
          <w:rFonts w:hint="eastAsia" w:ascii="宋体" w:hAnsi="宋体" w:cs="宋体"/>
          <w:color w:val="000000"/>
          <w:sz w:val="24"/>
          <w:szCs w:val="24"/>
          <w:highlight w:val="white"/>
        </w:rPr>
        <w:t xml:space="preserve">。</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供电：380V，5.0</w:t>
      </w:r>
      <w:r>
        <w:rPr>
          <w:rFonts w:hint="eastAsia" w:ascii="宋体" w:hAnsi="宋体" w:cs="宋体"/>
          <w:color w:val="000000"/>
          <w:sz w:val="24"/>
          <w:szCs w:val="24"/>
          <w:highlight w:val="white"/>
          <w:lang w:val="en-US" w:eastAsia="zh-CN"/>
        </w:rPr>
        <w:t xml:space="preserve">k</w:t>
      </w:r>
      <w:r>
        <w:rPr>
          <w:rFonts w:hint="eastAsia" w:ascii="宋体" w:hAnsi="宋体" w:cs="宋体"/>
          <w:color w:val="000000"/>
          <w:sz w:val="24"/>
          <w:szCs w:val="24"/>
          <w:highlight w:val="white"/>
        </w:rPr>
        <w:t xml:space="preserve">W ，供水：水管径DN15，水压3-6Bar ；排水：排水管径DN100，排水量600L；蒸汽供应：管径DN20，耗量28</w:t>
      </w:r>
      <w:r>
        <w:rPr>
          <w:rFonts w:hint="eastAsia" w:ascii="宋体" w:hAnsi="宋体" w:cs="宋体"/>
          <w:color w:val="000000"/>
          <w:sz w:val="24"/>
          <w:szCs w:val="24"/>
          <w:highlight w:val="white"/>
          <w:lang w:val="en-US" w:eastAsia="zh-CN"/>
        </w:rPr>
        <w:t xml:space="preserve">kg</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h</w:t>
      </w:r>
      <w:r>
        <w:rPr>
          <w:rFonts w:hint="eastAsia" w:ascii="宋体" w:hAnsi="宋体" w:cs="宋体"/>
          <w:color w:val="000000"/>
          <w:sz w:val="24"/>
          <w:szCs w:val="24"/>
          <w:highlight w:val="white"/>
        </w:rPr>
        <w:t xml:space="preserve">。</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90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3.验收标准：供方提供的商品必须符合我国最新颁布</w:t>
      </w:r>
      <w:r>
        <w:rPr>
          <w:rFonts w:hint="eastAsia" w:ascii="宋体" w:hAnsi="宋体" w:cs="宋体"/>
          <w:color w:val="000000"/>
          <w:sz w:val="24"/>
          <w:szCs w:val="24"/>
          <w:highlight w:val="white"/>
          <w:lang w:eastAsia="zh-CN"/>
        </w:rPr>
        <w:t xml:space="preserve">与之</w:t>
      </w:r>
      <w:r>
        <w:rPr>
          <w:rFonts w:hint="eastAsia" w:ascii="宋体" w:hAnsi="宋体" w:cs="宋体"/>
          <w:color w:val="000000"/>
          <w:sz w:val="24"/>
          <w:szCs w:val="24"/>
          <w:highlight w:val="white"/>
        </w:rPr>
        <w:t xml:space="preserve">相关的技术规范与标准，同时必须满足招标书中所列全部规格、型号、具体配置、技术条件及功能要求和供方承诺</w:t>
      </w:r>
      <w:r>
        <w:rPr>
          <w:rFonts w:hint="eastAsia" w:ascii="宋体" w:hAnsi="宋体" w:cs="宋体"/>
          <w:color w:val="000000"/>
          <w:sz w:val="24"/>
          <w:szCs w:val="24"/>
          <w:highlight w:val="white"/>
          <w:lang w:eastAsia="zh-CN"/>
        </w:rPr>
        <w:t xml:space="preserve">的其他指标</w:t>
      </w:r>
      <w:r>
        <w:rPr>
          <w:rFonts w:hint="eastAsia" w:ascii="宋体" w:hAnsi="宋体" w:cs="宋体"/>
          <w:color w:val="000000"/>
          <w:sz w:val="24"/>
          <w:szCs w:val="24"/>
          <w:highlight w:val="whit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6.运输及到货地点：由供方负责办理运输及装卸，直接送至需方所在地</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无锡市清扬路299号无锡市人民医院</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，所有费用由供方承担。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spacing w:line="360" w:lineRule="auto"/>
      </w:pPr>
      <w:r>
        <w:rPr>
          <w:rFonts w:hint="eastAsia" w:ascii="宋体" w:hAnsi="宋体" w:cs="宋体"/>
          <w:color w:val="000000"/>
          <w:sz w:val="24"/>
          <w:szCs w:val="24"/>
          <w:highlight w:val="white"/>
        </w:rPr>
        <w:t xml:space="preserve">8.付款方式：</w:t>
      </w:r>
      <w:r>
        <w:rPr>
          <w:rFonts w:hint="eastAsia" w:ascii="宋体" w:hAnsi="宋体" w:cs="宋体"/>
          <w:color w:val="000000"/>
          <w:sz w:val="24"/>
          <w:szCs w:val="24"/>
          <w:highlight w:val="whit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w:t>
      </w:r>
      <w:r/>
    </w:p>
    <w:p>
      <w:pPr>
        <w:ind w:firstLine="480"/>
        <w:spacing w:line="360" w:lineRule="auto"/>
        <w:rPr>
          <w:rFonts w:hint="default" w:eastAsia="宋体"/>
          <w:b/>
          <w:bCs/>
          <w:highlight w:val="none"/>
        </w:rPr>
      </w:pPr>
      <w:r>
        <w:rPr>
          <w:rFonts w:hint="eastAsia" w:ascii="宋体" w:hAnsi="宋体" w:cs="宋体"/>
          <w:color w:val="000000"/>
          <w:sz w:val="24"/>
          <w:szCs w:val="24"/>
          <w:highlight w:val="white"/>
        </w:rPr>
        <w:t xml:space="preserve">如果中标人为中小企业，按《保障中小企业款项支付条例》(国令第 802 号) 及政府采购相关规定执行。</w:t>
      </w:r>
      <w:r>
        <w:rPr>
          <w:rFonts w:hint="eastAsia" w:ascii="宋体" w:hAnsi="宋体" w:cs="宋体"/>
          <w:color w:val="000000"/>
          <w:sz w:val="24"/>
          <w:szCs w:val="24"/>
          <w:highlight w:val="white"/>
        </w:rPr>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设备验收后，供方应保证≥10年的配件、耗材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12.具备数字化接口的设备应承诺，设备全生命周期免费开放该接口，由供应商配合与医院信息系统相连接并达到医院要求。须提供相应承诺书（格式自拟）。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13.供应商应承诺设备实现与医院设备实时监控系统相连，并达到医院实时监控要求。须提供相应承诺书（格式自拟）。</w:t>
      </w:r>
      <w:r/>
    </w:p>
    <w:p>
      <w:pPr>
        <w:ind w:firstLine="480"/>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cs="宋体"/>
          <w:color w:val="000000"/>
          <w:sz w:val="24"/>
          <w:szCs w:val="24"/>
          <w:highlight w:val="whit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pStyle w:val="1014"/>
        <w:spacing w:before="0" w:after="0" w:line="500" w:lineRule="exac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4"/>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36</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510"/>
        <w:gridCol w:w="556"/>
      </w:tblGrid>
      <w:tr>
        <w:trPr>
          <w:trHeight w:val="28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r>
      <w:tr>
        <w:trPr>
          <w:trHeight w:val="27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标准灭菌程序的脉冲次数≥3次负压脉冲，得2分；≥5次正压脉冲，得2分，均不符合得0分。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7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灭菌时间和温度：≤4分钟（134°C），符合得2分，不符合得0分。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38"/>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处理能力：腔内有效容积≥800L, 符合得2分，不符合得0分。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12"/>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操作界面：≥8寸彩色屏，符合得2分，不符合得0分。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灭菌过程中，门外表温度≤45℃。符合得2分，不符合得0分。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93"/>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灭菌器内腔配备有压力监测系统，门开启之前确认灭菌器腔体内的所有压力安全，灭菌程序结束卸载侧门自动开启，符合得4分，不符合得0分。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压力表要求：设备具备蒸汽管道压力表≥1个，腔体压力表≥2个，符合压力容器使用安全规范以及锅检要求。符合得4分，不符合得0分。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1002"/>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程序数量：常用程序含有以下程序：134℃器械、敷料；121℃热敏物品；BD 测试；全自动腔体测漏。≥5个得2分，≥10个得4分，其他得0分。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91"/>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高效空气过滤系统：对进入腔体内的空气进行过滤，对≤0.3μm粒子的过滤效果≥99.9%，符合得4分，不符合得0分。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247"/>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干燥模式：干燥模式支持空气脉冲、蒸汽脉冲等模式，符合一项得2分，最高得4分，最低得0分。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配备独立蒸汽发生器，有一套得2分，最高得4分，最低得0分。</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4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bl>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7</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分）：以招标文件要求为基准，每多一年加1分，不超过</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分。以制造厂商出具的《质量保证及售后服务承诺书》为准。（所投产品若为国产产品，由原厂商出具；所投产品若为进口产品，由该产品的国内总代理出具）。</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3.2免费质保期后保修价格（2分）：价格最低者得2分，价格次低者得1分，其他不得分。</w:t>
      </w:r>
      <w:r/>
    </w:p>
    <w:p>
      <w:pPr>
        <w:ind w:firstLine="482"/>
        <w:spacing w:line="360" w:lineRule="auto"/>
        <w:tabs>
          <w:tab w:val="left" w:pos="945" w:leader="none"/>
          <w:tab w:val="left" w:pos="1155" w:leader="none"/>
          <w:tab w:val="left" w:pos="3823" w:leader="none"/>
        </w:tabs>
        <w:rPr>
          <w:rFonts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szCs w:val="24"/>
          <w:highlight w:val="none"/>
          <w14:textFill>
            <w14:solidFill>
              <w14:schemeClr w14:val="tx1"/>
            </w14:solidFill>
          </w14:textFill>
        </w:rPr>
        <w:t xml:space="preserve">分）</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近二年主要业绩：提供投标人与终端用户签订的与本次招标采购项目类似产品的完整销售合同复印件。有一例得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分，最高不超过</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分，复印件要求加盖投标单位电子公章。</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10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服务方案体系（</w:t>
      </w:r>
      <w:r>
        <w:rPr>
          <w:rFonts w:hint="eastAsia" w:ascii="宋体" w:hAnsi="宋体" w:cs="宋体"/>
          <w:color w:val="000000"/>
          <w:sz w:val="24"/>
          <w:szCs w:val="24"/>
          <w:highlight w:val="white"/>
          <w:lang w:val="en-US" w:eastAsia="zh-CN"/>
        </w:rPr>
        <w:t xml:space="preserve">6</w:t>
      </w:r>
      <w:r>
        <w:rPr>
          <w:rFonts w:hint="eastAsia" w:ascii="宋体" w:hAnsi="宋体" w:cs="宋体"/>
          <w:color w:val="000000"/>
          <w:sz w:val="24"/>
          <w:szCs w:val="24"/>
          <w:highlight w:val="white"/>
        </w:rPr>
        <w:t xml:space="preserve">分）：投标人保障采购项目能够达到招标文件设定的使用和运行状态而提供的：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运输配送方案得1分；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场地设计方案得1分；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安装调试方案得1分；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培训咨询（技术支持）方案得1分；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维护巡检方案得1分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维修、应急保障方案得1分</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①单个方案不存在瑕疵、漏项，有针对性解决说明，满足项目招标书需求得1分；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②单个方案存在1处瑕疵、漏项得0.5分；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③单个方案存在2处及以上瑕疵、漏项或未提供、不满足项目招标书需求的内容，得0分。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 共6个方案，最高得6分。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w:t>
      </w: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保障服务方案的实施而设立服务机构、人员、装备得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设置服务细则和管理制度得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①单个方案不存在瑕疵、漏项，有针对性解决说明，满足项目招标书需求得2分；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②单个方案存在1处瑕疵、漏项得1分；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③单个方案存在2处及以上瑕疵、漏项或未提供、不满足项目招标书需求的内容得0分。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共2个方案，最高得4分。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955039"/>
      <w:r/>
      <w:bookmarkEnd w:id="188"/>
      <w:r/>
      <w:bookmarkStart w:id="189" w:name="_Hlt26671244"/>
      <w:r/>
      <w:bookmarkEnd w:id="189"/>
      <w:r/>
      <w:bookmarkStart w:id="190" w:name="_Toc49090576"/>
      <w:r/>
      <w:bookmarkStart w:id="191" w:name="_Toc120614282"/>
      <w:r/>
      <w:bookmarkStart w:id="192" w:name="_Toc26554094"/>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4"/>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4"/>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JSZC-320200-XWJC-G2026-0018</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无锡市人民医院全自动蒸汽灭菌器项目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JSZC-320200-XWJC-G2026-0018</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2"/>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2"/>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2"/>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JSZC-320200-XWJC-G2026-0018</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left"/>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JSZC-320200-XWJC-G2026-0018</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1"/>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JSZC-320200-XWJC-G2026-0018</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JSZC-320200-XWJC-G2026-0018</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0"/>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0"/>
      <w:r/>
      <w:bookmarkEnd w:id="191"/>
      <w:r/>
      <w:bookmarkEnd w:id="192"/>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JSZC-320200-XWJC-G2026-0018</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JSZC-320200-XWJC-G2026-0018</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JSZC-320200-XWJC-G2026-0018</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无锡市人民医院全自动蒸汽灭菌器项目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JSZC-320200-XWJC-G2026-0018</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p>
    <w:p>
      <w:pPr>
        <w:ind w:firstLine="1502"/>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法定代表人或法定代表人授权代表CA签章：</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2"/>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6"/>
    <w:uiPriority w:val="99"/>
    <w:semiHidden/>
    <w:unhideWhenUsed/>
    <w:qFormat/>
    <w:rPr>
      <w:sz w:val="20"/>
    </w:rPr>
  </w:style>
  <w:style w:type="paragraph" w:styleId="740">
    <w:name w:val="Footer"/>
    <w:basedOn w:val="718"/>
    <w:link w:val="799"/>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7"/>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2"/>
    <w:uiPriority w:val="11"/>
    <w:qFormat/>
    <w:pPr>
      <w:spacing w:before="200" w:after="200"/>
    </w:pPr>
    <w:rPr>
      <w:sz w:val="24"/>
      <w:szCs w:val="24"/>
    </w:rPr>
  </w:style>
  <w:style w:type="paragraph" w:styleId="746">
    <w:name w:val="footnote text"/>
    <w:basedOn w:val="718"/>
    <w:link w:val="925"/>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8"/>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8"/>
    <w:uiPriority w:val="9"/>
    <w:qFormat/>
    <w:rPr>
      <w:rFonts w:ascii="Arial" w:hAnsi="Arial" w:eastAsia="Arial" w:cs="Arial"/>
      <w:sz w:val="40"/>
      <w:szCs w:val="40"/>
    </w:rPr>
  </w:style>
  <w:style w:type="character" w:styleId="762" w:customStyle="1">
    <w:name w:val="Heading 2 Char"/>
    <w:basedOn w:val="728"/>
    <w:uiPriority w:val="9"/>
    <w:qFormat/>
    <w:rPr>
      <w:rFonts w:ascii="Arial" w:hAnsi="Arial" w:eastAsia="Arial" w:cs="Arial"/>
      <w:sz w:val="34"/>
    </w:rPr>
  </w:style>
  <w:style w:type="character" w:styleId="763" w:customStyle="1">
    <w:name w:val="Heading 3 Char"/>
    <w:basedOn w:val="728"/>
    <w:uiPriority w:val="9"/>
    <w:qFormat/>
    <w:rPr>
      <w:rFonts w:ascii="Arial" w:hAnsi="Arial" w:eastAsia="Arial" w:cs="Arial"/>
      <w:sz w:val="30"/>
      <w:szCs w:val="30"/>
    </w:rPr>
  </w:style>
  <w:style w:type="character" w:styleId="764" w:customStyle="1">
    <w:name w:val="Heading 4 Char"/>
    <w:basedOn w:val="728"/>
    <w:uiPriority w:val="9"/>
    <w:qFormat/>
    <w:rPr>
      <w:rFonts w:ascii="Arial" w:hAnsi="Arial" w:eastAsia="Arial" w:cs="Arial"/>
      <w:b/>
      <w:bCs/>
      <w:sz w:val="26"/>
      <w:szCs w:val="26"/>
    </w:rPr>
  </w:style>
  <w:style w:type="character" w:styleId="765" w:customStyle="1">
    <w:name w:val="Heading 5 Char"/>
    <w:basedOn w:val="728"/>
    <w:uiPriority w:val="9"/>
    <w:qFormat/>
    <w:rPr>
      <w:rFonts w:ascii="Arial" w:hAnsi="Arial" w:eastAsia="Arial" w:cs="Arial"/>
      <w:b/>
      <w:bCs/>
      <w:sz w:val="24"/>
      <w:szCs w:val="24"/>
    </w:rPr>
  </w:style>
  <w:style w:type="character" w:styleId="766" w:customStyle="1">
    <w:name w:val="Heading 6 Char"/>
    <w:basedOn w:val="728"/>
    <w:uiPriority w:val="9"/>
    <w:qFormat/>
    <w:rPr>
      <w:rFonts w:ascii="Arial" w:hAnsi="Arial" w:eastAsia="Arial" w:cs="Arial"/>
      <w:b/>
      <w:bCs/>
      <w:sz w:val="22"/>
      <w:szCs w:val="22"/>
    </w:rPr>
  </w:style>
  <w:style w:type="character" w:styleId="767" w:customStyle="1">
    <w:name w:val="Heading 7 Char"/>
    <w:basedOn w:val="728"/>
    <w:uiPriority w:val="9"/>
    <w:qFormat/>
    <w:rPr>
      <w:rFonts w:ascii="Arial" w:hAnsi="Arial" w:eastAsia="Arial" w:cs="Arial"/>
      <w:b/>
      <w:bCs/>
      <w:i/>
      <w:iCs/>
      <w:sz w:val="22"/>
      <w:szCs w:val="22"/>
    </w:rPr>
  </w:style>
  <w:style w:type="character" w:styleId="768" w:customStyle="1">
    <w:name w:val="Heading 8 Char"/>
    <w:basedOn w:val="728"/>
    <w:uiPriority w:val="9"/>
    <w:qFormat/>
    <w:rPr>
      <w:rFonts w:ascii="Arial" w:hAnsi="Arial" w:eastAsia="Arial" w:cs="Arial"/>
      <w:i/>
      <w:iCs/>
      <w:sz w:val="22"/>
      <w:szCs w:val="22"/>
    </w:rPr>
  </w:style>
  <w:style w:type="character" w:styleId="769" w:customStyle="1">
    <w:name w:val="Heading 9 Char"/>
    <w:basedOn w:val="728"/>
    <w:uiPriority w:val="9"/>
    <w:qFormat/>
    <w:rPr>
      <w:rFonts w:ascii="Arial" w:hAnsi="Arial" w:eastAsia="Arial" w:cs="Arial"/>
      <w:i/>
      <w:iCs/>
      <w:sz w:val="21"/>
      <w:szCs w:val="21"/>
    </w:rPr>
  </w:style>
  <w:style w:type="character" w:styleId="770" w:customStyle="1">
    <w:name w:val="Title Char"/>
    <w:basedOn w:val="728"/>
    <w:uiPriority w:val="10"/>
    <w:qFormat/>
    <w:rPr>
      <w:sz w:val="48"/>
      <w:szCs w:val="48"/>
    </w:rPr>
  </w:style>
  <w:style w:type="character" w:styleId="771" w:customStyle="1">
    <w:name w:val="Subtitle Char"/>
    <w:basedOn w:val="72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8"/>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8"/>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8"/>
    <w:uiPriority w:val="0"/>
    <w:qFormat/>
    <w:pPr>
      <w:ind w:left="100" w:hanging="200"/>
    </w:pPr>
  </w:style>
  <w:style w:type="paragraph" w:styleId="963" w:customStyle="1">
    <w:name w:val="目录 51"/>
    <w:basedOn w:val="718"/>
    <w:next w:val="718"/>
    <w:uiPriority w:val="0"/>
    <w:semiHidden/>
    <w:qFormat/>
    <w:pPr>
      <w:ind w:left="840"/>
      <w:jc w:val="left"/>
    </w:pPr>
  </w:style>
  <w:style w:type="paragraph" w:styleId="964" w:customStyle="1">
    <w:name w:val="目录 31"/>
    <w:basedOn w:val="718"/>
    <w:next w:val="718"/>
    <w:uiPriority w:val="0"/>
    <w:semiHidden/>
    <w:qFormat/>
    <w:pPr>
      <w:ind w:left="420"/>
      <w:jc w:val="left"/>
    </w:pPr>
    <w:rPr>
      <w:i/>
      <w:iCs/>
      <w:szCs w:val="24"/>
    </w:rPr>
  </w:style>
  <w:style w:type="paragraph" w:styleId="965" w:customStyle="1">
    <w:name w:val="纯文本1"/>
    <w:basedOn w:val="718"/>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8"/>
    <w:next w:val="718"/>
    <w:uiPriority w:val="0"/>
    <w:semiHidden/>
    <w:qFormat/>
    <w:pPr>
      <w:ind w:left="1470"/>
      <w:jc w:val="left"/>
    </w:pPr>
  </w:style>
  <w:style w:type="paragraph" w:styleId="968" w:customStyle="1">
    <w:name w:val="日期1"/>
    <w:basedOn w:val="718"/>
    <w:next w:val="718"/>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8"/>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8"/>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8"/>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8"/>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8"/>
    <w:next w:val="718"/>
    <w:uiPriority w:val="0"/>
    <w:semiHidden/>
    <w:qFormat/>
    <w:pPr>
      <w:ind w:left="630"/>
      <w:jc w:val="left"/>
    </w:pPr>
  </w:style>
  <w:style w:type="paragraph" w:styleId="980" w:customStyle="1">
    <w:name w:val="列表1"/>
    <w:basedOn w:val="718"/>
    <w:uiPriority w:val="0"/>
    <w:qFormat/>
    <w:pPr>
      <w:ind w:left="200" w:hanging="200"/>
    </w:pPr>
  </w:style>
  <w:style w:type="paragraph" w:styleId="981" w:customStyle="1">
    <w:name w:val="目录 61"/>
    <w:basedOn w:val="718"/>
    <w:next w:val="718"/>
    <w:uiPriority w:val="0"/>
    <w:semiHidden/>
    <w:qFormat/>
    <w:pPr>
      <w:ind w:left="1050"/>
      <w:jc w:val="left"/>
    </w:pPr>
  </w:style>
  <w:style w:type="paragraph" w:styleId="982" w:customStyle="1">
    <w:name w:val="正文文本缩进 31"/>
    <w:basedOn w:val="718"/>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8"/>
    <w:next w:val="718"/>
    <w:uiPriority w:val="0"/>
    <w:semiHidden/>
    <w:qFormat/>
    <w:pPr>
      <w:ind w:left="840" w:hanging="420"/>
    </w:pPr>
  </w:style>
  <w:style w:type="paragraph" w:styleId="985" w:customStyle="1">
    <w:name w:val="目录 21"/>
    <w:basedOn w:val="718"/>
    <w:next w:val="718"/>
    <w:uiPriority w:val="0"/>
    <w:semiHidden/>
    <w:qFormat/>
    <w:pPr>
      <w:ind w:left="210"/>
      <w:jc w:val="left"/>
    </w:pPr>
    <w:rPr>
      <w:smallCaps/>
      <w:szCs w:val="24"/>
    </w:rPr>
  </w:style>
  <w:style w:type="paragraph" w:styleId="986" w:customStyle="1">
    <w:name w:val="目录 91"/>
    <w:basedOn w:val="718"/>
    <w:next w:val="718"/>
    <w:uiPriority w:val="0"/>
    <w:semiHidden/>
    <w:qFormat/>
    <w:pPr>
      <w:ind w:left="1680"/>
      <w:jc w:val="left"/>
    </w:pPr>
  </w:style>
  <w:style w:type="paragraph" w:styleId="987" w:customStyle="1">
    <w:name w:val="正文文本 21"/>
    <w:basedOn w:val="718"/>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8"/>
    <w:next w:val="718"/>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8"/>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8"/>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8"/>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8"/>
    <w:next w:val="958"/>
    <w:uiPriority w:val="0"/>
    <w:qFormat/>
    <w:pPr>
      <w:spacing w:after="120"/>
    </w:pPr>
    <w:rPr>
      <w:rFonts w:ascii="宋体" w:hAnsi="Arial"/>
      <w:bCs/>
      <w:iCs/>
      <w:szCs w:val="24"/>
    </w:rPr>
  </w:style>
  <w:style w:type="paragraph" w:styleId="101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8"/>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8"/>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8"/>
    <w:next w:val="982"/>
    <w:uiPriority w:val="0"/>
    <w:qFormat/>
    <w:pPr>
      <w:ind w:firstLine="420"/>
      <w:spacing w:line="360" w:lineRule="auto"/>
    </w:pPr>
    <w:rPr>
      <w:color w:val="ff0000"/>
      <w:sz w:val="24"/>
      <w:szCs w:val="24"/>
    </w:rPr>
  </w:style>
  <w:style w:type="paragraph" w:styleId="102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8"/>
    <w:uiPriority w:val="0"/>
    <w:qFormat/>
    <w:pPr>
      <w:spacing w:line="360" w:lineRule="auto"/>
    </w:pPr>
    <w:rPr>
      <w:sz w:val="24"/>
      <w:szCs w:val="20"/>
    </w:rPr>
  </w:style>
  <w:style w:type="paragraph" w:styleId="1023" w:customStyle="1">
    <w:name w:val="样式1"/>
    <w:basedOn w:val="718"/>
    <w:uiPriority w:val="0"/>
    <w:qFormat/>
    <w:pPr>
      <w:numPr>
        <w:ilvl w:val="0"/>
        <w:numId w:val="3"/>
      </w:numPr>
    </w:pPr>
    <w:rPr>
      <w:rFonts w:ascii="宋体" w:hAnsi="宋体"/>
    </w:rPr>
  </w:style>
  <w:style w:type="paragraph" w:styleId="102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8"/>
    <w:uiPriority w:val="0"/>
    <w:qFormat/>
    <w:pPr>
      <w:jc w:val="left"/>
      <w:spacing w:before="120"/>
      <w:widowControl/>
    </w:pPr>
    <w:rPr>
      <w:bCs/>
      <w:sz w:val="20"/>
      <w:szCs w:val="20"/>
      <w:lang w:val="de-DE" w:eastAsia="de-DE"/>
    </w:rPr>
  </w:style>
  <w:style w:type="paragraph" w:styleId="103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8"/>
    <w:next w:val="718"/>
    <w:uiPriority w:val="99"/>
    <w:qFormat/>
    <w:rPr>
      <w:rFonts w:ascii="宋体"/>
      <w:sz w:val="24"/>
      <w:szCs w:val="20"/>
    </w:rPr>
  </w:style>
  <w:style w:type="paragraph" w:styleId="104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8"/>
    <w:link w:val="733"/>
    <w:uiPriority w:val="99"/>
    <w:qFormat/>
  </w:style>
  <w:style w:type="character" w:styleId="1043" w:customStyle="1">
    <w:name w:val="正文首行缩进 2 Char1"/>
    <w:basedOn w:val="1042"/>
    <w:link w:val="754"/>
    <w:uiPriority w:val="99"/>
    <w:qFormat/>
    <w:rPr>
      <w:sz w:val="21"/>
      <w:szCs w:val="21"/>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842c5ff2-d408-46a2-9524-cf2e76a6dc76</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2715ef31-6ffc-4ea6-8e0e-1771dd337eb1</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3f50948f-978b-49e9-b05c-3235db30e0d1</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0b86ebec-f35d-4aa5-a2e1-1f7698df14fc</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e0d2b1ed-042d-4928-8bf2-7f1666da2665</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9696f02d-bba5-4792-93e4-cd61dfa789d3</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b9c85ff4-04f6-4dc6-b3a6-226203836d17</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1984547a-ffc6-4f57-83d3-34a8c2eb924a</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d1f791ac-9089-42bb-b3dc-7458d941697c</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d29bc1d2-41bd-4904-aaf5-166ac4812c0f</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32c11db3-e8e7-4ddf-bc11-fe8e8ecc3bf2</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45382143-530b-4d80-be68-22ff04d56e39</errorID>
      <errorWord>&lt;</errorWord>
      <group>L1_Format</group>
      <groupName>格式问题</groupName>
      <ability>L2_HalfPunc</ability>
      <abilityName>全半角检查</abilityName>
      <candidateList>
        <item>〈</item>
      </candidateList>
      <explain>文本全半角错误。</explain>
      <paraID>5DA7027A</paraID>
      <start>49</start>
      <end>50</end>
      <status>unmodified</status>
      <modifiedWord/>
      <trackRevisions>false</trackRevisions>
    </reviewItem>
    <reviewItem>
      <errorID>ddbf84e0-2d6c-4a08-a69d-cd74f855d9a8</errorID>
      <errorWord>&lt;</errorWord>
      <group>L1_Format</group>
      <groupName>格式问题</groupName>
      <ability>L2_HalfPunc</ability>
      <abilityName>全半角检查</abilityName>
      <candidateList>
        <item>〈</item>
      </candidateList>
      <explain>文本全半角错误。</explain>
      <paraID>3A7D33AF</paraID>
      <start>49</start>
      <end>50</end>
      <status>unmodified</status>
      <modifiedWord/>
      <trackRevisions>false</trackRevisions>
    </reviewItem>
    <reviewItem>
      <errorID>b3f02b42-07b1-4fa9-8cd5-4d21e15e9f3c</errorID>
      <errorWord>&lt;</errorWord>
      <group>L1_Format</group>
      <groupName>格式问题</groupName>
      <ability>L2_HalfPunc</ability>
      <abilityName>全半角检查</abilityName>
      <candidateList>
        <item>〈</item>
      </candidateList>
      <explain>文本全半角错误。</explain>
      <paraID>6A8F4EBF</paraID>
      <start>34</start>
      <end>35</end>
      <status>unmodified</status>
      <modifiedWord/>
      <trackRevisions>false</trackRevisions>
    </reviewItem>
    <reviewItem>
      <errorID>44771948-ba18-4f4e-addd-41ad7919600d</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75d41e13-6810-4ba4-af37-440406538aa7</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5fe18975-f442-4079-a3fb-67185b27bed6</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cf041d59-5570-412f-8e8b-86e498d08a5d</errorID>
      <errorWord>:</errorWord>
      <group>L1_Format</group>
      <groupName>格式问题</groupName>
      <ability>L2_HalfPunc</ability>
      <abilityName>全半角检查</abilityName>
      <candidateList>
        <item>：</item>
      </candidateList>
      <explain>文本全半角错误。</explain>
      <paraID>4370574A</paraID>
      <start>14</start>
      <end>15</end>
      <status>unmodified</status>
      <modifiedWord/>
      <trackRevisions>false</trackRevisions>
    </reviewItem>
    <reviewItem>
      <errorID>2f64b73e-895d-4f41-bcad-47edb0e07b6f</errorID>
      <errorWord>:</errorWord>
      <group>L1_Format</group>
      <groupName>格式问题</groupName>
      <ability>L2_HalfPunc</ability>
      <abilityName>全半角检查</abilityName>
      <candidateList>
        <item>：</item>
      </candidateList>
      <explain>文本全半角错误。</explain>
      <paraID>25EC1ACD</paraID>
      <start>9</start>
      <end>10</end>
      <status>unmodified</status>
      <modifiedWord/>
      <trackRevisions>false</trackRevisions>
    </reviewItem>
    <reviewItem>
      <errorID>d4a9d660-2e4c-4fa6-acf3-1078b8de7771</errorID>
      <errorWord>担</errorWord>
      <group>L1_Word</group>
      <groupName>字词问题</groupName>
      <ability>L2_Typo</ability>
      <abilityName>字词错误</abilityName>
      <candidateList>
        <item>担违</item>
      </candidateList>
      <explain/>
      <paraID>1CE020C7</paraID>
      <start>21</start>
      <end>22</end>
      <status>unmodified</status>
      <modifiedWord/>
      <trackRevisions>false</trackRevisions>
    </reviewItem>
    <reviewItem>
      <errorID>a5cc0751-44c8-43ef-8f7c-8bd7bc95938f</errorID>
      <errorWord>后</errorWord>
      <group>L1_Word</group>
      <groupName>字词问题</groupName>
      <ability>L2_Typo</ability>
      <abilityName>字词错误</abilityName>
      <candidateList>
        <item>后支</item>
      </candidateList>
      <explain/>
      <paraID>74203283</paraID>
      <start>31</start>
      <end>32</end>
      <status>unmodified</status>
      <modifiedWord/>
      <trackRevisions>false</trackRevisions>
    </reviewItem>
    <reviewItem>
      <errorID>95dc9329-2677-4092-afad-c390c39126e9</errorID>
      <errorWord>(</errorWord>
      <group>L1_Format</group>
      <groupName>格式问题</groupName>
      <ability>L2_HalfPunc</ability>
      <abilityName>全半角检查</abilityName>
      <candidateList>
        <item>（</item>
      </candidateList>
      <explain>文本全半角错误。</explain>
      <paraID>74203283</paraID>
      <start>81</start>
      <end>82</end>
      <status>unmodified</status>
      <modifiedWord/>
      <trackRevisions>false</trackRevisions>
    </reviewItem>
    <reviewItem>
      <errorID>6fa2101d-f681-45a0-a5b1-4041292483c0</errorID>
      <errorWord>)</errorWord>
      <group>L1_Format</group>
      <groupName>格式问题</groupName>
      <ability>L2_HalfPunc</ability>
      <abilityName>全半角检查</abilityName>
      <candidateList>
        <item>）</item>
      </candidateList>
      <explain>文本全半角错误。</explain>
      <paraID>74203283</paraID>
      <start>90</start>
      <end>91</end>
      <status>unmodified</status>
      <modifiedWord/>
      <trackRevisions>false</trackRevisions>
    </reviewItem>
    <reviewItem>
      <errorID>7948dd25-e457-4fa1-a277-ea9ece4c86de</errorID>
      <errorWord>上述的</errorWord>
      <group>L1_Word</group>
      <groupName>字词问题</groupName>
      <ability>L2_Typo</ability>
      <abilityName>字词错误</abilityName>
      <candidateList>
        <item>上述</item>
      </candidateList>
      <explain>〈形〉属性词。上面所说的：～各条，望切实执行。</explain>
      <paraID>224A64B9</paraID>
      <start>4</start>
      <end>7</end>
      <status>unmodified</status>
      <modifiedWord/>
      <trackRevisions>false</trackRevisions>
    </reviewItem>
    <reviewItem>
      <errorID>a94bcd7a-806f-490c-9ebd-9aad378b7c30</errorID>
      <errorWord>折</errorWord>
      <group>L1_Word</group>
      <groupName>字词问题</groupName>
      <ability>L2_Typo</ability>
      <abilityName>字词错误</abilityName>
      <candidateList>
        <item/>
      </candidateList>
      <explain/>
      <paraID>224A64B9</paraID>
      <start>78</start>
      <end>79</end>
      <status>unmodified</status>
      <modifiedWord/>
      <trackRevisions>false</trackRevisions>
    </reviewItem>
    <reviewItem>
      <errorID>2823a782-e0bc-46da-a5a2-8ceaee7936fc</errorID>
      <errorWord>.</errorWord>
      <group>L1_Format</group>
      <groupName>格式问题</groupName>
      <ability>L2_HalfPunc</ability>
      <abilityName>全半角检查</abilityName>
      <candidateList>
        <item>。</item>
      </candidateList>
      <explain>文本全半角错误。</explain>
      <paraID>224A64B9</paraID>
      <start>93</start>
      <end>94</end>
      <status>unmodified</status>
      <modifiedWord/>
      <trackRevisions>false</trackRevisions>
    </reviewItem>
    <reviewItem>
      <errorID>88451049-6a44-422c-a61f-8d8b805dc83b</errorID>
      <errorWord>》</errorWord>
      <group>L1_Word</group>
      <groupName>字词问题</groupName>
      <ability>L2_Typo</ability>
      <abilityName>字词错误</abilityName>
      <candidateList>
        <item>》和</item>
      </candidateList>
      <explain/>
      <paraID>5C841427</paraID>
      <start>88</start>
      <end>89</end>
      <status>unmodified</status>
      <modifiedWord/>
      <trackRevisions>false</trackRevisions>
    </reviewItem>
    <reviewItem>
      <errorID>a7edb513-ef4d-483d-a13a-2fedc819f72d</errorID>
      <errorWord>》</errorWord>
      <group>L1_Word</group>
      <groupName>字词问题</groupName>
      <ability>L2_Typo</ability>
      <abilityName>字词错误</abilityName>
      <candidateList>
        <item>》等</item>
      </candidateList>
      <explain/>
      <paraID>5EEB2148</paraID>
      <start>39</start>
      <end>40</end>
      <status>unmodified</status>
      <modifiedWord/>
      <trackRevisions>false</trackRevisions>
    </reviewItem>
    <reviewItem>
      <errorID>bbd3fe55-652b-487d-bb58-162dd28a9cf5</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33</start>
      <end>36</end>
      <status>unmodified</status>
      <modifiedWord/>
      <trackRevisions>false</trackRevisions>
    </reviewItem>
    <reviewItem>
      <errorID>8feb2ea9-6029-40fe-a43a-64c53d2fa8d6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64</start>
      <end>67</end>
      <status>unmodified</status>
      <modifiedWord/>
      <trackRevisions>false</trackRevisions>
    </reviewItem>
    <reviewItem>
      <errorID>21b34e06-0c76-434a-9724-0e54cf0d5f10</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5cf7f998-025b-449d-8cd2-52ecf545c84c</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ac970444-8b85-4e8b-813a-6d1dfc22eae2</errorID>
      <errorWord>万</errorWord>
      <group>L1_Word</group>
      <groupName>字词问题</groupName>
      <ability>L2_Typo</ability>
      <abilityName>字词错误</abilityName>
      <candidateList>
        <item>万元</item>
      </candidateList>
      <explain/>
      <paraID>64E7034A</paraID>
      <start>12</start>
      <end>14</end>
      <status>modified</status>
      <modifiedWord>万元</modifiedWord>
      <trackRevisions>false</trackRevisions>
    </reviewItem>
    <reviewItem>
      <errorID>c1f511d1-3c9c-4307-9096-caa16d8c8c0c</errorID>
      <errorWord>.</errorWord>
      <group>L1_Format</group>
      <groupName>格式问题</groupName>
      <ability>L2_HalfPunc</ability>
      <abilityName>全半角检查</abilityName>
      <candidateList>
        <item>。</item>
      </candidateList>
      <explain>文本全半角错误。</explain>
      <paraID>7287DB00</paraID>
      <start>32</start>
      <end>33</end>
      <status>modified</status>
      <modifiedWord>。</modifiedWord>
      <trackRevisions>false</trackRevisions>
    </reviewItem>
    <reviewItem>
      <errorID>b4a27ad1-dce4-421c-bc0a-3b2612825da3</errorID>
      <errorWord>,</errorWord>
      <group>L1_Format</group>
      <groupName>格式问题</groupName>
      <ability>L2_HalfPunc</ability>
      <abilityName>全半角检查</abilityName>
      <candidateList>
        <item>，</item>
      </candidateList>
      <explain>文本全半角错误。</explain>
      <paraID>21C82450</paraID>
      <start>8</start>
      <end>9</end>
      <status>modified</status>
      <modifiedWord>，</modifiedWord>
      <trackRevisions>false</trackRevisions>
    </reviewItem>
    <reviewItem>
      <errorID>ad28d7ed-0917-4466-9c04-29b35861b19f</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0c8b0011-3060-454e-9006-c5c35680e89d</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1ec300fc-0a08-47b9-927a-87ee6d41996f</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099a7f75-c5c7-47cd-9817-17aad59e6000</errorID>
      <errorWord>担保</errorWord>
      <group>L1_Word</group>
      <groupName>字词问题</groupName>
      <ability>L2_Typo</ability>
      <abilityName>字词错误</abilityName>
      <candidateList>
        <item>保</item>
      </candidateList>
      <explain/>
      <paraID>31C36A69</paraID>
      <start>147</start>
      <end>149</end>
      <status>unmodified</status>
      <modifiedWord/>
      <trackRevisions>false</trackRevisions>
    </reviewItem>
    <reviewItem>
      <errorID>870c0311-9840-41e0-be00-03a7f429bc4f</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b324f69f-3807-4486-bf68-ba678e85ed78</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8b9f250f-c886-4c09-9961-b06770e987f5</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0f5838c4-3a52-42a6-8a43-d965f0a13cd6</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3d75ead0-fca3-4582-8b6b-5e5cd1aba3ba</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3a65e567-cecf-4e9c-adea-8284f4b6e25e</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5dde9978-9798-4328-af0e-f21186c2fe92</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fbb97e1f-2dad-417b-9a28-dd0ae6499d5e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a634e0b8-8967-400f-982b-80bd80b4c460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e629e502-dfab-4720-a0f2-26e0cbe20948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af1cabe3-2373-42c0-8ef0-b9aa7c9bdf7b</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53A52A8D-96DD-4C4B-BBD0-D586429325E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552</cp:revision>
  <dcterms:created xsi:type="dcterms:W3CDTF">2023-03-16T02:16:00Z</dcterms:created>
  <dcterms:modified xsi:type="dcterms:W3CDTF">2026-02-09T05:30:55Z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ACA7CEFD59D6497783D02B5275EB1F31_13</vt:lpwstr>
  </property>
  <property fmtid="{D5CDD505-2E9C-101B-9397-08002B2CF9AE}" pid="4" name="KSOTemplateDocerSaveRecord">
    <vt:lpwstr>eyJoZGlkIjoiYWEwNDBkZDVjMDI2NzVhN2Q2ZjdkYzk3NDg0ZWQ4YWQiLCJ1c2VySWQiOiI1Mzk3NjA2MDAifQ==</vt:lpwstr>
  </property>
</Properties>
</file>