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C93B6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42.75pt;width:219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</w:p>
    <w:p w14:paraId="5DE96851">
      <w:pPr>
        <w:rPr>
          <w:rFonts w:hint="eastAsia" w:eastAsiaTheme="minorEastAsia"/>
          <w:lang w:eastAsia="zh-CN"/>
        </w:rPr>
      </w:pPr>
    </w:p>
    <w:p w14:paraId="7941032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6" o:spt="75" type="#_x0000_t75" style="height:42.75pt;width:150.7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Content" ObjectID="_1468075726" r:id="rId6">
            <o:LockedField>false</o:LockedField>
          </o:OLEObject>
        </w:object>
      </w:r>
    </w:p>
    <w:p w14:paraId="624CBB4F">
      <w:pPr>
        <w:rPr>
          <w:rFonts w:hint="eastAsia" w:eastAsiaTheme="minorEastAsia"/>
          <w:lang w:eastAsia="zh-CN"/>
        </w:rPr>
      </w:pPr>
    </w:p>
    <w:p w14:paraId="1727FA3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7" o:spt="75" type="#_x0000_t75" style="height:42.75pt;width:147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7" DrawAspect="Content" ObjectID="_1468075727" r:id="rId8">
            <o:LockedField>false</o:LockedField>
          </o:OLEObject>
        </w:object>
      </w:r>
    </w:p>
    <w:p w14:paraId="35C9DE97">
      <w:pPr>
        <w:rPr>
          <w:rFonts w:hint="eastAsia" w:eastAsiaTheme="minorEastAsia"/>
          <w:lang w:eastAsia="zh-CN"/>
        </w:rPr>
      </w:pPr>
    </w:p>
    <w:p w14:paraId="23E4AB4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8" o:spt="75" type="#_x0000_t75" style="height:42.75pt;width:150.75pt;" o:ole="t" filled="f" o:preferrelative="t" stroked="f" coordsize="21600,21600"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28" DrawAspect="Content" ObjectID="_1468075728" r:id="rId10">
            <o:LockedField>false</o:LockedField>
          </o:OLEObject>
        </w:object>
      </w:r>
    </w:p>
    <w:p w14:paraId="5CAD5AD0">
      <w:pPr>
        <w:rPr>
          <w:rFonts w:hint="eastAsia" w:eastAsiaTheme="minorEastAsia"/>
          <w:lang w:eastAsia="zh-CN"/>
        </w:rPr>
      </w:pPr>
    </w:p>
    <w:p w14:paraId="36FE18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754AE0F7">
      <w:pPr>
        <w:pageBreakBefore w:val="0"/>
        <w:wordWrap/>
        <w:spacing w:before="160" w:after="0"/>
        <w:ind w:left="0" w:right="0"/>
        <w:jc w:val="center"/>
        <w:textAlignment w:val="auto"/>
        <w:rPr>
          <w:sz w:val="44"/>
          <w:szCs w:val="44"/>
        </w:rPr>
      </w:pPr>
      <w:r>
        <w:rPr>
          <w:rFonts w:hint="eastAsia" w:ascii="宋体" w:hAnsi="宋体" w:cs="宋体"/>
          <w:b/>
          <w:i w:val="0"/>
          <w:spacing w:val="0"/>
          <w:sz w:val="44"/>
          <w:szCs w:val="44"/>
          <w:lang w:val="en-US" w:eastAsia="zh-CN"/>
        </w:rPr>
        <w:t>中益雨污水管网</w:t>
      </w:r>
      <w:r>
        <w:rPr>
          <w:rFonts w:ascii="宋体" w:hAnsi="宋体" w:eastAsia="宋体" w:cs="宋体"/>
          <w:b/>
          <w:i w:val="0"/>
          <w:spacing w:val="0"/>
          <w:sz w:val="44"/>
          <w:szCs w:val="44"/>
        </w:rPr>
        <w:t>规格书</w:t>
      </w:r>
    </w:p>
    <w:p w14:paraId="0B6886FF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项目名称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：污水及雨水管网系统工程</w:t>
      </w:r>
    </w:p>
    <w:p w14:paraId="37F3B25F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编制部门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：工程部</w:t>
      </w:r>
    </w:p>
    <w:p w14:paraId="2B24416F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一、 项目概述</w:t>
      </w:r>
    </w:p>
    <w:p w14:paraId="003C09E4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本项目旨在为新建厂区(总面积约7.1万平方米)建设一套完善、合规、高效的雨污分流管网系统及必要的预处理设施，确保厂区排水顺畅，污水达标排放。</w:t>
      </w:r>
    </w:p>
    <w:p w14:paraId="20B5B443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二、 工程范围</w:t>
      </w:r>
    </w:p>
    <w:p w14:paraId="3C5E5333">
      <w:pPr>
        <w:pageBreakBefore w:val="0"/>
        <w:numPr>
          <w:ilvl w:val="0"/>
          <w:numId w:val="1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lang w:val="en-US" w:eastAsia="zh-CN"/>
        </w:rPr>
        <w:t>界面划分：</w:t>
      </w:r>
      <w:r>
        <w:rPr>
          <w:rFonts w:hint="eastAsia"/>
          <w:sz w:val="24"/>
          <w:lang w:val="en-US" w:eastAsia="zh-CN"/>
        </w:rPr>
        <w:t>厂区建设分2期，</w:t>
      </w:r>
      <w:r>
        <w:rPr>
          <w:rFonts w:hint="eastAsia"/>
          <w:sz w:val="24"/>
          <w:u w:val="single"/>
          <w:lang w:val="en-US" w:eastAsia="zh-CN"/>
        </w:rPr>
        <w:t>本次招标雨污管网界面为厂区南北主干道东边路牙，向西所有管网</w:t>
      </w:r>
      <w:r>
        <w:rPr>
          <w:rFonts w:hint="eastAsia"/>
          <w:sz w:val="24"/>
          <w:lang w:val="en-US" w:eastAsia="zh-CN"/>
        </w:rPr>
        <w:t>，有延伸到南北主干道东边的管网全部留检修井结束，报价包括这个检修井。</w:t>
      </w:r>
    </w:p>
    <w:p w14:paraId="0E42493F">
      <w:pPr>
        <w:pageBreakBefore w:val="0"/>
        <w:numPr>
          <w:ilvl w:val="0"/>
          <w:numId w:val="1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雨水管网系统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：收集厂区屋面及地面雨水，排入市政雨水管网或厂区内受纳水体。</w:t>
      </w:r>
    </w:p>
    <w:p w14:paraId="0F2E2D7F">
      <w:pPr>
        <w:pageBreakBefore w:val="0"/>
        <w:numPr>
          <w:ilvl w:val="0"/>
          <w:numId w:val="1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生活污水管网系统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：</w:t>
      </w:r>
      <w:r>
        <w:rPr>
          <w:rFonts w:hint="eastAsia" w:ascii="宋体" w:hAnsi="宋体" w:cs="宋体"/>
          <w:b w:val="0"/>
          <w:i w:val="0"/>
          <w:spacing w:val="0"/>
          <w:sz w:val="24"/>
          <w:lang w:val="en-US" w:eastAsia="zh-CN"/>
        </w:rPr>
        <w:t>1条管网，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收集办公楼、食堂等区域的生活污水，经化粪池预处理后接入市政污水管网或后续污水处理设施。</w:t>
      </w:r>
    </w:p>
    <w:p w14:paraId="5832296A">
      <w:pPr>
        <w:pageBreakBefore w:val="0"/>
        <w:numPr>
          <w:ilvl w:val="0"/>
          <w:numId w:val="1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生产污水管网系统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：</w:t>
      </w:r>
      <w:r>
        <w:rPr>
          <w:rFonts w:hint="eastAsia" w:ascii="宋体" w:hAnsi="宋体" w:cs="宋体"/>
          <w:b w:val="0"/>
          <w:i w:val="0"/>
          <w:spacing w:val="0"/>
          <w:sz w:val="24"/>
          <w:lang w:val="en-US" w:eastAsia="zh-CN"/>
        </w:rPr>
        <w:t>2条管网，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收集生产车间产生的工艺废水，经</w:t>
      </w:r>
      <w:r>
        <w:rPr>
          <w:rFonts w:hint="eastAsia" w:ascii="宋体" w:hAnsi="宋体" w:cs="宋体"/>
          <w:b w:val="0"/>
          <w:i w:val="0"/>
          <w:spacing w:val="0"/>
          <w:sz w:val="24"/>
          <w:lang w:val="en-US" w:eastAsia="zh-CN"/>
        </w:rPr>
        <w:t>收集沉淀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池等预处理后接入市政污水管网或后续污水处理设施。</w:t>
      </w:r>
    </w:p>
    <w:p w14:paraId="2AAF19E9">
      <w:pPr>
        <w:pageBreakBefore w:val="0"/>
        <w:numPr>
          <w:ilvl w:val="0"/>
          <w:numId w:val="1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污水处理构筑物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：</w:t>
      </w:r>
    </w:p>
    <w:p w14:paraId="3F4C59A8">
      <w:pPr>
        <w:pageBreakBefore w:val="0"/>
        <w:numPr>
          <w:ilvl w:val="1"/>
          <w:numId w:val="2"/>
        </w:numPr>
        <w:wordWrap/>
        <w:spacing w:before="160" w:after="0"/>
        <w:ind w:left="88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钢筋混凝土化粪池：</w:t>
      </w:r>
      <w:r>
        <w:rPr>
          <w:rFonts w:hint="eastAsia" w:ascii="宋体" w:hAnsi="宋体" w:cs="宋体"/>
          <w:b w:val="0"/>
          <w:i w:val="0"/>
          <w:spacing w:val="0"/>
          <w:sz w:val="24"/>
          <w:lang w:val="en-US" w:eastAsia="zh-CN"/>
        </w:rPr>
        <w:t>3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座，容积分别为9</w:t>
      </w:r>
      <w:r>
        <w:rPr>
          <w:rFonts w:hint="eastAsia" w:ascii="宋体" w:hAnsi="宋体" w:cs="宋体"/>
          <w:b w:val="0"/>
          <w:i w:val="0"/>
          <w:spacing w:val="0"/>
          <w:sz w:val="24"/>
          <w:lang w:val="en-US" w:eastAsia="zh-CN"/>
        </w:rPr>
        <w:t>/4/6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立方米。</w:t>
      </w:r>
    </w:p>
    <w:p w14:paraId="5A482D33">
      <w:pPr>
        <w:pageBreakBefore w:val="0"/>
        <w:numPr>
          <w:ilvl w:val="1"/>
          <w:numId w:val="3"/>
        </w:numPr>
        <w:wordWrap/>
        <w:spacing w:before="160" w:after="0"/>
        <w:ind w:left="88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钢筋混凝土</w:t>
      </w:r>
      <w:r>
        <w:rPr>
          <w:rFonts w:hint="eastAsia" w:ascii="宋体" w:hAnsi="宋体" w:cs="宋体"/>
          <w:b w:val="0"/>
          <w:i w:val="0"/>
          <w:spacing w:val="0"/>
          <w:sz w:val="24"/>
          <w:lang w:val="en-US" w:eastAsia="zh-CN"/>
        </w:rPr>
        <w:t>收集沉淀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池：</w:t>
      </w:r>
      <w:r>
        <w:rPr>
          <w:rFonts w:hint="eastAsia" w:ascii="宋体" w:hAnsi="宋体" w:cs="宋体"/>
          <w:b w:val="0"/>
          <w:i w:val="0"/>
          <w:spacing w:val="0"/>
          <w:sz w:val="24"/>
          <w:lang w:val="en-US" w:eastAsia="zh-CN"/>
        </w:rPr>
        <w:t>3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座</w:t>
      </w:r>
      <w:r>
        <w:rPr>
          <w:rFonts w:hint="eastAsia" w:ascii="宋体" w:hAnsi="宋体" w:cs="宋体"/>
          <w:b w:val="0"/>
          <w:i w:val="0"/>
          <w:spacing w:val="0"/>
          <w:sz w:val="24"/>
          <w:lang w:eastAsia="zh-CN"/>
        </w:rPr>
        <w:t>，</w:t>
      </w:r>
      <w:r>
        <w:rPr>
          <w:rFonts w:hint="eastAsia" w:ascii="宋体" w:hAnsi="宋体" w:cs="宋体"/>
          <w:b w:val="0"/>
          <w:i w:val="0"/>
          <w:spacing w:val="0"/>
          <w:sz w:val="24"/>
          <w:lang w:val="en-US" w:eastAsia="zh-CN"/>
        </w:rPr>
        <w:t>污水收集池5米*31米，污水预处理池4.6米*13.8米，高温污水池2米*3米，详见施工图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。</w:t>
      </w:r>
    </w:p>
    <w:p w14:paraId="17F526D2">
      <w:pPr>
        <w:pageBreakBefore w:val="0"/>
        <w:numPr>
          <w:ilvl w:val="0"/>
          <w:numId w:val="1"/>
        </w:numPr>
        <w:wordWrap/>
        <w:spacing w:before="160" w:after="0"/>
        <w:ind w:left="440" w:right="0" w:hanging="440"/>
        <w:jc w:val="left"/>
        <w:textAlignment w:val="auto"/>
        <w:rPr>
          <w:rFonts w:ascii="宋体" w:hAnsi="宋体" w:eastAsia="宋体" w:cs="宋体"/>
          <w:b/>
          <w:i w:val="0"/>
          <w:spacing w:val="0"/>
          <w:sz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lang w:val="en-US" w:eastAsia="zh-CN"/>
        </w:rPr>
        <w:t>详细工程量及施工方案、材料说明</w:t>
      </w:r>
    </w:p>
    <w:p w14:paraId="11920620">
      <w:pPr>
        <w:pageBreakBefore w:val="0"/>
        <w:numPr>
          <w:ilvl w:val="1"/>
          <w:numId w:val="3"/>
        </w:numPr>
        <w:wordWrap/>
        <w:spacing w:before="160" w:after="0"/>
        <w:ind w:left="880" w:right="0" w:hanging="440"/>
        <w:jc w:val="left"/>
        <w:textAlignment w:val="auto"/>
        <w:rPr>
          <w:rFonts w:hint="default" w:ascii="宋体" w:hAnsi="宋体" w:eastAsia="宋体" w:cs="宋体"/>
          <w:b w:val="0"/>
          <w:i w:val="0"/>
          <w:spacing w:val="0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lang w:val="en-US" w:eastAsia="zh-CN"/>
        </w:rPr>
        <w:t>详细内《中益室外雨污水总平图》内排水设计施工说明。</w:t>
      </w:r>
    </w:p>
    <w:p w14:paraId="2808D571">
      <w:pPr>
        <w:pageBreakBefore w:val="0"/>
        <w:widowControl w:val="0"/>
        <w:numPr>
          <w:ilvl w:val="0"/>
          <w:numId w:val="0"/>
        </w:numPr>
        <w:wordWrap/>
        <w:spacing w:before="160" w:after="0"/>
        <w:ind w:right="0" w:rightChars="0"/>
        <w:jc w:val="left"/>
        <w:textAlignment w:val="auto"/>
        <w:rPr>
          <w:rFonts w:hint="eastAsia" w:ascii="宋体" w:hAnsi="宋体" w:eastAsia="宋体" w:cs="宋体"/>
          <w:b/>
          <w:i w:val="0"/>
          <w:spacing w:val="0"/>
          <w:sz w:val="24"/>
          <w:lang w:val="en-US" w:eastAsia="zh-CN"/>
        </w:rPr>
      </w:pPr>
    </w:p>
    <w:p w14:paraId="5F5A1FF0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三、 设计与施工依据</w:t>
      </w:r>
    </w:p>
    <w:p w14:paraId="6EBEA11F">
      <w:pPr>
        <w:pageBreakBefore w:val="0"/>
        <w:numPr>
          <w:ilvl w:val="0"/>
          <w:numId w:val="4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《室外排水设计标准》（GB 50014）</w:t>
      </w:r>
    </w:p>
    <w:p w14:paraId="3BFF58B8">
      <w:pPr>
        <w:pageBreakBefore w:val="0"/>
        <w:numPr>
          <w:ilvl w:val="0"/>
          <w:numId w:val="5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《给水排水管道工程施工及验收规范》（GB 50268）</w:t>
      </w:r>
    </w:p>
    <w:p w14:paraId="432AEDD3">
      <w:pPr>
        <w:pageBreakBefore w:val="0"/>
        <w:numPr>
          <w:ilvl w:val="0"/>
          <w:numId w:val="6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《给水排水构筑物工程施工及验收规范》（GB 50141）</w:t>
      </w:r>
    </w:p>
    <w:p w14:paraId="4A496A08">
      <w:pPr>
        <w:pageBreakBefore w:val="0"/>
        <w:numPr>
          <w:ilvl w:val="0"/>
          <w:numId w:val="7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《建筑给水排水设计标准》（GB 50015）</w:t>
      </w:r>
    </w:p>
    <w:p w14:paraId="48F198C5">
      <w:pPr>
        <w:pageBreakBefore w:val="0"/>
        <w:numPr>
          <w:ilvl w:val="0"/>
          <w:numId w:val="8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《混凝土结构设计规范》（GB 50010）</w:t>
      </w:r>
    </w:p>
    <w:p w14:paraId="0B1D8E99">
      <w:pPr>
        <w:pageBreakBefore w:val="0"/>
        <w:numPr>
          <w:ilvl w:val="0"/>
          <w:numId w:val="9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04S519《小型排水构筑物》图集</w:t>
      </w:r>
    </w:p>
    <w:p w14:paraId="7488AD09">
      <w:pPr>
        <w:pageBreakBefore w:val="0"/>
        <w:numPr>
          <w:ilvl w:val="0"/>
          <w:numId w:val="10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《排污许可证申请与核发技术规范 纺织印染工业》（HJ 861—2017）</w:t>
      </w:r>
    </w:p>
    <w:p w14:paraId="6B325671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四、 材料规格要求</w:t>
      </w:r>
    </w:p>
    <w:p w14:paraId="08443A8E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4.1 管道材料</w:t>
      </w:r>
    </w:p>
    <w:p w14:paraId="0824BB93">
      <w:pPr>
        <w:pageBreakBefore w:val="0"/>
        <w:numPr>
          <w:ilvl w:val="0"/>
          <w:numId w:val="11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hint="eastAsia" w:ascii="宋体" w:hAnsi="宋体" w:cs="宋体"/>
          <w:b/>
          <w:i w:val="0"/>
          <w:spacing w:val="0"/>
          <w:sz w:val="24"/>
          <w:lang w:val="en-US" w:eastAsia="zh-CN"/>
        </w:rPr>
        <w:t>详见排水设计施工说明表，《主要材料表》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：</w:t>
      </w:r>
    </w:p>
    <w:p w14:paraId="4A1FF9ED">
      <w:pPr>
        <w:pageBreakBefore w:val="0"/>
        <w:numPr>
          <w:ilvl w:val="1"/>
          <w:numId w:val="12"/>
        </w:numPr>
        <w:wordWrap/>
        <w:spacing w:before="160" w:after="0"/>
        <w:ind w:left="880" w:right="0" w:hanging="440"/>
        <w:jc w:val="left"/>
        <w:textAlignment w:val="auto"/>
        <w:rPr>
          <w:sz w:val="24"/>
        </w:rPr>
      </w:pPr>
      <w:r>
        <w:rPr>
          <w:rFonts w:hint="eastAsia" w:ascii="宋体" w:hAnsi="宋体" w:cs="宋体"/>
          <w:b w:val="0"/>
          <w:i w:val="0"/>
          <w:spacing w:val="0"/>
          <w:sz w:val="24"/>
          <w:lang w:val="en-US" w:eastAsia="zh-CN"/>
        </w:rPr>
        <w:t>使用</w:t>
      </w:r>
      <w:r>
        <w:rPr>
          <w:rFonts w:ascii="宋体" w:hAnsi="宋体" w:eastAsia="宋体" w:cs="宋体"/>
          <w:b/>
          <w:i w:val="0"/>
          <w:spacing w:val="0"/>
          <w:sz w:val="24"/>
        </w:rPr>
        <w:t>钢管</w:t>
      </w:r>
      <w:r>
        <w:rPr>
          <w:rFonts w:hint="eastAsia" w:ascii="宋体" w:hAnsi="宋体" w:cs="宋体"/>
          <w:b w:val="0"/>
          <w:i w:val="0"/>
          <w:spacing w:val="0"/>
          <w:sz w:val="24"/>
          <w:lang w:val="en-US" w:eastAsia="zh-CN"/>
        </w:rPr>
        <w:t>时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需做内外防腐处理。</w:t>
      </w:r>
    </w:p>
    <w:p w14:paraId="72A0C57B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4.2 管道连接与密封</w:t>
      </w:r>
    </w:p>
    <w:p w14:paraId="50254D60">
      <w:pPr>
        <w:pageBreakBefore w:val="0"/>
        <w:numPr>
          <w:ilvl w:val="0"/>
          <w:numId w:val="13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所有管道连接必须严密，防止渗漏。</w:t>
      </w:r>
    </w:p>
    <w:p w14:paraId="005D0CCE">
      <w:pPr>
        <w:pageBreakBefore w:val="0"/>
        <w:numPr>
          <w:ilvl w:val="0"/>
          <w:numId w:val="14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塑料管道连接应采用配套的橡胶圈接口或热熔/电熔连接，确保接口强度和密封性。</w:t>
      </w:r>
    </w:p>
    <w:p w14:paraId="7F18BE20">
      <w:pPr>
        <w:pageBreakBefore w:val="0"/>
        <w:numPr>
          <w:ilvl w:val="0"/>
          <w:numId w:val="15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钢管连接宜采用焊接或法兰连接，并做好防腐处理。</w:t>
      </w:r>
    </w:p>
    <w:p w14:paraId="4A4955CC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4.3 检查井</w:t>
      </w:r>
    </w:p>
    <w:p w14:paraId="70752CC1">
      <w:pPr>
        <w:pageBreakBefore w:val="0"/>
        <w:numPr>
          <w:ilvl w:val="0"/>
          <w:numId w:val="16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hint="eastAsia"/>
          <w:b/>
          <w:bCs/>
          <w:sz w:val="24"/>
          <w:lang w:val="en-US" w:eastAsia="zh-CN"/>
        </w:rPr>
        <w:t>材质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sz w:val="24"/>
        </w:rPr>
        <w:t>预制混凝土井，要求混凝土强度达到C30以上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</w:rPr>
        <w:t>确保井壁坚固，不易变形。</w:t>
      </w:r>
    </w:p>
    <w:p w14:paraId="3C5298EF">
      <w:pPr>
        <w:pageBreakBefore w:val="0"/>
        <w:numPr>
          <w:ilvl w:val="0"/>
          <w:numId w:val="17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井盖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：检查井</w:t>
      </w:r>
      <w:r>
        <w:rPr>
          <w:rFonts w:hint="eastAsia" w:ascii="宋体" w:hAnsi="宋体" w:cs="宋体"/>
          <w:b w:val="0"/>
          <w:i w:val="0"/>
          <w:spacing w:val="0"/>
          <w:sz w:val="24"/>
          <w:lang w:val="en-US" w:eastAsia="zh-CN"/>
        </w:rPr>
        <w:t>的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井盖应采用重型铸铁井盖（如D400级），并具备防盗、防响、防跳、防沉降功能。</w:t>
      </w:r>
    </w:p>
    <w:p w14:paraId="75B22187">
      <w:pPr>
        <w:pageBreakBefore w:val="0"/>
        <w:numPr>
          <w:ilvl w:val="0"/>
          <w:numId w:val="18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井内设施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：检查井内宜设置流槽，降低水流阻力。井底可根据需要设置沉泥槽（深度50-70cm）。</w:t>
      </w:r>
    </w:p>
    <w:p w14:paraId="2E4CE2E5">
      <w:pPr>
        <w:pageBreakBefore w:val="0"/>
        <w:wordWrap/>
        <w:spacing w:before="160" w:after="0"/>
        <w:ind w:left="0" w:right="0"/>
        <w:jc w:val="left"/>
        <w:textAlignment w:val="auto"/>
        <w:rPr>
          <w:rFonts w:hint="eastAsia" w:ascii="宋体" w:hAnsi="宋体" w:eastAsia="宋体" w:cs="宋体"/>
          <w:b/>
          <w:i w:val="0"/>
          <w:spacing w:val="0"/>
          <w:sz w:val="24"/>
          <w:lang w:val="en-US" w:eastAsia="zh-CN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4.</w:t>
      </w:r>
      <w:r>
        <w:rPr>
          <w:rFonts w:hint="eastAsia" w:ascii="宋体" w:hAnsi="宋体" w:cs="宋体"/>
          <w:b/>
          <w:i w:val="0"/>
          <w:spacing w:val="0"/>
          <w:sz w:val="24"/>
          <w:lang w:val="en-US" w:eastAsia="zh-CN"/>
        </w:rPr>
        <w:t>4</w:t>
      </w:r>
      <w:r>
        <w:rPr>
          <w:rFonts w:ascii="宋体" w:hAnsi="宋体" w:eastAsia="宋体" w:cs="宋体"/>
          <w:b/>
          <w:i w:val="0"/>
          <w:spacing w:val="0"/>
          <w:sz w:val="24"/>
        </w:rPr>
        <w:t xml:space="preserve"> </w:t>
      </w:r>
      <w:r>
        <w:rPr>
          <w:rFonts w:hint="eastAsia" w:ascii="宋体" w:hAnsi="宋体" w:eastAsia="宋体" w:cs="宋体"/>
          <w:b/>
          <w:i w:val="0"/>
          <w:spacing w:val="0"/>
          <w:sz w:val="24"/>
          <w:lang w:val="en-US" w:eastAsia="zh-CN"/>
        </w:rPr>
        <w:t>品牌要求表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"/>
        <w:gridCol w:w="2835"/>
        <w:gridCol w:w="3518"/>
        <w:gridCol w:w="1335"/>
      </w:tblGrid>
      <w:tr w14:paraId="42B66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</w:tcPr>
          <w:p w14:paraId="39DD095D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default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2940" w:type="dxa"/>
          </w:tcPr>
          <w:p w14:paraId="39889314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default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材料名称</w:t>
            </w:r>
          </w:p>
        </w:tc>
        <w:tc>
          <w:tcPr>
            <w:tcW w:w="3696" w:type="dxa"/>
          </w:tcPr>
          <w:p w14:paraId="4914C4EA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default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品牌</w:t>
            </w:r>
          </w:p>
        </w:tc>
        <w:tc>
          <w:tcPr>
            <w:tcW w:w="1362" w:type="dxa"/>
          </w:tcPr>
          <w:p w14:paraId="05C92C15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default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备注</w:t>
            </w:r>
          </w:p>
        </w:tc>
      </w:tr>
      <w:tr w14:paraId="5FECC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</w:tcPr>
          <w:p w14:paraId="07C8F8C4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default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940" w:type="dxa"/>
          </w:tcPr>
          <w:p w14:paraId="63FD84EC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b w:val="0"/>
                <w:i w:val="0"/>
                <w:spacing w:val="0"/>
                <w:sz w:val="24"/>
              </w:rPr>
              <w:t>高密度聚乙烯（HDPE）双壁波纹管</w:t>
            </w:r>
          </w:p>
        </w:tc>
        <w:tc>
          <w:tcPr>
            <w:tcW w:w="3696" w:type="dxa"/>
          </w:tcPr>
          <w:p w14:paraId="4D2EE7F5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pacing w:val="0"/>
                <w:sz w:val="24"/>
                <w:lang w:val="en-US" w:eastAsia="zh-CN"/>
              </w:rPr>
              <w:t>联塑、中财、伟星、金牛</w:t>
            </w:r>
          </w:p>
        </w:tc>
        <w:tc>
          <w:tcPr>
            <w:tcW w:w="1362" w:type="dxa"/>
          </w:tcPr>
          <w:p w14:paraId="126F9238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eastAsia"/>
                <w:sz w:val="24"/>
                <w:vertAlign w:val="baseline"/>
                <w:lang w:val="en-US" w:eastAsia="zh-CN"/>
              </w:rPr>
            </w:pPr>
          </w:p>
        </w:tc>
      </w:tr>
      <w:tr w14:paraId="39534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</w:tcPr>
          <w:p w14:paraId="0D2FC64D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default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940" w:type="dxa"/>
          </w:tcPr>
          <w:p w14:paraId="249A0089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b w:val="0"/>
                <w:bCs/>
                <w:i w:val="0"/>
                <w:spacing w:val="0"/>
                <w:sz w:val="24"/>
              </w:rPr>
              <w:t>聚乙烯（PE）管</w:t>
            </w:r>
          </w:p>
        </w:tc>
        <w:tc>
          <w:tcPr>
            <w:tcW w:w="3696" w:type="dxa"/>
          </w:tcPr>
          <w:p w14:paraId="1448493C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pacing w:val="0"/>
                <w:sz w:val="24"/>
                <w:lang w:val="en-US" w:eastAsia="zh-CN"/>
              </w:rPr>
              <w:t>联塑、中财、伟星、金牛</w:t>
            </w:r>
          </w:p>
        </w:tc>
        <w:tc>
          <w:tcPr>
            <w:tcW w:w="1362" w:type="dxa"/>
          </w:tcPr>
          <w:p w14:paraId="12045574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eastAsia"/>
                <w:sz w:val="24"/>
                <w:vertAlign w:val="baseline"/>
                <w:lang w:val="en-US" w:eastAsia="zh-CN"/>
              </w:rPr>
            </w:pPr>
          </w:p>
        </w:tc>
      </w:tr>
      <w:tr w14:paraId="38357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</w:tcPr>
          <w:p w14:paraId="764E03DD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default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2940" w:type="dxa"/>
          </w:tcPr>
          <w:p w14:paraId="522C3628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default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热熔法施工聚合物改性防水卷材</w:t>
            </w:r>
          </w:p>
        </w:tc>
        <w:tc>
          <w:tcPr>
            <w:tcW w:w="3696" w:type="dxa"/>
          </w:tcPr>
          <w:p w14:paraId="2F8EE531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东方雨虹、好盾、贝斯特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科顺</w:t>
            </w:r>
          </w:p>
        </w:tc>
        <w:tc>
          <w:tcPr>
            <w:tcW w:w="1362" w:type="dxa"/>
          </w:tcPr>
          <w:p w14:paraId="54612CFC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3mm厚</w:t>
            </w:r>
          </w:p>
        </w:tc>
      </w:tr>
      <w:tr w14:paraId="01E58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</w:tcPr>
          <w:p w14:paraId="1621BC5E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default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2940" w:type="dxa"/>
          </w:tcPr>
          <w:p w14:paraId="55865166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default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反应型高分子类防水涂料</w:t>
            </w:r>
          </w:p>
        </w:tc>
        <w:tc>
          <w:tcPr>
            <w:tcW w:w="3696" w:type="dxa"/>
          </w:tcPr>
          <w:p w14:paraId="2E481495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东方雨虹、好盾、贝斯特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科顺</w:t>
            </w:r>
          </w:p>
        </w:tc>
        <w:tc>
          <w:tcPr>
            <w:tcW w:w="1362" w:type="dxa"/>
          </w:tcPr>
          <w:p w14:paraId="2D57A471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default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1.5mm厚</w:t>
            </w:r>
          </w:p>
        </w:tc>
      </w:tr>
      <w:tr w14:paraId="0A9943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</w:tcPr>
          <w:p w14:paraId="3C885AFC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default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2940" w:type="dxa"/>
          </w:tcPr>
          <w:p w14:paraId="25159F32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default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商砼</w:t>
            </w:r>
          </w:p>
        </w:tc>
        <w:tc>
          <w:tcPr>
            <w:tcW w:w="3696" w:type="dxa"/>
          </w:tcPr>
          <w:p w14:paraId="3E3E2C36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default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泰兴国裕、泰兴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泰宏、泰兴和泰</w:t>
            </w:r>
          </w:p>
        </w:tc>
        <w:tc>
          <w:tcPr>
            <w:tcW w:w="1362" w:type="dxa"/>
          </w:tcPr>
          <w:p w14:paraId="1D34EFCD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eastAsia"/>
                <w:sz w:val="24"/>
                <w:vertAlign w:val="baseline"/>
                <w:lang w:val="en-US" w:eastAsia="zh-CN"/>
              </w:rPr>
            </w:pPr>
          </w:p>
        </w:tc>
      </w:tr>
      <w:tr w14:paraId="1B49F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</w:tcPr>
          <w:p w14:paraId="609574B4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default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2940" w:type="dxa"/>
          </w:tcPr>
          <w:p w14:paraId="5579A08D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default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螺纹钢</w:t>
            </w:r>
          </w:p>
        </w:tc>
        <w:tc>
          <w:tcPr>
            <w:tcW w:w="3696" w:type="dxa"/>
          </w:tcPr>
          <w:p w14:paraId="16D5A925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马钢、宝钢、沙钢、武钢、永钢</w:t>
            </w:r>
          </w:p>
        </w:tc>
        <w:tc>
          <w:tcPr>
            <w:tcW w:w="1362" w:type="dxa"/>
          </w:tcPr>
          <w:p w14:paraId="6A4D7217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eastAsia"/>
                <w:sz w:val="24"/>
                <w:vertAlign w:val="baseline"/>
                <w:lang w:val="en-US" w:eastAsia="zh-CN"/>
              </w:rPr>
            </w:pPr>
          </w:p>
        </w:tc>
      </w:tr>
      <w:tr w14:paraId="7E455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</w:tcPr>
          <w:p w14:paraId="2DDDFFE2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default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7B5CF3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strike w:val="0"/>
                <w:dstrike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水泥</w:t>
            </w:r>
          </w:p>
        </w:tc>
        <w:tc>
          <w:tcPr>
            <w:tcW w:w="3696" w:type="dxa"/>
            <w:shd w:val="clear" w:color="auto" w:fill="auto"/>
            <w:vAlign w:val="center"/>
          </w:tcPr>
          <w:p w14:paraId="37B4F5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strike w:val="0"/>
                <w:dstrike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海螺、华新、中材、福建</w:t>
            </w:r>
          </w:p>
        </w:tc>
        <w:tc>
          <w:tcPr>
            <w:tcW w:w="1362" w:type="dxa"/>
          </w:tcPr>
          <w:p w14:paraId="5A817037">
            <w:pPr>
              <w:pageBreakBefore w:val="0"/>
              <w:widowControl w:val="0"/>
              <w:numPr>
                <w:ilvl w:val="0"/>
                <w:numId w:val="0"/>
              </w:numPr>
              <w:wordWrap/>
              <w:spacing w:before="160" w:after="0"/>
              <w:ind w:right="0" w:rightChars="0"/>
              <w:jc w:val="left"/>
              <w:textAlignment w:val="auto"/>
              <w:rPr>
                <w:rFonts w:hint="eastAsia"/>
                <w:sz w:val="24"/>
                <w:vertAlign w:val="baseline"/>
                <w:lang w:val="en-US" w:eastAsia="zh-CN"/>
              </w:rPr>
            </w:pPr>
          </w:p>
        </w:tc>
      </w:tr>
    </w:tbl>
    <w:p w14:paraId="1B2FF27F">
      <w:pPr>
        <w:pageBreakBefore w:val="0"/>
        <w:widowControl w:val="0"/>
        <w:numPr>
          <w:ilvl w:val="0"/>
          <w:numId w:val="0"/>
        </w:numPr>
        <w:wordWrap/>
        <w:spacing w:before="160" w:after="0"/>
        <w:ind w:right="0" w:rightChars="0"/>
        <w:jc w:val="left"/>
        <w:textAlignment w:val="auto"/>
        <w:rPr>
          <w:rFonts w:hint="eastAsia"/>
          <w:sz w:val="24"/>
          <w:lang w:val="en-US" w:eastAsia="zh-CN"/>
        </w:rPr>
      </w:pPr>
    </w:p>
    <w:p w14:paraId="13741DF2">
      <w:pPr>
        <w:pageBreakBefore w:val="0"/>
        <w:widowControl w:val="0"/>
        <w:numPr>
          <w:ilvl w:val="0"/>
          <w:numId w:val="0"/>
        </w:numPr>
        <w:wordWrap/>
        <w:spacing w:before="160" w:after="0"/>
        <w:ind w:right="0" w:rightChars="0"/>
        <w:jc w:val="left"/>
        <w:textAlignment w:val="auto"/>
        <w:rPr>
          <w:rFonts w:hint="eastAsia"/>
          <w:sz w:val="24"/>
          <w:lang w:val="en-US" w:eastAsia="zh-CN"/>
        </w:rPr>
      </w:pPr>
    </w:p>
    <w:p w14:paraId="47FB265B">
      <w:pPr>
        <w:pageBreakBefore w:val="0"/>
        <w:widowControl w:val="0"/>
        <w:numPr>
          <w:ilvl w:val="0"/>
          <w:numId w:val="0"/>
        </w:numPr>
        <w:wordWrap/>
        <w:spacing w:before="160" w:after="0"/>
        <w:ind w:right="0" w:rightChars="0"/>
        <w:jc w:val="left"/>
        <w:textAlignment w:val="auto"/>
        <w:rPr>
          <w:rFonts w:hint="default"/>
          <w:sz w:val="24"/>
          <w:lang w:val="en-US" w:eastAsia="zh-CN"/>
        </w:rPr>
      </w:pPr>
    </w:p>
    <w:p w14:paraId="10EF020A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五、 施工技术要求</w:t>
      </w:r>
    </w:p>
    <w:p w14:paraId="283683BB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5.1 测量放线</w:t>
      </w:r>
    </w:p>
    <w:p w14:paraId="58FA000C">
      <w:pPr>
        <w:pageBreakBefore w:val="0"/>
        <w:numPr>
          <w:ilvl w:val="0"/>
          <w:numId w:val="19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严格按照设计图纸进行测量放线，确保管道走向、标高、坡度准确无误。</w:t>
      </w:r>
    </w:p>
    <w:p w14:paraId="11759842">
      <w:pPr>
        <w:pageBreakBefore w:val="0"/>
        <w:numPr>
          <w:ilvl w:val="0"/>
          <w:numId w:val="20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特别注意控制坡度要求。</w:t>
      </w:r>
    </w:p>
    <w:p w14:paraId="64950304">
      <w:pPr>
        <w:pageBreakBefore w:val="0"/>
        <w:numPr>
          <w:ilvl w:val="0"/>
          <w:numId w:val="20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hint="eastAsia" w:ascii="宋体" w:hAnsi="宋体" w:cs="宋体"/>
          <w:b w:val="0"/>
          <w:i w:val="0"/>
          <w:spacing w:val="0"/>
          <w:sz w:val="24"/>
          <w:lang w:val="en-US" w:eastAsia="zh-CN"/>
        </w:rPr>
        <w:t>施工总必须与甲方确认管道走向，需配合所有管线施工</w:t>
      </w:r>
    </w:p>
    <w:p w14:paraId="3C659BE7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5.2 沟槽开挖</w:t>
      </w:r>
    </w:p>
    <w:p w14:paraId="15350BE9">
      <w:pPr>
        <w:pageBreakBefore w:val="0"/>
        <w:numPr>
          <w:ilvl w:val="0"/>
          <w:numId w:val="21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开挖前应探明地下原有管线情况，确保施工安全。</w:t>
      </w:r>
    </w:p>
    <w:p w14:paraId="01DC8EEA">
      <w:pPr>
        <w:pageBreakBefore w:val="0"/>
        <w:numPr>
          <w:ilvl w:val="0"/>
          <w:numId w:val="22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挖深超过一定深度（如1.5米）时，应采取放坡或支护措施，防止塌方。</w:t>
      </w:r>
    </w:p>
    <w:p w14:paraId="218DEC36">
      <w:pPr>
        <w:pageBreakBefore w:val="0"/>
        <w:numPr>
          <w:ilvl w:val="0"/>
          <w:numId w:val="23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沟槽底部应平整、夯实，铺设设计要求的垫层（如砂垫层或混凝土垫层）。</w:t>
      </w:r>
    </w:p>
    <w:p w14:paraId="6FFA9B43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5.3 管道铺设</w:t>
      </w:r>
    </w:p>
    <w:p w14:paraId="05A82852">
      <w:pPr>
        <w:pageBreakBefore w:val="0"/>
        <w:numPr>
          <w:ilvl w:val="0"/>
          <w:numId w:val="24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管道铺设应顺直，接口严密，不得有倒坡或积水现象。</w:t>
      </w:r>
    </w:p>
    <w:p w14:paraId="3B4B2CD7">
      <w:pPr>
        <w:pageBreakBefore w:val="0"/>
        <w:numPr>
          <w:ilvl w:val="0"/>
          <w:numId w:val="25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管道与检查井的连接处应严密，防止渗漏。</w:t>
      </w:r>
    </w:p>
    <w:p w14:paraId="252D0F49">
      <w:pPr>
        <w:pageBreakBefore w:val="0"/>
        <w:numPr>
          <w:ilvl w:val="0"/>
          <w:numId w:val="26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生产污水管道（WW）在铺设时，应特别注意其耐腐蚀性，避免与尖锐硬物接触。</w:t>
      </w:r>
    </w:p>
    <w:p w14:paraId="6C91AEA6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5.4 构筑物施工</w:t>
      </w:r>
    </w:p>
    <w:p w14:paraId="047E37BB">
      <w:pPr>
        <w:pageBreakBefore w:val="0"/>
        <w:numPr>
          <w:ilvl w:val="0"/>
          <w:numId w:val="27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化粪池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：</w:t>
      </w:r>
    </w:p>
    <w:p w14:paraId="30038B84">
      <w:pPr>
        <w:pageBreakBefore w:val="0"/>
        <w:numPr>
          <w:ilvl w:val="1"/>
          <w:numId w:val="28"/>
        </w:numPr>
        <w:wordWrap/>
        <w:spacing w:before="160" w:after="0"/>
        <w:ind w:left="88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按照04S519图集或相关标准图集进行施工。</w:t>
      </w:r>
    </w:p>
    <w:p w14:paraId="25F42BAB">
      <w:pPr>
        <w:pageBreakBefore w:val="0"/>
        <w:numPr>
          <w:ilvl w:val="1"/>
          <w:numId w:val="29"/>
        </w:numPr>
        <w:wordWrap/>
        <w:spacing w:before="160" w:after="0"/>
        <w:ind w:left="88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化粪池应根据实际使用人数和污水量进行合理选型和定位。</w:t>
      </w:r>
    </w:p>
    <w:p w14:paraId="66F89DA6">
      <w:pPr>
        <w:pageBreakBefore w:val="0"/>
        <w:numPr>
          <w:ilvl w:val="1"/>
          <w:numId w:val="30"/>
        </w:numPr>
        <w:wordWrap/>
        <w:spacing w:before="160" w:after="0"/>
        <w:ind w:left="88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确保进出水口标高正确，预留好进出水管接口。</w:t>
      </w:r>
    </w:p>
    <w:p w14:paraId="28216F61">
      <w:pPr>
        <w:pageBreakBefore w:val="0"/>
        <w:numPr>
          <w:ilvl w:val="1"/>
          <w:numId w:val="31"/>
        </w:numPr>
        <w:wordWrap/>
        <w:spacing w:before="160" w:after="0"/>
        <w:ind w:left="88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施工完成后，必须进行满水试验，确保无渗漏。</w:t>
      </w:r>
    </w:p>
    <w:p w14:paraId="5287F23E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5.5 回填土</w:t>
      </w:r>
    </w:p>
    <w:p w14:paraId="1550FBD0">
      <w:pPr>
        <w:pageBreakBefore w:val="0"/>
        <w:numPr>
          <w:ilvl w:val="0"/>
          <w:numId w:val="32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管道或构筑物两侧及管顶以上50cm范围内，应采用细土分层对称回填，人工夯实，严禁单侧回填或使用机械直接回填。</w:t>
      </w:r>
    </w:p>
    <w:p w14:paraId="7F5EFC25">
      <w:pPr>
        <w:pageBreakBefore w:val="0"/>
        <w:numPr>
          <w:ilvl w:val="0"/>
          <w:numId w:val="33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回填土中不得含有尖角石块、砖头、冻土及有机杂物。</w:t>
      </w:r>
    </w:p>
    <w:p w14:paraId="3E1F584F">
      <w:pPr>
        <w:pageBreakBefore w:val="0"/>
        <w:numPr>
          <w:ilvl w:val="0"/>
          <w:numId w:val="34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管道上方覆土厚度应满足设计及规范要求，特别是位于道路下的管道，覆土厚度不足时需采取加固措施。</w:t>
      </w:r>
    </w:p>
    <w:p w14:paraId="48DB6622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5.6 闭水试验</w:t>
      </w:r>
    </w:p>
    <w:p w14:paraId="2092DAF4">
      <w:pPr>
        <w:pageBreakBefore w:val="0"/>
        <w:numPr>
          <w:ilvl w:val="0"/>
          <w:numId w:val="35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雨水、污水管道铺设完毕后，必须按规范要求进行闭水试验。</w:t>
      </w:r>
    </w:p>
    <w:p w14:paraId="72B7EDE2">
      <w:pPr>
        <w:pageBreakBefore w:val="0"/>
        <w:numPr>
          <w:ilvl w:val="0"/>
          <w:numId w:val="36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化粪池、隔油池等构筑物施工完成后，必须进行满水试验，确保无渗漏。</w:t>
      </w:r>
    </w:p>
    <w:p w14:paraId="1BBAE161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六、 验收标准</w:t>
      </w:r>
    </w:p>
    <w:p w14:paraId="009DB4B1">
      <w:pPr>
        <w:pageBreakBefore w:val="0"/>
        <w:numPr>
          <w:ilvl w:val="0"/>
          <w:numId w:val="37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所有工程必须符合上述“设计与施工依据”中所列的国家及行业标准。</w:t>
      </w:r>
    </w:p>
    <w:p w14:paraId="1BD9D82D">
      <w:pPr>
        <w:pageBreakBefore w:val="0"/>
        <w:numPr>
          <w:ilvl w:val="0"/>
          <w:numId w:val="38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管道坡度、标高、走向符合设计要求。</w:t>
      </w:r>
    </w:p>
    <w:p w14:paraId="643E2F69">
      <w:pPr>
        <w:pageBreakBefore w:val="0"/>
        <w:numPr>
          <w:ilvl w:val="0"/>
          <w:numId w:val="39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管道接口严密，无渗漏。</w:t>
      </w:r>
    </w:p>
    <w:p w14:paraId="254BA6FF">
      <w:pPr>
        <w:pageBreakBefore w:val="0"/>
        <w:numPr>
          <w:ilvl w:val="0"/>
          <w:numId w:val="40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检查井砌筑规范，井盖安装平稳。</w:t>
      </w:r>
    </w:p>
    <w:p w14:paraId="27B278E5">
      <w:pPr>
        <w:pageBreakBefore w:val="0"/>
        <w:numPr>
          <w:ilvl w:val="0"/>
          <w:numId w:val="41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化粪池、隔油池结构完整，无裂缝，无渗漏，进出水通畅。</w:t>
      </w:r>
    </w:p>
    <w:p w14:paraId="16677A42">
      <w:pPr>
        <w:pageBreakBefore w:val="0"/>
        <w:numPr>
          <w:ilvl w:val="0"/>
          <w:numId w:val="42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隐蔽工程（如沟槽、管道、垫层等）在隐蔽前必须经工程部及相关方验收合格。</w:t>
      </w:r>
    </w:p>
    <w:p w14:paraId="664DD4BB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七、 安全文明施工</w:t>
      </w:r>
    </w:p>
    <w:p w14:paraId="61C81294">
      <w:pPr>
        <w:pageBreakBefore w:val="0"/>
        <w:numPr>
          <w:ilvl w:val="0"/>
          <w:numId w:val="43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施工现场必须设置安全警示标志，采取必要的安全防护措施。</w:t>
      </w:r>
    </w:p>
    <w:p w14:paraId="2FB92B7E">
      <w:pPr>
        <w:pageBreakBefore w:val="0"/>
        <w:numPr>
          <w:ilvl w:val="0"/>
          <w:numId w:val="44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沟槽开挖应做好支护，防止塌方。</w:t>
      </w:r>
    </w:p>
    <w:p w14:paraId="67B6491D">
      <w:pPr>
        <w:pageBreakBefore w:val="0"/>
        <w:numPr>
          <w:ilvl w:val="0"/>
          <w:numId w:val="45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施工人员进入深基坑或检查井作业时，必须严格遵守有限空间作业安全规程，做好通风、检测、监护等措施。</w:t>
      </w:r>
    </w:p>
    <w:p w14:paraId="225AC08E">
      <w:pPr>
        <w:pageBreakBefore w:val="0"/>
        <w:numPr>
          <w:ilvl w:val="0"/>
          <w:numId w:val="46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</w:rPr>
        <w:t>施工现场应保持整洁，材料堆放有序，及时清运施工垃圾。</w:t>
      </w:r>
    </w:p>
    <w:p w14:paraId="3D3A2FB6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八、 其他要求</w:t>
      </w:r>
    </w:p>
    <w:p w14:paraId="17F7284F">
      <w:pPr>
        <w:pageBreakBefore w:val="0"/>
        <w:numPr>
          <w:ilvl w:val="0"/>
          <w:numId w:val="47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雨污分流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：施工过程中必须严格区分雨水和污水管网，严禁混接、错接。</w:t>
      </w:r>
    </w:p>
    <w:p w14:paraId="36A2D89D">
      <w:pPr>
        <w:pageBreakBefore w:val="0"/>
        <w:numPr>
          <w:ilvl w:val="0"/>
          <w:numId w:val="48"/>
        </w:numPr>
        <w:wordWrap/>
        <w:spacing w:before="160" w:after="0"/>
        <w:ind w:left="440" w:right="0" w:hanging="440"/>
        <w:jc w:val="left"/>
        <w:textAlignment w:val="auto"/>
        <w:rPr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标识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：在关键节点（如检查井内）应对管道进行清晰标识，注明管道用途（雨水/污水）及流向。</w:t>
      </w:r>
    </w:p>
    <w:p w14:paraId="1A14444B">
      <w:pPr>
        <w:pageBreakBefore w:val="0"/>
        <w:numPr>
          <w:ilvl w:val="0"/>
          <w:numId w:val="49"/>
        </w:numPr>
        <w:wordWrap/>
        <w:spacing w:before="160" w:after="0"/>
        <w:ind w:left="440" w:right="0" w:hanging="440"/>
        <w:jc w:val="left"/>
        <w:textAlignment w:val="auto"/>
        <w:rPr>
          <w:rFonts w:ascii="宋体" w:hAnsi="宋体" w:eastAsia="宋体" w:cs="宋体"/>
          <w:b w:val="0"/>
          <w:i w:val="0"/>
          <w:spacing w:val="0"/>
          <w:sz w:val="24"/>
        </w:rPr>
      </w:pPr>
      <w:r>
        <w:rPr>
          <w:rFonts w:ascii="宋体" w:hAnsi="宋体" w:eastAsia="宋体" w:cs="宋体"/>
          <w:b/>
          <w:i w:val="0"/>
          <w:spacing w:val="0"/>
          <w:sz w:val="24"/>
        </w:rPr>
        <w:t>资料</w:t>
      </w:r>
      <w:r>
        <w:rPr>
          <w:rFonts w:ascii="宋体" w:hAnsi="宋体" w:eastAsia="宋体" w:cs="宋体"/>
          <w:b w:val="0"/>
          <w:i w:val="0"/>
          <w:spacing w:val="0"/>
          <w:sz w:val="24"/>
        </w:rPr>
        <w:t>：施工单位需提供完整的竣工资料，包括竣工图、材料合格证、试验报告（闭水试验、满水试验等）、隐蔽工程验收记录等。</w:t>
      </w:r>
    </w:p>
    <w:p w14:paraId="6C21B61E">
      <w:pPr>
        <w:pageBreakBefore w:val="0"/>
        <w:wordWrap/>
        <w:spacing w:before="160" w:after="0"/>
        <w:ind w:left="0" w:right="0"/>
        <w:jc w:val="left"/>
        <w:textAlignment w:val="auto"/>
        <w:rPr>
          <w:rFonts w:hint="eastAsia" w:ascii="宋体" w:hAnsi="宋体" w:eastAsia="宋体" w:cs="宋体"/>
          <w:b/>
          <w:i w:val="0"/>
          <w:spacing w:val="0"/>
          <w:sz w:val="24"/>
          <w:lang w:val="en-US" w:eastAsia="zh-CN"/>
        </w:rPr>
      </w:pPr>
      <w:r>
        <w:rPr>
          <w:rFonts w:hint="eastAsia" w:ascii="宋体" w:hAnsi="宋体" w:cs="宋体"/>
          <w:b/>
          <w:i w:val="0"/>
          <w:spacing w:val="0"/>
          <w:sz w:val="24"/>
          <w:lang w:val="en-US" w:eastAsia="zh-CN"/>
        </w:rPr>
        <w:t>九、</w:t>
      </w:r>
      <w:r>
        <w:rPr>
          <w:rFonts w:hint="eastAsia" w:ascii="宋体" w:hAnsi="宋体" w:eastAsia="宋体" w:cs="宋体"/>
          <w:b/>
          <w:i w:val="0"/>
          <w:spacing w:val="0"/>
          <w:sz w:val="24"/>
          <w:lang w:val="en-US" w:eastAsia="zh-CN"/>
        </w:rPr>
        <w:t>附件</w:t>
      </w:r>
    </w:p>
    <w:p w14:paraId="35D13871">
      <w:pPr>
        <w:pageBreakBefore w:val="0"/>
        <w:widowControl w:val="0"/>
        <w:numPr>
          <w:ilvl w:val="0"/>
          <w:numId w:val="0"/>
        </w:numPr>
        <w:wordWrap/>
        <w:spacing w:before="160" w:after="0"/>
        <w:ind w:right="0" w:rightChars="0"/>
        <w:jc w:val="left"/>
        <w:textAlignment w:val="auto"/>
        <w:rPr>
          <w:rFonts w:hint="eastAsia" w:ascii="宋体" w:hAnsi="宋体" w:cs="宋体"/>
          <w:b w:val="0"/>
          <w:i w:val="0"/>
          <w:spacing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i w:val="0"/>
          <w:spacing w:val="0"/>
          <w:sz w:val="24"/>
          <w:lang w:val="en-US" w:eastAsia="zh-CN"/>
        </w:rPr>
        <w:t>附件一：高温污水池</w:t>
      </w:r>
    </w:p>
    <w:p w14:paraId="5F51158F">
      <w:pPr>
        <w:pageBreakBefore w:val="0"/>
        <w:widowControl w:val="0"/>
        <w:numPr>
          <w:ilvl w:val="0"/>
          <w:numId w:val="0"/>
        </w:numPr>
        <w:wordWrap/>
        <w:spacing w:before="160" w:after="0"/>
        <w:ind w:right="0" w:rightChars="0"/>
        <w:jc w:val="left"/>
        <w:textAlignment w:val="auto"/>
        <w:rPr>
          <w:rFonts w:hint="eastAsia" w:ascii="宋体" w:hAnsi="宋体" w:cs="宋体"/>
          <w:b w:val="0"/>
          <w:i w:val="0"/>
          <w:spacing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i w:val="0"/>
          <w:spacing w:val="0"/>
          <w:sz w:val="24"/>
          <w:lang w:val="en-US" w:eastAsia="zh-CN"/>
        </w:rPr>
        <w:t>附件二：环保收集池</w:t>
      </w:r>
    </w:p>
    <w:p w14:paraId="24730250">
      <w:pPr>
        <w:pageBreakBefore w:val="0"/>
        <w:widowControl w:val="0"/>
        <w:numPr>
          <w:ilvl w:val="0"/>
          <w:numId w:val="0"/>
        </w:numPr>
        <w:wordWrap/>
        <w:spacing w:before="160" w:after="0"/>
        <w:ind w:right="0" w:rightChars="0"/>
        <w:jc w:val="left"/>
        <w:textAlignment w:val="auto"/>
        <w:rPr>
          <w:rFonts w:hint="eastAsia" w:ascii="宋体" w:hAnsi="宋体" w:cs="宋体"/>
          <w:b w:val="0"/>
          <w:i w:val="0"/>
          <w:spacing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i w:val="0"/>
          <w:spacing w:val="0"/>
          <w:sz w:val="24"/>
          <w:lang w:val="en-US" w:eastAsia="zh-CN"/>
        </w:rPr>
        <w:t>附件三：污水沉淀池</w:t>
      </w:r>
    </w:p>
    <w:p w14:paraId="2706AF5A">
      <w:pPr>
        <w:pageBreakBefore w:val="0"/>
        <w:widowControl w:val="0"/>
        <w:numPr>
          <w:ilvl w:val="0"/>
          <w:numId w:val="0"/>
        </w:numPr>
        <w:wordWrap/>
        <w:spacing w:before="160" w:after="0"/>
        <w:ind w:right="0" w:rightChars="0"/>
        <w:jc w:val="left"/>
        <w:textAlignment w:val="auto"/>
        <w:rPr>
          <w:rFonts w:hint="default" w:ascii="宋体" w:hAnsi="宋体" w:cs="宋体"/>
          <w:b w:val="0"/>
          <w:i w:val="0"/>
          <w:spacing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i w:val="0"/>
          <w:spacing w:val="0"/>
          <w:sz w:val="24"/>
          <w:lang w:val="en-US" w:eastAsia="zh-CN"/>
        </w:rPr>
        <w:t>附件四：中益室外雨污水总平图</w:t>
      </w:r>
    </w:p>
    <w:p w14:paraId="73DAE108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A4B87"/>
    <w:multiLevelType w:val="multilevel"/>
    <w:tmpl w:val="813A4B87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">
    <w:nsid w:val="8461FADE"/>
    <w:multiLevelType w:val="multilevel"/>
    <w:tmpl w:val="8461FADE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2">
    <w:nsid w:val="91995D4F"/>
    <w:multiLevelType w:val="multilevel"/>
    <w:tmpl w:val="91995D4F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3">
    <w:nsid w:val="9239341B"/>
    <w:multiLevelType w:val="multilevel"/>
    <w:tmpl w:val="9239341B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4">
    <w:nsid w:val="9C8AC8EF"/>
    <w:multiLevelType w:val="multilevel"/>
    <w:tmpl w:val="9C8AC8EF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5">
    <w:nsid w:val="B0F1ACD9"/>
    <w:multiLevelType w:val="multilevel"/>
    <w:tmpl w:val="B0F1ACD9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6">
    <w:nsid w:val="B53F3350"/>
    <w:multiLevelType w:val="multilevel"/>
    <w:tmpl w:val="B53F3350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7">
    <w:nsid w:val="B5E306ED"/>
    <w:multiLevelType w:val="multilevel"/>
    <w:tmpl w:val="B5E306ED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8">
    <w:nsid w:val="B8CEF35B"/>
    <w:multiLevelType w:val="multilevel"/>
    <w:tmpl w:val="B8CEF35B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9">
    <w:nsid w:val="BB64CFA9"/>
    <w:multiLevelType w:val="multilevel"/>
    <w:tmpl w:val="BB64CFA9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0">
    <w:nsid w:val="BF205925"/>
    <w:multiLevelType w:val="multilevel"/>
    <w:tmpl w:val="BF205925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1">
    <w:nsid w:val="C0915F4F"/>
    <w:multiLevelType w:val="multilevel"/>
    <w:tmpl w:val="C0915F4F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2">
    <w:nsid w:val="CF092B84"/>
    <w:multiLevelType w:val="multilevel"/>
    <w:tmpl w:val="CF092B84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3">
    <w:nsid w:val="D7D140E4"/>
    <w:multiLevelType w:val="multilevel"/>
    <w:tmpl w:val="D7D140E4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4">
    <w:nsid w:val="E093A4B0"/>
    <w:multiLevelType w:val="multilevel"/>
    <w:tmpl w:val="E093A4B0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5">
    <w:nsid w:val="F0E89278"/>
    <w:multiLevelType w:val="multilevel"/>
    <w:tmpl w:val="F0E89278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6">
    <w:nsid w:val="F7735DC9"/>
    <w:multiLevelType w:val="multilevel"/>
    <w:tmpl w:val="F7735DC9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7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8">
    <w:nsid w:val="0248C179"/>
    <w:multiLevelType w:val="multilevel"/>
    <w:tmpl w:val="0248C179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9">
    <w:nsid w:val="03A63A41"/>
    <w:multiLevelType w:val="multilevel"/>
    <w:tmpl w:val="03A63A41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20">
    <w:nsid w:val="03D62ECE"/>
    <w:multiLevelType w:val="multilevel"/>
    <w:tmpl w:val="03D62ECE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21">
    <w:nsid w:val="0709FD3E"/>
    <w:multiLevelType w:val="multilevel"/>
    <w:tmpl w:val="0709FD3E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22">
    <w:nsid w:val="0CEF100B"/>
    <w:multiLevelType w:val="multilevel"/>
    <w:tmpl w:val="0CEF100B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23">
    <w:nsid w:val="0E640482"/>
    <w:multiLevelType w:val="multilevel"/>
    <w:tmpl w:val="0E640482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24">
    <w:nsid w:val="0F9F9CCA"/>
    <w:multiLevelType w:val="multilevel"/>
    <w:tmpl w:val="0F9F9CCA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25">
    <w:nsid w:val="12EADF99"/>
    <w:multiLevelType w:val="multilevel"/>
    <w:tmpl w:val="12EADF99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26">
    <w:nsid w:val="1C257C7B"/>
    <w:multiLevelType w:val="multilevel"/>
    <w:tmpl w:val="1C257C7B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27">
    <w:nsid w:val="23E97754"/>
    <w:multiLevelType w:val="multilevel"/>
    <w:tmpl w:val="23E97754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28">
    <w:nsid w:val="243FCF68"/>
    <w:multiLevelType w:val="multilevel"/>
    <w:tmpl w:val="243FCF68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29">
    <w:nsid w:val="25B654F3"/>
    <w:multiLevelType w:val="multilevel"/>
    <w:tmpl w:val="25B654F3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30">
    <w:nsid w:val="2A8F537B"/>
    <w:multiLevelType w:val="multilevel"/>
    <w:tmpl w:val="2A8F537B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31">
    <w:nsid w:val="30FC5B15"/>
    <w:multiLevelType w:val="multilevel"/>
    <w:tmpl w:val="30FC5B15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32">
    <w:nsid w:val="322D85CA"/>
    <w:multiLevelType w:val="multilevel"/>
    <w:tmpl w:val="322D85CA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33">
    <w:nsid w:val="32A7AF2D"/>
    <w:multiLevelType w:val="multilevel"/>
    <w:tmpl w:val="32A7AF2D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34">
    <w:nsid w:val="35E83B33"/>
    <w:multiLevelType w:val="multilevel"/>
    <w:tmpl w:val="35E83B33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35">
    <w:nsid w:val="40B249F9"/>
    <w:multiLevelType w:val="multilevel"/>
    <w:tmpl w:val="40B249F9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36">
    <w:nsid w:val="46A08BB8"/>
    <w:multiLevelType w:val="multilevel"/>
    <w:tmpl w:val="46A08BB8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37">
    <w:nsid w:val="4C1BAE26"/>
    <w:multiLevelType w:val="multilevel"/>
    <w:tmpl w:val="4C1BAE26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38">
    <w:nsid w:val="4C3D7A74"/>
    <w:multiLevelType w:val="multilevel"/>
    <w:tmpl w:val="4C3D7A74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39">
    <w:nsid w:val="4D94DA66"/>
    <w:multiLevelType w:val="multilevel"/>
    <w:tmpl w:val="4D94DA66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40">
    <w:nsid w:val="58765686"/>
    <w:multiLevelType w:val="multilevel"/>
    <w:tmpl w:val="58765686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41">
    <w:nsid w:val="59ADCABA"/>
    <w:multiLevelType w:val="multilevel"/>
    <w:tmpl w:val="59ADCABA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42">
    <w:nsid w:val="60382F6E"/>
    <w:multiLevelType w:val="multilevel"/>
    <w:tmpl w:val="60382F6E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43">
    <w:nsid w:val="65CD0074"/>
    <w:multiLevelType w:val="multilevel"/>
    <w:tmpl w:val="65CD0074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44">
    <w:nsid w:val="72183CF9"/>
    <w:multiLevelType w:val="multilevel"/>
    <w:tmpl w:val="72183CF9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45">
    <w:nsid w:val="74C28B35"/>
    <w:multiLevelType w:val="multilevel"/>
    <w:tmpl w:val="74C28B35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46">
    <w:nsid w:val="79AA4FA4"/>
    <w:multiLevelType w:val="multilevel"/>
    <w:tmpl w:val="79AA4FA4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47">
    <w:nsid w:val="7C246926"/>
    <w:multiLevelType w:val="multilevel"/>
    <w:tmpl w:val="7C246926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48">
    <w:nsid w:val="7DEC2089"/>
    <w:multiLevelType w:val="multilevel"/>
    <w:tmpl w:val="7DEC2089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num w:numId="1">
    <w:abstractNumId w:val="17"/>
  </w:num>
  <w:num w:numId="2">
    <w:abstractNumId w:val="12"/>
  </w:num>
  <w:num w:numId="3">
    <w:abstractNumId w:val="41"/>
  </w:num>
  <w:num w:numId="4">
    <w:abstractNumId w:val="10"/>
  </w:num>
  <w:num w:numId="5">
    <w:abstractNumId w:val="7"/>
  </w:num>
  <w:num w:numId="6">
    <w:abstractNumId w:val="20"/>
  </w:num>
  <w:num w:numId="7">
    <w:abstractNumId w:val="29"/>
  </w:num>
  <w:num w:numId="8">
    <w:abstractNumId w:val="44"/>
  </w:num>
  <w:num w:numId="9">
    <w:abstractNumId w:val="18"/>
  </w:num>
  <w:num w:numId="10">
    <w:abstractNumId w:val="3"/>
  </w:num>
  <w:num w:numId="11">
    <w:abstractNumId w:val="30"/>
  </w:num>
  <w:num w:numId="12">
    <w:abstractNumId w:val="4"/>
  </w:num>
  <w:num w:numId="13">
    <w:abstractNumId w:val="37"/>
  </w:num>
  <w:num w:numId="14">
    <w:abstractNumId w:val="42"/>
  </w:num>
  <w:num w:numId="15">
    <w:abstractNumId w:val="23"/>
  </w:num>
  <w:num w:numId="16">
    <w:abstractNumId w:val="36"/>
  </w:num>
  <w:num w:numId="17">
    <w:abstractNumId w:val="5"/>
  </w:num>
  <w:num w:numId="18">
    <w:abstractNumId w:val="47"/>
  </w:num>
  <w:num w:numId="19">
    <w:abstractNumId w:val="1"/>
  </w:num>
  <w:num w:numId="20">
    <w:abstractNumId w:val="40"/>
  </w:num>
  <w:num w:numId="21">
    <w:abstractNumId w:val="48"/>
  </w:num>
  <w:num w:numId="22">
    <w:abstractNumId w:val="0"/>
  </w:num>
  <w:num w:numId="23">
    <w:abstractNumId w:val="28"/>
  </w:num>
  <w:num w:numId="24">
    <w:abstractNumId w:val="39"/>
  </w:num>
  <w:num w:numId="25">
    <w:abstractNumId w:val="16"/>
  </w:num>
  <w:num w:numId="26">
    <w:abstractNumId w:val="14"/>
  </w:num>
  <w:num w:numId="27">
    <w:abstractNumId w:val="31"/>
  </w:num>
  <w:num w:numId="28">
    <w:abstractNumId w:val="46"/>
  </w:num>
  <w:num w:numId="29">
    <w:abstractNumId w:val="9"/>
  </w:num>
  <w:num w:numId="30">
    <w:abstractNumId w:val="2"/>
  </w:num>
  <w:num w:numId="31">
    <w:abstractNumId w:val="8"/>
  </w:num>
  <w:num w:numId="32">
    <w:abstractNumId w:val="45"/>
  </w:num>
  <w:num w:numId="33">
    <w:abstractNumId w:val="38"/>
  </w:num>
  <w:num w:numId="34">
    <w:abstractNumId w:val="32"/>
  </w:num>
  <w:num w:numId="35">
    <w:abstractNumId w:val="43"/>
  </w:num>
  <w:num w:numId="36">
    <w:abstractNumId w:val="21"/>
  </w:num>
  <w:num w:numId="37">
    <w:abstractNumId w:val="22"/>
  </w:num>
  <w:num w:numId="38">
    <w:abstractNumId w:val="13"/>
  </w:num>
  <w:num w:numId="39">
    <w:abstractNumId w:val="33"/>
  </w:num>
  <w:num w:numId="40">
    <w:abstractNumId w:val="26"/>
  </w:num>
  <w:num w:numId="41">
    <w:abstractNumId w:val="15"/>
  </w:num>
  <w:num w:numId="42">
    <w:abstractNumId w:val="27"/>
  </w:num>
  <w:num w:numId="43">
    <w:abstractNumId w:val="6"/>
  </w:num>
  <w:num w:numId="44">
    <w:abstractNumId w:val="35"/>
  </w:num>
  <w:num w:numId="45">
    <w:abstractNumId w:val="24"/>
  </w:num>
  <w:num w:numId="46">
    <w:abstractNumId w:val="34"/>
  </w:num>
  <w:num w:numId="47">
    <w:abstractNumId w:val="19"/>
  </w:num>
  <w:num w:numId="48">
    <w:abstractNumId w:val="11"/>
  </w:num>
  <w:num w:numId="4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34303"/>
    <w:rsid w:val="00DB0D40"/>
    <w:rsid w:val="01E26964"/>
    <w:rsid w:val="023141D4"/>
    <w:rsid w:val="02B63DBD"/>
    <w:rsid w:val="04EF58D4"/>
    <w:rsid w:val="071C3A95"/>
    <w:rsid w:val="07574BBD"/>
    <w:rsid w:val="080D375C"/>
    <w:rsid w:val="093E2C62"/>
    <w:rsid w:val="0A84547E"/>
    <w:rsid w:val="0B774E04"/>
    <w:rsid w:val="0D695851"/>
    <w:rsid w:val="0E155AE1"/>
    <w:rsid w:val="0E8C5CFF"/>
    <w:rsid w:val="11354A5E"/>
    <w:rsid w:val="11474471"/>
    <w:rsid w:val="11DC2439"/>
    <w:rsid w:val="125562B2"/>
    <w:rsid w:val="125D5953"/>
    <w:rsid w:val="13840217"/>
    <w:rsid w:val="13EF57FA"/>
    <w:rsid w:val="149608BB"/>
    <w:rsid w:val="14DD0AA7"/>
    <w:rsid w:val="16D60E9C"/>
    <w:rsid w:val="174208FF"/>
    <w:rsid w:val="17543DE4"/>
    <w:rsid w:val="17DB3563"/>
    <w:rsid w:val="185D611F"/>
    <w:rsid w:val="19060F1B"/>
    <w:rsid w:val="19F1379B"/>
    <w:rsid w:val="1A2C5E03"/>
    <w:rsid w:val="1A6B1CE3"/>
    <w:rsid w:val="1B390C6A"/>
    <w:rsid w:val="1B9B43F2"/>
    <w:rsid w:val="1C30451D"/>
    <w:rsid w:val="1CBB75E2"/>
    <w:rsid w:val="1D4F542D"/>
    <w:rsid w:val="1E21762D"/>
    <w:rsid w:val="1E74536E"/>
    <w:rsid w:val="1EB85A17"/>
    <w:rsid w:val="1EEB0984"/>
    <w:rsid w:val="1EF05A57"/>
    <w:rsid w:val="1F60118B"/>
    <w:rsid w:val="1FA466F4"/>
    <w:rsid w:val="203A2C58"/>
    <w:rsid w:val="20E4701F"/>
    <w:rsid w:val="211928C8"/>
    <w:rsid w:val="21C65D62"/>
    <w:rsid w:val="22C41138"/>
    <w:rsid w:val="233A7D6F"/>
    <w:rsid w:val="237A5589"/>
    <w:rsid w:val="247D612E"/>
    <w:rsid w:val="282C4F6D"/>
    <w:rsid w:val="28B521AB"/>
    <w:rsid w:val="29596B7B"/>
    <w:rsid w:val="2A42019F"/>
    <w:rsid w:val="2B410ECE"/>
    <w:rsid w:val="2C146E0E"/>
    <w:rsid w:val="2D242C55"/>
    <w:rsid w:val="2D33234C"/>
    <w:rsid w:val="2D3B7D86"/>
    <w:rsid w:val="2D497951"/>
    <w:rsid w:val="2DB73949"/>
    <w:rsid w:val="2DC81809"/>
    <w:rsid w:val="2ED63EBA"/>
    <w:rsid w:val="30274255"/>
    <w:rsid w:val="30DA05B9"/>
    <w:rsid w:val="31680086"/>
    <w:rsid w:val="3247500C"/>
    <w:rsid w:val="32EA60BC"/>
    <w:rsid w:val="330F59AC"/>
    <w:rsid w:val="33956A1C"/>
    <w:rsid w:val="34631175"/>
    <w:rsid w:val="346B2400"/>
    <w:rsid w:val="34AA0B55"/>
    <w:rsid w:val="34B8410A"/>
    <w:rsid w:val="35337B8D"/>
    <w:rsid w:val="355C63C9"/>
    <w:rsid w:val="35BA6BDF"/>
    <w:rsid w:val="370B12F2"/>
    <w:rsid w:val="38133D56"/>
    <w:rsid w:val="384D6857"/>
    <w:rsid w:val="38B81964"/>
    <w:rsid w:val="38C866BF"/>
    <w:rsid w:val="38D21D60"/>
    <w:rsid w:val="392A75A2"/>
    <w:rsid w:val="3953612D"/>
    <w:rsid w:val="39DF68DA"/>
    <w:rsid w:val="3BDA46EB"/>
    <w:rsid w:val="3D3C664D"/>
    <w:rsid w:val="3D754C08"/>
    <w:rsid w:val="3EC21569"/>
    <w:rsid w:val="406F088D"/>
    <w:rsid w:val="40EB44F4"/>
    <w:rsid w:val="40F92AC6"/>
    <w:rsid w:val="41400155"/>
    <w:rsid w:val="42D33AE1"/>
    <w:rsid w:val="42F86F1C"/>
    <w:rsid w:val="432469BE"/>
    <w:rsid w:val="44FA6F69"/>
    <w:rsid w:val="452F5C54"/>
    <w:rsid w:val="45611D62"/>
    <w:rsid w:val="45A87BE2"/>
    <w:rsid w:val="46D16A18"/>
    <w:rsid w:val="48D97E04"/>
    <w:rsid w:val="4960639A"/>
    <w:rsid w:val="4A0F2791"/>
    <w:rsid w:val="4AD16DE5"/>
    <w:rsid w:val="4AE70FFA"/>
    <w:rsid w:val="4B675E56"/>
    <w:rsid w:val="4B907809"/>
    <w:rsid w:val="4BA64483"/>
    <w:rsid w:val="4BC925ED"/>
    <w:rsid w:val="4BED2BA9"/>
    <w:rsid w:val="4C266B4D"/>
    <w:rsid w:val="4CEA17AF"/>
    <w:rsid w:val="4D281E41"/>
    <w:rsid w:val="4DD94D26"/>
    <w:rsid w:val="4DEA55E0"/>
    <w:rsid w:val="4EDF31D3"/>
    <w:rsid w:val="4F3B345E"/>
    <w:rsid w:val="4F4A6163"/>
    <w:rsid w:val="503E7498"/>
    <w:rsid w:val="51C077AD"/>
    <w:rsid w:val="52A139BE"/>
    <w:rsid w:val="53CF34FC"/>
    <w:rsid w:val="558F6049"/>
    <w:rsid w:val="55D43564"/>
    <w:rsid w:val="55D6117E"/>
    <w:rsid w:val="55F47FEC"/>
    <w:rsid w:val="55F85199"/>
    <w:rsid w:val="562D49E5"/>
    <w:rsid w:val="56ED1543"/>
    <w:rsid w:val="5804789E"/>
    <w:rsid w:val="581A580A"/>
    <w:rsid w:val="58E91C55"/>
    <w:rsid w:val="5AC47921"/>
    <w:rsid w:val="5BDE1B00"/>
    <w:rsid w:val="5C9E7969"/>
    <w:rsid w:val="5D336625"/>
    <w:rsid w:val="5DF9367E"/>
    <w:rsid w:val="5E2259D8"/>
    <w:rsid w:val="5E891582"/>
    <w:rsid w:val="5EE06E82"/>
    <w:rsid w:val="5FCE2386"/>
    <w:rsid w:val="60F46A5A"/>
    <w:rsid w:val="61F30CA0"/>
    <w:rsid w:val="62336A67"/>
    <w:rsid w:val="629C1F9A"/>
    <w:rsid w:val="62D36053"/>
    <w:rsid w:val="64E80229"/>
    <w:rsid w:val="6574504C"/>
    <w:rsid w:val="66D62F3C"/>
    <w:rsid w:val="67D05096"/>
    <w:rsid w:val="6858021E"/>
    <w:rsid w:val="68983D8D"/>
    <w:rsid w:val="68D30D0A"/>
    <w:rsid w:val="695E07F3"/>
    <w:rsid w:val="6A0F37C3"/>
    <w:rsid w:val="6AAF610A"/>
    <w:rsid w:val="6AE81837"/>
    <w:rsid w:val="6B93197D"/>
    <w:rsid w:val="6CD160FB"/>
    <w:rsid w:val="6E1D704E"/>
    <w:rsid w:val="6E4A4960"/>
    <w:rsid w:val="6EC57EFD"/>
    <w:rsid w:val="6F1D0291"/>
    <w:rsid w:val="70F011AE"/>
    <w:rsid w:val="71825ED5"/>
    <w:rsid w:val="738B0D9E"/>
    <w:rsid w:val="738C014F"/>
    <w:rsid w:val="7559760E"/>
    <w:rsid w:val="767105E9"/>
    <w:rsid w:val="778A5271"/>
    <w:rsid w:val="785C1B17"/>
    <w:rsid w:val="791D27D3"/>
    <w:rsid w:val="7AA2635C"/>
    <w:rsid w:val="7BE07ADA"/>
    <w:rsid w:val="7C571B70"/>
    <w:rsid w:val="7CEF2984"/>
    <w:rsid w:val="7CF05BD3"/>
    <w:rsid w:val="7ECB7BAC"/>
    <w:rsid w:val="7F5207F4"/>
    <w:rsid w:val="7FEF1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20" w:beforeLines="0" w:beforeAutospacing="0" w:after="120" w:afterLines="0" w:afterAutospacing="0" w:line="576" w:lineRule="auto"/>
      <w:outlineLvl w:val="0"/>
    </w:pPr>
    <w:rPr>
      <w:rFonts w:ascii="Times New Roman" w:hAnsi="Times New Roman" w:eastAsia="宋体" w:cs="黑体"/>
      <w:b/>
      <w:kern w:val="44"/>
      <w:sz w:val="44"/>
      <w:szCs w:val="2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2022-02-23T00:20:00Z</dcterms:created>
  <dc:creator>Administrator</dc:creator>
  <cp:lastModifiedBy>南京南大尚诚软件科技有限公司</cp:lastModifiedBy>
  <dcterms:modified xsi:type="dcterms:W3CDTF">2026-03-05T07:39:25Z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DCA3FC8E224D466D9D738D9488BBC2DA</vt:lpwstr>
  </property>
  <property fmtid="{D5CDD505-2E9C-101B-9397-08002B2CF9AE}" pid="4" name="KSOTemplateDocerSaveRecord">
    <vt:lpwstr>eyJoZGlkIjoiNzgxMDIzMWUzMDU2ZWE4ZDc1ZmE3YzAzMGNmNzBhZWYiLCJ1c2VySWQiOiIxNjkxOTU4MDMxIn0=</vt:lpwstr>
  </property>
</Properties>
</file>