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1"/>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编号：</w:t>
      </w:r>
      <w:r>
        <w:rPr>
          <w:rFonts w:hint="eastAsia" w:ascii="宋体" w:hAnsi="宋体" w:cs="宋体"/>
          <w:b/>
          <w:color w:val="000000" w:themeColor="text1"/>
          <w:sz w:val="24"/>
          <w:szCs w:val="24"/>
          <w:highlight w:val="none"/>
          <w:lang w:eastAsia="zh-CN"/>
          <w14:textFill>
            <w14:solidFill>
              <w14:schemeClr w14:val="tx1"/>
            </w14:solidFill>
          </w14:textFill>
        </w:rPr>
        <w:t xml:space="preserve">JSZC-320506111-DLHX-C2026-0006</w:t>
      </w:r>
      <w:r>
        <w:rPr>
          <w:rFonts w:hint="eastAsia" w:ascii="宋体" w:hAnsi="宋体" w:eastAsia="宋体" w:cs="宋体"/>
          <w:b/>
          <w:color w:val="000000" w:themeColor="text1"/>
          <w:sz w:val="24"/>
          <w:szCs w:val="24"/>
          <w:highlight w:val="none"/>
          <w14:textFill>
            <w14:solidFill>
              <w14:schemeClr w14:val="tx1"/>
            </w14:solidFill>
          </w14:textFill>
        </w:rPr>
        <w:t xml:space="preserve">号</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苏州市政府采购竞争性磋商文件</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磋</w:t>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商</w:t>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件</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采购单位：</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苏州市吴中区临湖镇人民政府</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jc w:val="center"/>
        <w:spacing w:line="360" w:lineRule="auto"/>
        <w:shd w:val="clear" w:color="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采购内容：</w:t>
      </w:r>
      <w:r>
        <w:rPr>
          <w:rFonts w:hint="eastAsia" w:ascii="宋体" w:hAnsi="宋体" w:cs="宋体"/>
          <w:b/>
          <w:color w:val="000000" w:themeColor="text1"/>
          <w:sz w:val="24"/>
          <w:szCs w:val="24"/>
          <w:highlight w:val="none"/>
          <w:lang w:eastAsia="zh-CN"/>
          <w14:textFill>
            <w14:solidFill>
              <w14:schemeClr w14:val="tx1"/>
            </w14:solidFill>
          </w14:textFill>
        </w:rPr>
        <w:t xml:space="preserve">临湖镇社会治安综合治理服务</w:t>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采购类别：服务类</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苏州华厦招投标代理有限公司</w:t>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二0二</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14:textFill>
            <w14:solidFill>
              <w14:schemeClr w14:val="tx1"/>
            </w14:solidFill>
          </w14:textFill>
        </w:rPr>
        <w:t xml:space="preserve">年</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月</w:t>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目  录</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竞争性磋商邀请函</w:t>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竞争性磋商文件</w:t>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合同主要条款</w:t>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竞争性磋商程序及磋商小组成员组成</w:t>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评分标准</w:t>
      </w:r>
      <w:r/>
    </w:p>
    <w:p>
      <w:pPr>
        <w:numPr>
          <w:ilvl w:val="0"/>
          <w:numId w:val="2"/>
        </w:num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shd w:val="clear" w:color="auto"/>
        <w:tabs>
          <w:tab w:val="left" w:pos="525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一、竞争性磋商邀请函</w:t>
      </w:r>
      <w:r/>
    </w:p>
    <w:tbl>
      <w:tblPr>
        <w:tblStyle w:val="84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9274"/>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项目概况</w:t>
            </w:r>
            <w:r/>
          </w:p>
          <w:p>
            <w:pPr>
              <w:spacing w:line="360" w:lineRule="auto"/>
              <w:shd w:val="clear" w:color="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
              </w:rPr>
              <w:t xml:space="preserve">临湖镇社会治安综合治理服务</w:t>
            </w:r>
            <w:r>
              <w:rPr>
                <w:rFonts w:hint="eastAsia" w:ascii="宋体" w:hAnsi="宋体" w:eastAsia="宋体" w:cs="宋体"/>
                <w:sz w:val="24"/>
                <w:szCs w:val="24"/>
                <w:highlight w:val="none"/>
                <w:lang w:val="en-US" w:eastAsia="zh-CN" w:bidi="ar"/>
              </w:rPr>
              <w:t xml:space="preserve"> </w:t>
            </w:r>
            <w:r>
              <w:rPr>
                <w:rFonts w:hint="eastAsia" w:ascii="宋体" w:hAnsi="宋体" w:cs="宋体"/>
                <w:sz w:val="24"/>
                <w:szCs w:val="24"/>
                <w:highlight w:val="none"/>
                <w:lang w:val="en-US" w:eastAsia="zh-CN" w:bidi="ar"/>
              </w:rPr>
              <w:t xml:space="preserve">JSZC-320506111-DLHX-C2026-0006</w:t>
            </w:r>
            <w:r>
              <w:rPr>
                <w:rFonts w:hint="eastAsia" w:ascii="宋体" w:hAnsi="宋体" w:eastAsia="宋体" w:cs="宋体"/>
                <w:sz w:val="24"/>
                <w:szCs w:val="24"/>
                <w:highlight w:val="none"/>
                <w:lang w:val="en-US" w:eastAsia="zh-CN" w:bidi="ar"/>
              </w:rPr>
              <w:t xml:space="preserve"> 采购项目的潜在供应商应在苏采云”系统（网址：http://jszfcg.jsczt.cn/） 获取采购文件，并于202</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-0</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23</w:t>
            </w:r>
            <w:r>
              <w:rPr>
                <w:rFonts w:hint="eastAsia" w:ascii="宋体" w:hAnsi="宋体" w:eastAsia="宋体" w:cs="宋体"/>
                <w:sz w:val="24"/>
                <w:szCs w:val="24"/>
                <w:highlight w:val="none"/>
                <w:lang w:val="en-US" w:eastAsia="zh-CN" w:bidi="ar"/>
              </w:rPr>
              <w:t xml:space="preserve"> 09</w:t>
            </w:r>
            <w:r>
              <w:rPr>
                <w:rFonts w:hint="eastAsia" w:ascii="宋体" w:hAnsi="宋体" w:eastAsia="宋体" w:cs="宋体"/>
                <w:sz w:val="24"/>
                <w:szCs w:val="24"/>
                <w:highlight w:val="none"/>
                <w:lang w:val="en-US" w:eastAsia="zh-CN" w:bidi="ar"/>
              </w:rPr>
              <w:t xml:space="preserve">:30 （北京时间）前提交响应文件。</w:t>
            </w:r>
            <w:r/>
          </w:p>
        </w:tc>
      </w:tr>
    </w:tbl>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一、项目基本情况</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项目编号：</w:t>
      </w:r>
      <w:r>
        <w:rPr>
          <w:rFonts w:hint="eastAsia" w:ascii="宋体" w:hAnsi="宋体" w:cs="宋体"/>
          <w:sz w:val="24"/>
          <w:szCs w:val="24"/>
          <w:highlight w:val="none"/>
          <w:lang w:val="en-US" w:eastAsia="zh-CN" w:bidi="ar"/>
        </w:rPr>
        <w:t xml:space="preserve">JSZC-320506111-DLHX-C2026-0006</w:t>
      </w:r>
      <w:r>
        <w:rPr>
          <w:rFonts w:hint="eastAsia" w:ascii="宋体" w:hAnsi="宋体" w:eastAsia="宋体" w:cs="宋体"/>
          <w:sz w:val="24"/>
          <w:szCs w:val="24"/>
          <w:highlight w:val="none"/>
          <w:lang w:val="en-US" w:eastAsia="zh-CN" w:bidi="ar"/>
        </w:rPr>
        <w:t xml:space="preserve">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项目名称：</w:t>
      </w:r>
      <w:r>
        <w:rPr>
          <w:rFonts w:hint="eastAsia" w:ascii="宋体" w:hAnsi="宋体" w:cs="宋体"/>
          <w:sz w:val="24"/>
          <w:szCs w:val="24"/>
          <w:highlight w:val="none"/>
          <w:lang w:val="en-US" w:eastAsia="zh-CN" w:bidi="ar"/>
        </w:rPr>
        <w:t xml:space="preserve">临湖镇社会治安综合治理服务</w:t>
      </w:r>
      <w:r>
        <w:rPr>
          <w:rFonts w:hint="eastAsia" w:ascii="宋体" w:hAnsi="宋体" w:eastAsia="宋体" w:cs="宋体"/>
          <w:sz w:val="24"/>
          <w:szCs w:val="24"/>
          <w:highlight w:val="none"/>
          <w:lang w:val="en-US" w:eastAsia="zh-CN" w:bidi="ar"/>
        </w:rPr>
        <w:t xml:space="preserve">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采购方式：竞争性磋商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预算金额：</w:t>
      </w:r>
      <w:r>
        <w:rPr>
          <w:rFonts w:hint="eastAsia" w:ascii="宋体" w:hAnsi="宋体" w:cs="宋体"/>
          <w:sz w:val="24"/>
          <w:szCs w:val="24"/>
          <w:highlight w:val="none"/>
          <w:lang w:val="en-US" w:eastAsia="zh-CN" w:bidi="ar"/>
        </w:rPr>
        <w:t xml:space="preserve">164.910</w:t>
      </w:r>
      <w:r>
        <w:rPr>
          <w:rFonts w:hint="eastAsia" w:ascii="宋体" w:hAnsi="宋体" w:eastAsia="宋体" w:cs="宋体"/>
          <w:sz w:val="24"/>
          <w:szCs w:val="24"/>
          <w:highlight w:val="none"/>
          <w:lang w:val="en-US" w:eastAsia="zh-CN" w:bidi="ar"/>
        </w:rPr>
        <w:t xml:space="preserve">000万元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最高限价（如有）：</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壹佰陆拾肆万玖仟壹佰</w:t>
      </w:r>
      <w:r>
        <w:rPr>
          <w:rFonts w:hint="eastAsia" w:ascii="宋体" w:hAnsi="宋体" w:eastAsia="宋体" w:cs="宋体"/>
          <w:sz w:val="24"/>
          <w:szCs w:val="24"/>
          <w:highlight w:val="none"/>
          <w:lang w:val="en-US" w:eastAsia="zh-CN" w:bidi="ar"/>
        </w:rPr>
        <w:t xml:space="preserve">元整（￥</w:t>
      </w:r>
      <w:r>
        <w:rPr>
          <w:rFonts w:hint="eastAsia" w:ascii="宋体" w:hAnsi="宋体" w:cs="宋体"/>
          <w:sz w:val="24"/>
          <w:szCs w:val="24"/>
          <w:highlight w:val="none"/>
          <w:lang w:val="en-US" w:eastAsia="zh-CN" w:bidi="ar"/>
        </w:rPr>
        <w:t xml:space="preserve">1649100</w:t>
      </w:r>
      <w:r>
        <w:rPr>
          <w:rFonts w:hint="eastAsia" w:ascii="宋体" w:hAnsi="宋体" w:eastAsia="宋体" w:cs="宋体"/>
          <w:sz w:val="24"/>
          <w:szCs w:val="24"/>
          <w:highlight w:val="none"/>
          <w:lang w:val="en-US" w:eastAsia="zh-CN" w:bidi="ar"/>
        </w:rPr>
        <w:t xml:space="preserve">.00元）</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采购需求：</w:t>
      </w:r>
      <w:r/>
    </w:p>
    <w:p>
      <w:pPr>
        <w:numPr>
          <w:ilvl w:val="0"/>
          <w:numId w:val="0"/>
        </w:numPr>
        <w:ind w:firstLine="240"/>
        <w:jc w:val="both"/>
        <w:spacing w:line="360" w:lineRule="auto"/>
        <w:widowControl w:val="off"/>
        <w:tabs>
          <w:tab w:val="left" w:pos="5250" w:leader="none"/>
        </w:tabs>
        <w:rPr>
          <w:rFonts w:hint="eastAsia" w:ascii="宋体" w:hAnsi="宋体" w:eastAsia="宋体" w:cs="宋体"/>
          <w:color w:val="auto"/>
          <w:spacing w:val="23"/>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为切实加强辖区基础管理和整体防控力量储备，现需聘请专职驻点网格员23名</w:t>
      </w:r>
      <w:r>
        <w:rPr>
          <w:rFonts w:hint="eastAsia" w:ascii="宋体" w:hAnsi="宋体" w:cs="宋体"/>
          <w:color w:val="auto"/>
          <w:sz w:val="24"/>
          <w:szCs w:val="24"/>
          <w:highlight w:val="none"/>
          <w:lang w:val="en-US" w:eastAsia="zh-CN" w:bidi="ar-SA"/>
        </w:rPr>
        <w:t xml:space="preserve">。</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合同履行期限：</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壹年，自2026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日-202</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日</w:t>
      </w:r>
      <w:r>
        <w:rPr>
          <w:rFonts w:hint="eastAsia" w:ascii="宋体" w:hAnsi="宋体" w:cs="宋体"/>
          <w:sz w:val="24"/>
          <w:szCs w:val="24"/>
          <w:highlight w:val="none"/>
          <w:lang w:val="en-US" w:eastAsia="zh-CN" w:bidi="ar"/>
        </w:rPr>
        <w:t xml:space="preserve">止</w:t>
      </w:r>
      <w:r>
        <w:rPr>
          <w:rFonts w:hint="eastAsia" w:ascii="宋体" w:hAnsi="宋体" w:eastAsia="宋体" w:cs="宋体"/>
          <w:sz w:val="24"/>
          <w:szCs w:val="24"/>
          <w:highlight w:val="none"/>
          <w:lang w:val="en-US" w:eastAsia="zh-CN" w:bidi="ar"/>
        </w:rPr>
        <w:t xml:space="preserve">（具体开始时间以甲方通知为准）。</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本项目（是/否）接受联合体：不接受联合体</w:t>
      </w:r>
      <w:r>
        <w:rPr>
          <w:rFonts w:hint="eastAsia" w:ascii="宋体" w:hAnsi="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 </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二、申请人的资格要求：</w:t>
      </w:r>
      <w:r/>
    </w:p>
    <w:p>
      <w:pPr>
        <w:pStyle w:val="860"/>
        <w:keepLines w:val="0"/>
        <w:keepNext w:val="0"/>
        <w:spacing w:line="360" w:lineRule="auto"/>
        <w:widowControl/>
        <w:rPr>
          <w:rFonts w:hint="eastAsia" w:ascii="宋体" w:hAnsi="宋体" w:eastAsia="宋体" w:cs="宋体"/>
          <w:sz w:val="24"/>
          <w:szCs w:val="24"/>
          <w:highlight w:val="none"/>
        </w:rPr>
        <w:pBdr>
          <w:left w:val="none" w:color="auto" w:sz="0" w:space="0"/>
        </w:pBdr>
        <w:suppressLineNumbers w:val="0"/>
      </w:pPr>
      <w:r>
        <w:rPr>
          <w:rFonts w:hint="eastAsia" w:ascii="宋体" w:hAnsi="宋体" w:eastAsia="宋体" w:cs="宋体"/>
          <w:sz w:val="24"/>
          <w:szCs w:val="24"/>
          <w:highlight w:val="none"/>
        </w:rPr>
        <w:t xml:space="preserve">（一）满足《中华人民共和国政府采购法》第二十二条规定：</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（二）落实政府采购政策需满足的资格要求：</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此项目专门面向中小微企业采购，供应商必须提供《中小企业声明函》或《残疾人福利性单位声明函》或由省级以上监狱管理局、戒毒管理局（含新疆生产建设兵团）出具的属于监狱企业的证明文件。</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（三）本项目的特定资格要求：</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1.未被“信用中国”网站（www.creditchina.gov.cn）列入失信被执行人、重大税收违法案件当事人名单、政府采购严重失信行为记录名单。</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highlight w:val="none"/>
          <w:lang w:val="en-US" w:eastAsia="zh-CN" w:bidi="ar"/>
        </w:rPr>
        <w:t xml:space="preserve">。</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3.具备省公安厅颁发的有效期内的《保安服务许可证》</w:t>
      </w:r>
      <w:r>
        <w:rPr>
          <w:rFonts w:hint="eastAsia" w:ascii="宋体" w:hAnsi="宋体" w:cs="宋体"/>
          <w:sz w:val="24"/>
          <w:szCs w:val="24"/>
          <w:highlight w:val="none"/>
          <w:lang w:val="en-US" w:eastAsia="zh-CN" w:bidi="ar"/>
        </w:rPr>
        <w:t xml:space="preserve">。</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三、获取采购文件</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时间：</w:t>
      </w:r>
      <w:r>
        <w:rPr>
          <w:rFonts w:hint="eastAsia" w:ascii="宋体" w:hAnsi="宋体" w:cs="宋体"/>
          <w:color w:val="000000" w:themeColor="text1"/>
          <w:sz w:val="24"/>
          <w:szCs w:val="24"/>
          <w:highlight w:val="none"/>
          <w14:textFill>
            <w14:solidFill>
              <w14:schemeClr w14:val="tx1"/>
            </w14:solidFill>
          </w14:textFill>
        </w:rPr>
        <w:t xml:space="preserve">自公告发布之日起5个工作日</w:t>
      </w:r>
      <w:r>
        <w:rPr>
          <w:rFonts w:hint="eastAsia" w:ascii="宋体" w:hAnsi="宋体" w:eastAsia="宋体" w:cs="宋体"/>
          <w:sz w:val="24"/>
          <w:szCs w:val="24"/>
          <w:highlight w:val="none"/>
          <w:lang w:val="en-US" w:eastAsia="zh-CN" w:bidi="ar"/>
        </w:rPr>
        <w:t xml:space="preserve">（北京时间，法定节假日除外）</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地点：苏采云”系统（网址：http://jszfcg.jsczt.cn/）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方式：苏采云”系统（网址：http://jszfcg.jsczt.cn/） </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售价：0.00元 </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四、响应文件提交</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截止时间：202</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-0</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23</w:t>
      </w:r>
      <w:r>
        <w:rPr>
          <w:rFonts w:hint="eastAsia" w:ascii="宋体" w:hAnsi="宋体" w:eastAsia="宋体" w:cs="宋体"/>
          <w:sz w:val="24"/>
          <w:szCs w:val="24"/>
          <w:highlight w:val="none"/>
          <w:lang w:val="en-US" w:eastAsia="zh-CN" w:bidi="ar"/>
        </w:rPr>
        <w:t xml:space="preserve"> 09:30 （北京时间）</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地点：苏采云”系统（网址：http://jszfcg.jsczt.cn/） </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五、开启</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时间：2026</w:t>
      </w:r>
      <w:r>
        <w:rPr>
          <w:rFonts w:hint="eastAsia" w:ascii="宋体" w:hAnsi="宋体" w:eastAsia="宋体" w:cs="宋体"/>
          <w:sz w:val="24"/>
          <w:szCs w:val="24"/>
          <w:highlight w:val="none"/>
          <w:lang w:val="en-US" w:eastAsia="zh-CN" w:bidi="ar"/>
        </w:rPr>
        <w:t xml:space="preserve">-0</w:t>
      </w: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23</w:t>
      </w:r>
      <w:r>
        <w:rPr>
          <w:rFonts w:hint="eastAsia" w:ascii="宋体" w:hAnsi="宋体" w:eastAsia="宋体" w:cs="宋体"/>
          <w:sz w:val="24"/>
          <w:szCs w:val="24"/>
          <w:highlight w:val="none"/>
          <w:lang w:val="en-US" w:eastAsia="zh-CN" w:bidi="ar"/>
        </w:rPr>
        <w:t xml:space="preserve"> 09:30 （北京时间）</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六、公告期限</w:t>
      </w:r>
      <w:r/>
    </w:p>
    <w:p>
      <w:pPr>
        <w:pStyle w:val="860"/>
        <w:keepLines w:val="0"/>
        <w:keepNext w:val="0"/>
        <w:spacing w:line="360" w:lineRule="auto"/>
        <w:widowControl/>
        <w:rPr>
          <w:rFonts w:hint="eastAsia" w:ascii="宋体" w:hAnsi="宋体" w:eastAsia="宋体" w:cs="宋体"/>
          <w:sz w:val="24"/>
          <w:szCs w:val="24"/>
          <w:highlight w:val="none"/>
        </w:rPr>
        <w:pBdr>
          <w:left w:val="none" w:color="auto" w:sz="0" w:space="0"/>
        </w:pBdr>
        <w:suppressLineNumbers w:val="0"/>
      </w:pPr>
      <w:r>
        <w:rPr>
          <w:rFonts w:hint="eastAsia" w:ascii="宋体" w:hAnsi="宋体" w:eastAsia="宋体" w:cs="宋体"/>
          <w:sz w:val="24"/>
          <w:szCs w:val="24"/>
          <w:highlight w:val="none"/>
        </w:rPr>
        <w:t xml:space="preserve">自本公告发布之日起3个工作日。</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七、其他补充事宜</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1.CA相关说明：</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（1）CA证书办理</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000000"/>
          <w:sz w:val="24"/>
          <w:szCs w:val="24"/>
          <w:highlight w:val="none"/>
          <w:lang w:val="en-US" w:eastAsia="zh-CN"/>
        </w:rPr>
        <w:t xml:space="preserve">苏州市高新区邓尉路105号狮山科技馆一楼服务大厅</w:t>
      </w:r>
      <w:r>
        <w:rPr>
          <w:rFonts w:hint="eastAsia" w:ascii="宋体" w:hAnsi="宋体" w:eastAsia="宋体" w:cs="宋体"/>
          <w:bCs/>
          <w:color w:val="000000"/>
          <w:sz w:val="24"/>
          <w:szCs w:val="24"/>
          <w:highlight w:val="none"/>
          <w:lang w:val="en-US" w:eastAsia="zh-CN"/>
        </w:rPr>
        <w:t xml:space="preserve">，咨询电话：0512-</w:t>
      </w:r>
      <w:r>
        <w:rPr>
          <w:rFonts w:hint="eastAsia" w:ascii="宋体" w:hAnsi="宋体" w:cs="宋体"/>
          <w:bCs/>
          <w:color w:val="000000"/>
          <w:sz w:val="24"/>
          <w:szCs w:val="24"/>
          <w:highlight w:val="none"/>
          <w:lang w:val="en-US" w:eastAsia="zh-CN"/>
        </w:rPr>
        <w:t xml:space="preserve">65737699</w:t>
      </w:r>
      <w:r>
        <w:rPr>
          <w:rFonts w:hint="eastAsia" w:ascii="宋体" w:hAnsi="宋体" w:eastAsia="宋体" w:cs="宋体"/>
          <w:sz w:val="24"/>
          <w:szCs w:val="24"/>
          <w:highlight w:val="none"/>
          <w:lang w:val="en-US" w:eastAsia="zh-CN" w:bidi="ar"/>
        </w:rPr>
        <w:t xml:space="preserve">。</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（2）参与采购活动</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（3）电子投标准备</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https://czju.suzhou.gov.cn/zfcg/html/content/20231220161910031.shtml）。</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在系统操作过程中如有疑问，请按以下方式联系：</w:t>
      </w:r>
      <w:r/>
    </w:p>
    <w:p>
      <w:pPr>
        <w:ind w:hanging="7"/>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注册咨询：13914088964、18261002950；</w:t>
      </w:r>
      <w:r/>
    </w:p>
    <w:p>
      <w:pPr>
        <w:ind w:hanging="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CA技术咨询电话：400-608-6099；</w:t>
      </w:r>
      <w:r/>
    </w:p>
    <w:p>
      <w:pPr>
        <w:ind w:hanging="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签章使用问题：025-83633811、025-83633812、15380932027、15371015030；</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bCs/>
          <w:color w:val="000000"/>
          <w:sz w:val="24"/>
          <w:szCs w:val="24"/>
          <w:highlight w:val="none"/>
          <w:lang w:val="en-US" w:eastAsia="zh-CN"/>
        </w:rPr>
        <w:t xml:space="preserve">系统使用指导与咨询：联系电话：13914088964、18261002950；QQ：3048755361、1315179389、895706745</w:t>
      </w:r>
      <w:r>
        <w:rPr>
          <w:rFonts w:hint="eastAsia" w:ascii="宋体" w:hAnsi="宋体" w:eastAsia="宋体" w:cs="宋体"/>
          <w:sz w:val="24"/>
          <w:szCs w:val="24"/>
          <w:highlight w:val="none"/>
          <w:lang w:val="en-US" w:eastAsia="zh-CN" w:bidi="ar"/>
        </w:rPr>
        <w:t xml:space="preserve">。</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2.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4.请供应商确保电脑、系统及其他设备（视频输入输出设备等）无误，且开标直至项目结束始终保持系统在线状态。</w:t>
      </w:r>
      <w:r/>
    </w:p>
    <w:p>
      <w:pPr>
        <w:pStyle w:val="840"/>
        <w:keepLines w:val="0"/>
        <w:keepNext w:val="0"/>
        <w:spacing w:line="360" w:lineRule="auto"/>
        <w:widowControl/>
        <w:rPr>
          <w:rFonts w:hint="eastAsia" w:ascii="宋体" w:hAnsi="宋体" w:eastAsia="宋体" w:cs="宋体"/>
          <w:sz w:val="24"/>
          <w:szCs w:val="24"/>
          <w:highlight w:val="none"/>
        </w:rPr>
        <w:suppressLineNumbers w:val="0"/>
      </w:pPr>
      <w:r>
        <w:rPr>
          <w:rStyle w:val="866"/>
          <w:rFonts w:hint="eastAsia" w:ascii="宋体" w:hAnsi="宋体" w:eastAsia="宋体" w:cs="宋体"/>
          <w:b/>
          <w:sz w:val="24"/>
          <w:szCs w:val="24"/>
          <w:highlight w:val="none"/>
        </w:rPr>
        <w:t xml:space="preserve">八、凡对本次采购提出询问，请按以下方式联系。</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1.采购人信息</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采购包1</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单位名称：苏州市吴中区临湖镇人民政府</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单位地址：苏州市吴中区临湖镇东山大道3988号</w:t>
      </w:r>
      <w:r/>
    </w:p>
    <w:p>
      <w:pPr>
        <w:spacing w:line="360" w:lineRule="auto"/>
        <w:shd w:val="clear" w:color="auto"/>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联系人：</w:t>
      </w:r>
      <w:r>
        <w:rPr>
          <w:rFonts w:hint="eastAsia" w:ascii="宋体" w:hAnsi="宋体" w:cs="宋体"/>
          <w:sz w:val="24"/>
          <w:szCs w:val="24"/>
          <w:highlight w:val="none"/>
          <w:lang w:val="en-US" w:eastAsia="zh-CN" w:bidi="ar"/>
        </w:rPr>
        <w:t xml:space="preserve">张振婷</w:t>
      </w:r>
      <w:r/>
    </w:p>
    <w:p>
      <w:pPr>
        <w:spacing w:line="360" w:lineRule="auto"/>
        <w:shd w:val="clear" w:color="auto"/>
        <w:rPr>
          <w:rFonts w:hint="default"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联系电话：</w:t>
      </w:r>
      <w:r>
        <w:rPr>
          <w:rFonts w:hint="eastAsia" w:ascii="宋体" w:hAnsi="宋体" w:cs="宋体"/>
          <w:sz w:val="24"/>
          <w:szCs w:val="24"/>
          <w:highlight w:val="none"/>
          <w:lang w:val="en-US" w:eastAsia="zh-CN" w:bidi="ar"/>
        </w:rPr>
        <w:t xml:space="preserve">0512-66521722</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2.采购代理机构信息（如有）</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单位名称：苏州华厦招投标代理有限公司</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单位地址：江苏省苏州市高新区锦峰路198号纽威大厦8楼801室</w:t>
      </w:r>
      <w:r/>
    </w:p>
    <w:p>
      <w:pPr>
        <w:spacing w:line="360" w:lineRule="auto"/>
        <w:shd w:val="clear" w:color="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bidi="ar"/>
        </w:rPr>
        <w:t xml:space="preserve">联系人：</w:t>
      </w:r>
      <w:r>
        <w:rPr>
          <w:rFonts w:hint="eastAsia" w:ascii="宋体" w:hAnsi="宋体" w:cs="宋体"/>
          <w:sz w:val="24"/>
          <w:szCs w:val="24"/>
          <w:highlight w:val="none"/>
          <w:lang w:val="en-US" w:eastAsia="zh-CN" w:bidi="ar"/>
        </w:rPr>
        <w:t xml:space="preserve">周磊</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联系电话：68700399</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3.项目联系方式</w:t>
      </w:r>
      <w:r/>
    </w:p>
    <w:p>
      <w:pPr>
        <w:spacing w:line="360" w:lineRule="auto"/>
        <w:shd w:val="clear" w:color="auto"/>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项目联系人：</w:t>
      </w:r>
      <w:r>
        <w:rPr>
          <w:rFonts w:hint="eastAsia" w:ascii="宋体" w:hAnsi="宋体" w:cs="宋体"/>
          <w:sz w:val="24"/>
          <w:szCs w:val="24"/>
          <w:highlight w:val="none"/>
          <w:lang w:val="en-US" w:eastAsia="zh-CN" w:bidi="ar"/>
        </w:rPr>
        <w:t xml:space="preserve">周磊</w:t>
      </w:r>
      <w:r/>
    </w:p>
    <w:p>
      <w:pPr>
        <w:spacing w:line="360" w:lineRule="auto"/>
        <w:shd w:val="clear" w:color="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电话：68700399</w:t>
      </w:r>
      <w:r/>
    </w:p>
    <w:p>
      <w:pPr>
        <w:ind w:left="0" w:right="0"/>
        <w:jc w:val="left"/>
        <w:keepLines w:val="0"/>
        <w:keepNext w:val="0"/>
        <w:spacing w:before="0" w:beforeAutospacing="1" w:after="0" w:afterAutospacing="1"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jc w:val="left"/>
        <w:keepLines w:val="0"/>
        <w:keepNext w:val="0"/>
        <w:spacing w:before="0" w:beforeAutospacing="0" w:after="210" w:afterAutospacing="0" w:line="360" w:lineRule="auto"/>
        <w:shd w:val="clear" w:color="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spacing w:line="360" w:lineRule="auto"/>
        <w:shd w:val="clear" w:color="auto"/>
        <w:tabs>
          <w:tab w:val="left" w:pos="525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二、苏州市政府采购竞争性磋商文件</w:t>
      </w:r>
      <w:r/>
    </w:p>
    <w:p>
      <w:pPr>
        <w:spacing w:line="360" w:lineRule="auto"/>
        <w:shd w:val="clear" w:color="auto"/>
        <w:tabs>
          <w:tab w:val="left" w:pos="525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一、磋商编号：</w:t>
      </w:r>
      <w:r>
        <w:rPr>
          <w:rFonts w:hint="eastAsia" w:ascii="宋体" w:hAnsi="宋体" w:cs="宋体"/>
          <w:b/>
          <w:bCs/>
          <w:color w:val="000000" w:themeColor="text1"/>
          <w:sz w:val="24"/>
          <w:szCs w:val="24"/>
          <w:highlight w:val="none"/>
          <w:lang w:eastAsia="zh-CN"/>
          <w14:textFill>
            <w14:solidFill>
              <w14:schemeClr w14:val="tx1"/>
            </w14:solidFill>
          </w14:textFill>
        </w:rPr>
        <w:t xml:space="preserve">JSZC-320506111-DLHX-C2026-0006</w:t>
      </w:r>
      <w:r>
        <w:rPr>
          <w:rFonts w:hint="eastAsia" w:ascii="宋体" w:hAnsi="宋体" w:eastAsia="宋体" w:cs="宋体"/>
          <w:b/>
          <w:bCs/>
          <w:color w:val="000000" w:themeColor="text1"/>
          <w:sz w:val="24"/>
          <w:szCs w:val="24"/>
          <w:highlight w:val="none"/>
          <w14:textFill>
            <w14:solidFill>
              <w14:schemeClr w14:val="tx1"/>
            </w14:solidFill>
          </w14:textFill>
        </w:rPr>
        <w:t xml:space="preserve">号</w:t>
      </w:r>
      <w:r/>
    </w:p>
    <w:p>
      <w:pPr>
        <w:spacing w:line="360" w:lineRule="auto"/>
        <w:shd w:val="clear" w:color="auto"/>
        <w:tabs>
          <w:tab w:val="left" w:pos="525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二、磋商响应单位资质要求:</w:t>
      </w:r>
      <w:r/>
    </w:p>
    <w:p>
      <w:pPr>
        <w:spacing w:line="360" w:lineRule="auto"/>
        <w:shd w:val="clear" w:color="auto"/>
        <w:tabs>
          <w:tab w:val="left" w:pos="525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1.响应单位资质要求:</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（1）具有独立承担民事责任的能力；</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（2）良好的商业信誉和健全的财务会计制度；</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（3）具有履行合同所必须的设备和专业技术能力；</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（4）有依法缴纳税收和社会保障资金的良好记录；</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（5）参加政府采购活动前三年内，在经营活动中没有重大违法记录；</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（6）法律、行政法规规定的其他条件；</w:t>
      </w:r>
      <w:r/>
    </w:p>
    <w:p>
      <w:pPr>
        <w:pStyle w:val="860"/>
        <w:jc w:val="both"/>
        <w:keepLines w:val="0"/>
        <w:keepNext w:val="0"/>
        <w:spacing w:before="0" w:beforeAutospacing="0" w:after="0" w:afterAutospacing="0" w:line="360" w:lineRule="auto"/>
        <w:shd w:val="clear" w:color="auto"/>
        <w:widowControl w:val="off"/>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0" w:name="_Toc174421905"/>
      <w:r>
        <w:rPr>
          <w:rFonts w:hint="eastAsia" w:ascii="宋体" w:hAnsi="宋体" w:eastAsia="宋体" w:cs="宋体"/>
          <w:color w:val="000000"/>
          <w:sz w:val="24"/>
          <w:szCs w:val="24"/>
          <w:highlight w:val="none"/>
        </w:rPr>
        <w:t xml:space="preserve">注：为确保采购质量，此次招标不接受联合投标。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此项目专门面向中小</w:t>
      </w:r>
      <w:r>
        <w:rPr>
          <w:rFonts w:hint="eastAsia" w:ascii="宋体" w:hAnsi="宋体" w:eastAsia="宋体" w:cs="宋体"/>
          <w:b/>
          <w:bCs/>
          <w:color w:val="auto"/>
          <w:sz w:val="24"/>
          <w:szCs w:val="24"/>
          <w:highlight w:val="none"/>
          <w:lang w:eastAsia="zh-CN"/>
        </w:rPr>
        <w:t xml:space="preserve">微</w:t>
      </w:r>
      <w:r>
        <w:rPr>
          <w:rFonts w:hint="eastAsia" w:ascii="宋体" w:hAnsi="宋体" w:eastAsia="宋体" w:cs="宋体"/>
          <w:b/>
          <w:bCs/>
          <w:color w:val="auto"/>
          <w:sz w:val="24"/>
          <w:szCs w:val="24"/>
          <w:highlight w:val="none"/>
        </w:rPr>
        <w:t xml:space="preserve">企业采购，</w:t>
      </w:r>
      <w:r>
        <w:rPr>
          <w:rFonts w:hint="eastAsia" w:ascii="宋体" w:hAnsi="宋体" w:eastAsia="宋体" w:cs="宋体"/>
          <w:b/>
          <w:bCs/>
          <w:color w:val="auto"/>
          <w:sz w:val="24"/>
          <w:szCs w:val="24"/>
          <w:highlight w:val="none"/>
          <w:lang w:val="en-US" w:eastAsia="zh-CN"/>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3.1未被“信用中国”网站（</w:t>
      </w:r>
      <w:r>
        <w:rPr>
          <w:rFonts w:hint="eastAsia" w:ascii="宋体" w:hAnsi="宋体" w:cs="宋体"/>
          <w:color w:val="auto"/>
          <w:sz w:val="24"/>
          <w:szCs w:val="24"/>
          <w:highlight w:val="none"/>
          <w:lang w:val="en-US" w:eastAsia="zh-CN"/>
        </w:rPr>
        <w:t xml:space="preserve">www</w:t>
      </w:r>
      <w:r>
        <w:rPr>
          <w:rFonts w:hint="eastAsia" w:ascii="宋体" w:hAnsi="宋体" w:eastAsia="宋体" w:cs="宋体"/>
          <w:color w:val="auto"/>
          <w:sz w:val="24"/>
          <w:szCs w:val="24"/>
          <w:highlight w:val="none"/>
        </w:rPr>
        <w:t xml:space="preserve">.creditchina.gov.cn）或“中国政府采购网”网站（www.ccgp.gov.cn）列入失信被执行人、重大税收违法案件当事人名单、政府采购严重失信行为记录名单；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具备省公安厅颁发的有效期内的《保安服务许可证》</w:t>
      </w:r>
      <w:r>
        <w:rPr>
          <w:rFonts w:hint="eastAsia" w:ascii="宋体" w:hAnsi="宋体" w:eastAsia="宋体" w:cs="宋体"/>
          <w:color w:val="auto"/>
          <w:sz w:val="24"/>
          <w:szCs w:val="24"/>
          <w:highlight w:val="none"/>
          <w:lang w:eastAsia="zh-CN"/>
        </w:rPr>
        <w:t xml:space="preserve">。</w:t>
      </w:r>
      <w:r/>
    </w:p>
    <w:p>
      <w:pPr>
        <w:spacing w:line="360" w:lineRule="auto"/>
        <w:shd w:val="clear" w:color="auto"/>
        <w:tabs>
          <w:tab w:val="left" w:pos="525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三、项目概述及采购要求：</w:t>
      </w:r>
      <w:r/>
    </w:p>
    <w:p>
      <w:pPr>
        <w:numPr>
          <w:ilvl w:val="0"/>
          <w:numId w:val="0"/>
        </w:numPr>
        <w:ind w:left="0" w:firstLine="240"/>
        <w:jc w:val="both"/>
        <w:spacing w:before="0" w:after="0" w:line="360" w:lineRule="auto"/>
        <w:widowControl w:val="off"/>
        <w:tabs>
          <w:tab w:val="left" w:pos="5250" w:leader="none"/>
        </w:tabs>
        <w:rPr>
          <w:rFonts w:hint="eastAsia" w:ascii="宋体" w:hAnsi="宋体" w:eastAsia="宋体" w:cs="宋体"/>
          <w:color w:val="auto"/>
          <w:spacing w:val="23"/>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为切实加强辖区基础管理和整体防控力量储备，现需聘请社会综合治理人员23名</w:t>
      </w:r>
      <w:r/>
    </w:p>
    <w:p>
      <w:pPr>
        <w:numPr>
          <w:ilvl w:val="0"/>
          <w:numId w:val="0"/>
        </w:numPr>
        <w:ind w:left="0" w:firstLine="0"/>
        <w:jc w:val="both"/>
        <w:spacing w:before="0" w:after="0" w:line="360" w:lineRule="auto"/>
        <w:widowControl w:val="off"/>
        <w:tabs>
          <w:tab w:val="left" w:pos="5250" w:leader="none"/>
        </w:tabs>
        <w:rPr>
          <w:rFonts w:hint="eastAsia" w:ascii="Calibri" w:hAnsi="Calibri" w:eastAsia="宋体" w:cs="Times New Roman"/>
          <w:color w:val="auto"/>
          <w:sz w:val="28"/>
          <w:szCs w:val="24"/>
          <w:highlight w:val="none"/>
          <w:lang w:val="en-US" w:eastAsia="zh-CN" w:bidi="ar-SA"/>
        </w:rPr>
      </w:pPr>
      <w:r>
        <w:rPr>
          <w:rFonts w:hint="eastAsia" w:ascii="宋体" w:hAnsi="宋体" w:eastAsia="宋体" w:cs="宋体"/>
          <w:color w:val="auto"/>
          <w:spacing w:val="23"/>
          <w:sz w:val="24"/>
          <w:szCs w:val="24"/>
          <w:highlight w:val="none"/>
          <w:lang w:val="en-US" w:eastAsia="zh-CN" w:bidi="ar-SA"/>
        </w:rPr>
        <w:t xml:space="preserve">（一）人员要求</w:t>
      </w:r>
      <w:r/>
    </w:p>
    <w:tbl>
      <w:tblPr>
        <w:tblStyle w:val="844"/>
        <w:tblW w:w="94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295"/>
        <w:gridCol w:w="708"/>
        <w:gridCol w:w="1642"/>
        <w:gridCol w:w="1590"/>
        <w:gridCol w:w="2490"/>
      </w:tblGrid>
      <w:tr>
        <w:trPr>
          <w:jc w:val="center"/>
        </w:trPr>
        <w:tc>
          <w:tcPr>
            <w:tcW w:w="758"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序号</w:t>
            </w:r>
            <w:r/>
          </w:p>
        </w:tc>
        <w:tc>
          <w:tcPr>
            <w:tcW w:w="2295"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岗位名称</w:t>
            </w:r>
            <w:r/>
          </w:p>
        </w:tc>
        <w:tc>
          <w:tcPr>
            <w:tcW w:w="708" w:type="dxa"/>
            <w:vAlign w:val="center"/>
            <w:textDirection w:val="lrTb"/>
            <w:noWrap w:val="false"/>
          </w:tcPr>
          <w:p>
            <w:pPr>
              <w:ind w:left="0" w:firstLine="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rPr>
              <w:t xml:space="preserve">人数</w:t>
            </w:r>
            <w:r/>
          </w:p>
        </w:tc>
        <w:tc>
          <w:tcPr>
            <w:tcW w:w="1642"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年龄</w:t>
            </w:r>
            <w:r/>
          </w:p>
        </w:tc>
        <w:tc>
          <w:tcPr>
            <w:tcW w:w="1590" w:type="dxa"/>
            <w:vAlign w:val="center"/>
            <w:textDirection w:val="lrTb"/>
            <w:noWrap w:val="false"/>
          </w:tcPr>
          <w:p>
            <w:pPr>
              <w:ind w:left="0" w:firstLine="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rPr>
              <w:t xml:space="preserve">学历</w:t>
            </w:r>
            <w:r/>
          </w:p>
        </w:tc>
        <w:tc>
          <w:tcPr>
            <w:tcW w:w="2490"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备注</w:t>
            </w:r>
            <w:r/>
          </w:p>
        </w:tc>
      </w:tr>
      <w:tr>
        <w:trPr>
          <w:jc w:val="center"/>
          <w:trHeight w:val="771"/>
        </w:trPr>
        <w:tc>
          <w:tcPr>
            <w:tcW w:w="758"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p>
        </w:tc>
        <w:tc>
          <w:tcPr>
            <w:tcW w:w="2295"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综合执法</w:t>
            </w:r>
            <w:r>
              <w:rPr>
                <w:rFonts w:hint="eastAsia" w:ascii="宋体" w:hAnsi="宋体" w:eastAsia="宋体" w:cs="宋体"/>
                <w:color w:val="auto"/>
                <w:spacing w:val="0"/>
                <w:sz w:val="24"/>
                <w:szCs w:val="24"/>
                <w:highlight w:val="none"/>
                <w:lang w:eastAsia="zh-CN"/>
              </w:rPr>
              <w:t xml:space="preserve">城市管理一线辅助（</w:t>
            </w:r>
            <w:r>
              <w:rPr>
                <w:rFonts w:hint="eastAsia" w:ascii="宋体" w:hAnsi="宋体" w:eastAsia="宋体" w:cs="宋体"/>
                <w:color w:val="auto"/>
                <w:spacing w:val="0"/>
                <w:sz w:val="24"/>
                <w:szCs w:val="24"/>
                <w:highlight w:val="none"/>
                <w:lang w:val="en-US" w:eastAsia="zh-CN"/>
              </w:rPr>
              <w:t xml:space="preserve">男性</w:t>
            </w:r>
            <w:r>
              <w:rPr>
                <w:rFonts w:hint="eastAsia" w:ascii="宋体" w:hAnsi="宋体" w:eastAsia="宋体" w:cs="宋体"/>
                <w:color w:val="auto"/>
                <w:spacing w:val="0"/>
                <w:sz w:val="24"/>
                <w:szCs w:val="24"/>
                <w:highlight w:val="none"/>
                <w:lang w:eastAsia="zh-CN"/>
              </w:rPr>
              <w:t xml:space="preserve">）</w:t>
            </w:r>
            <w:r/>
          </w:p>
        </w:tc>
        <w:tc>
          <w:tcPr>
            <w:tcW w:w="708"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p>
        </w:tc>
        <w:tc>
          <w:tcPr>
            <w:tcW w:w="1642"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45</w:t>
            </w:r>
            <w:r>
              <w:rPr>
                <w:rFonts w:hint="eastAsia" w:ascii="宋体" w:hAnsi="宋体" w:eastAsia="宋体" w:cs="宋体"/>
                <w:color w:val="auto"/>
                <w:spacing w:val="0"/>
                <w:sz w:val="24"/>
                <w:szCs w:val="24"/>
                <w:highlight w:val="none"/>
              </w:rPr>
              <w:t xml:space="preserve">周岁以下</w:t>
            </w:r>
            <w:r/>
          </w:p>
        </w:tc>
        <w:tc>
          <w:tcPr>
            <w:tcW w:w="1590"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中专</w:t>
            </w:r>
            <w:r>
              <w:rPr>
                <w:rFonts w:hint="eastAsia" w:ascii="宋体" w:hAnsi="宋体" w:eastAsia="宋体" w:cs="宋体"/>
                <w:color w:val="auto"/>
                <w:spacing w:val="0"/>
                <w:sz w:val="24"/>
                <w:szCs w:val="24"/>
                <w:highlight w:val="none"/>
              </w:rPr>
              <w:t xml:space="preserve">及以上</w:t>
            </w:r>
            <w:r>
              <w:rPr>
                <w:rFonts w:hint="eastAsia" w:ascii="宋体" w:hAnsi="宋体" w:eastAsia="宋体" w:cs="宋体"/>
                <w:color w:val="auto"/>
                <w:spacing w:val="0"/>
                <w:sz w:val="24"/>
                <w:szCs w:val="24"/>
                <w:highlight w:val="none"/>
                <w:lang w:eastAsia="zh-CN"/>
              </w:rPr>
              <w:t xml:space="preserve">学历</w:t>
            </w:r>
            <w:r/>
          </w:p>
        </w:tc>
        <w:tc>
          <w:tcPr>
            <w:tcW w:w="2490" w:type="dxa"/>
            <w:vAlign w:val="center"/>
            <w:textDirection w:val="lrTb"/>
            <w:noWrap w:val="false"/>
          </w:tcPr>
          <w:p>
            <w:pPr>
              <w:ind w:left="0" w:firstLine="0"/>
              <w:spacing w:before="0" w:after="0" w:line="360" w:lineRule="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执勤，</w:t>
            </w:r>
            <w:r>
              <w:rPr>
                <w:rFonts w:hint="eastAsia" w:ascii="宋体" w:hAnsi="宋体" w:eastAsia="宋体" w:cs="宋体"/>
                <w:color w:val="auto"/>
                <w:spacing w:val="0"/>
                <w:sz w:val="24"/>
                <w:szCs w:val="24"/>
                <w:highlight w:val="none"/>
                <w:lang w:val="en-US" w:eastAsia="zh-CN"/>
              </w:rPr>
              <w:t xml:space="preserve">需要夜间</w:t>
            </w:r>
            <w:r>
              <w:rPr>
                <w:rFonts w:hint="eastAsia" w:ascii="宋体" w:hAnsi="宋体" w:cs="宋体"/>
                <w:color w:val="auto"/>
                <w:spacing w:val="0"/>
                <w:sz w:val="24"/>
                <w:szCs w:val="24"/>
                <w:highlight w:val="none"/>
                <w:lang w:val="en-US" w:eastAsia="zh-CN"/>
              </w:rPr>
              <w:t xml:space="preserve">巡逻</w:t>
            </w:r>
            <w:r/>
          </w:p>
        </w:tc>
      </w:tr>
      <w:tr>
        <w:trPr>
          <w:jc w:val="center"/>
          <w:trHeight w:val="663"/>
        </w:trPr>
        <w:tc>
          <w:tcPr>
            <w:tcW w:w="758"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p>
        </w:tc>
        <w:tc>
          <w:tcPr>
            <w:tcW w:w="2295"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派出所巡防、社区（男女不限）</w:t>
            </w:r>
            <w:r/>
          </w:p>
        </w:tc>
        <w:tc>
          <w:tcPr>
            <w:tcW w:w="708"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20</w:t>
            </w:r>
            <w:r/>
          </w:p>
        </w:tc>
        <w:tc>
          <w:tcPr>
            <w:tcW w:w="1642"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35周岁以下</w:t>
            </w:r>
            <w:r/>
          </w:p>
        </w:tc>
        <w:tc>
          <w:tcPr>
            <w:tcW w:w="1590"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大专及以上</w:t>
            </w:r>
            <w:r>
              <w:rPr>
                <w:rFonts w:hint="eastAsia" w:ascii="宋体" w:hAnsi="宋体" w:eastAsia="宋体" w:cs="宋体"/>
                <w:color w:val="auto"/>
                <w:spacing w:val="0"/>
                <w:sz w:val="24"/>
                <w:szCs w:val="24"/>
                <w:highlight w:val="none"/>
                <w:lang w:eastAsia="zh-CN"/>
              </w:rPr>
              <w:t xml:space="preserve">学历</w:t>
            </w:r>
            <w:r/>
          </w:p>
        </w:tc>
        <w:tc>
          <w:tcPr>
            <w:tcW w:w="2490" w:type="dxa"/>
            <w:vAlign w:val="center"/>
            <w:textDirection w:val="lrTb"/>
            <w:noWrap w:val="false"/>
          </w:tcPr>
          <w:p>
            <w:pPr>
              <w:ind w:left="0" w:firstLine="0"/>
              <w:spacing w:before="0" w:after="0"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需要夜间执勤</w:t>
            </w:r>
            <w:r/>
          </w:p>
        </w:tc>
      </w:tr>
    </w:tbl>
    <w:p>
      <w:pPr>
        <w:ind w:left="0" w:firstLine="0"/>
        <w:jc w:val="left"/>
        <w:keepLines w:val="0"/>
        <w:keepNext w:val="0"/>
        <w:pageBreakBefore w:val="0"/>
        <w:spacing w:before="0" w:after="0" w:line="360" w:lineRule="auto"/>
        <w:widowControl w:val="off"/>
        <w:rPr>
          <w:rFonts w:hint="default"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eastAsia="zh-CN"/>
        </w:rPr>
        <w:t xml:space="preserve">注：以上</w:t>
      </w:r>
      <w:r>
        <w:rPr>
          <w:rFonts w:hint="eastAsia" w:ascii="宋体" w:hAnsi="宋体" w:eastAsia="宋体" w:cs="宋体"/>
          <w:b w:val="0"/>
          <w:bCs w:val="0"/>
          <w:color w:val="auto"/>
          <w:sz w:val="24"/>
          <w:szCs w:val="24"/>
          <w:highlight w:val="none"/>
          <w:u w:val="none"/>
          <w:lang w:val="en-US" w:eastAsia="zh-CN"/>
        </w:rPr>
        <w:t xml:space="preserve">具有</w:t>
      </w:r>
      <w:r>
        <w:rPr>
          <w:rFonts w:hint="eastAsia" w:ascii="宋体" w:hAnsi="宋体" w:cs="宋体"/>
          <w:b w:val="0"/>
          <w:bCs w:val="0"/>
          <w:color w:val="auto"/>
          <w:sz w:val="24"/>
          <w:szCs w:val="24"/>
          <w:highlight w:val="none"/>
          <w:u w:val="none"/>
          <w:lang w:val="en-US" w:eastAsia="zh-CN"/>
        </w:rPr>
        <w:t xml:space="preserve">公安</w:t>
      </w:r>
      <w:r>
        <w:rPr>
          <w:rFonts w:hint="eastAsia" w:ascii="宋体" w:hAnsi="宋体" w:eastAsia="宋体" w:cs="宋体"/>
          <w:b w:val="0"/>
          <w:bCs w:val="0"/>
          <w:color w:val="auto"/>
          <w:sz w:val="24"/>
          <w:szCs w:val="24"/>
          <w:highlight w:val="none"/>
          <w:u w:val="none"/>
          <w:lang w:val="en-US" w:eastAsia="zh-CN"/>
        </w:rPr>
        <w:t xml:space="preserve">工作经验</w:t>
      </w:r>
      <w:r>
        <w:rPr>
          <w:rFonts w:hint="eastAsia" w:ascii="宋体" w:hAnsi="宋体" w:cs="宋体"/>
          <w:b w:val="0"/>
          <w:bCs w:val="0"/>
          <w:color w:val="auto"/>
          <w:sz w:val="24"/>
          <w:szCs w:val="24"/>
          <w:highlight w:val="none"/>
          <w:u w:val="none"/>
          <w:lang w:val="en-US" w:eastAsia="zh-CN"/>
        </w:rPr>
        <w:t xml:space="preserve">或是退伍军人</w:t>
      </w:r>
      <w:r>
        <w:rPr>
          <w:rFonts w:hint="eastAsia" w:ascii="宋体" w:hAnsi="宋体" w:eastAsia="宋体" w:cs="宋体"/>
          <w:b w:val="0"/>
          <w:bCs w:val="0"/>
          <w:color w:val="auto"/>
          <w:sz w:val="24"/>
          <w:szCs w:val="24"/>
          <w:highlight w:val="none"/>
          <w:u w:val="none"/>
          <w:lang w:val="en-US" w:eastAsia="zh-CN"/>
        </w:rPr>
        <w:t xml:space="preserve">的</w:t>
      </w:r>
      <w:r>
        <w:rPr>
          <w:rFonts w:hint="eastAsia" w:ascii="宋体" w:hAnsi="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lang w:val="en-US" w:eastAsia="zh-CN"/>
        </w:rPr>
        <w:t xml:space="preserve">年龄</w:t>
      </w:r>
      <w:r>
        <w:rPr>
          <w:rFonts w:hint="eastAsia" w:ascii="宋体" w:hAnsi="宋体" w:cs="宋体"/>
          <w:b w:val="0"/>
          <w:bCs w:val="0"/>
          <w:color w:val="auto"/>
          <w:sz w:val="24"/>
          <w:szCs w:val="24"/>
          <w:highlight w:val="none"/>
          <w:u w:val="none"/>
          <w:lang w:val="en-US" w:eastAsia="zh-CN"/>
        </w:rPr>
        <w:t xml:space="preserve">、学历</w:t>
      </w:r>
      <w:r>
        <w:rPr>
          <w:rFonts w:hint="eastAsia" w:ascii="宋体" w:hAnsi="宋体" w:eastAsia="宋体" w:cs="宋体"/>
          <w:b w:val="0"/>
          <w:bCs w:val="0"/>
          <w:color w:val="auto"/>
          <w:sz w:val="24"/>
          <w:szCs w:val="24"/>
          <w:highlight w:val="none"/>
          <w:u w:val="none"/>
          <w:lang w:val="en-US" w:eastAsia="zh-CN"/>
        </w:rPr>
        <w:t xml:space="preserve">可适当放宽</w:t>
      </w:r>
      <w:r>
        <w:rPr>
          <w:rFonts w:hint="eastAsia" w:ascii="宋体" w:hAnsi="宋体" w:cs="宋体"/>
          <w:b w:val="0"/>
          <w:bCs w:val="0"/>
          <w:color w:val="auto"/>
          <w:sz w:val="24"/>
          <w:szCs w:val="24"/>
          <w:highlight w:val="none"/>
          <w:u w:val="none"/>
          <w:lang w:val="en-US" w:eastAsia="zh-CN"/>
        </w:rPr>
        <w:t xml:space="preserve">条件</w:t>
      </w:r>
      <w:r>
        <w:rPr>
          <w:rFonts w:hint="eastAsia" w:ascii="宋体" w:hAnsi="宋体" w:eastAsia="宋体" w:cs="宋体"/>
          <w:b w:val="0"/>
          <w:bCs w:val="0"/>
          <w:color w:val="auto"/>
          <w:sz w:val="24"/>
          <w:szCs w:val="24"/>
          <w:highlight w:val="none"/>
          <w:u w:val="none"/>
          <w:lang w:val="en-US" w:eastAsia="zh-CN"/>
        </w:rPr>
        <w:t xml:space="preserve">，无</w:t>
      </w:r>
      <w:r>
        <w:rPr>
          <w:rFonts w:hint="eastAsia" w:ascii="宋体" w:hAnsi="宋体" w:cs="宋体"/>
          <w:b w:val="0"/>
          <w:bCs w:val="0"/>
          <w:color w:val="auto"/>
          <w:sz w:val="24"/>
          <w:szCs w:val="24"/>
          <w:highlight w:val="none"/>
          <w:u w:val="none"/>
          <w:lang w:val="en-US" w:eastAsia="zh-CN"/>
        </w:rPr>
        <w:t xml:space="preserve">不良</w:t>
      </w:r>
      <w:r>
        <w:rPr>
          <w:rFonts w:hint="eastAsia" w:ascii="宋体" w:hAnsi="宋体" w:eastAsia="宋体" w:cs="宋体"/>
          <w:b w:val="0"/>
          <w:bCs w:val="0"/>
          <w:color w:val="auto"/>
          <w:sz w:val="24"/>
          <w:szCs w:val="24"/>
          <w:highlight w:val="none"/>
          <w:u w:val="none"/>
          <w:lang w:val="en-US" w:eastAsia="zh-CN"/>
        </w:rPr>
        <w:t xml:space="preserve">记录</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（二）服务要求</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基础信息采集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）对网格内人、地、物、事情、组织、网络等基础信息进行采集、录入和更新，突出做好实有人口、实有房屋、实有单位、重点场所、特殊人群、重点人员信息采集上报工作。</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）收集社情民意，上报群众在社会治理方面的诉求。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 </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治安防范协管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）走访巡查流动人口和出租房屋，掌握流动人口、出租房租户基本信息、房屋用途等情况，发现违法犯罪线索及时上报。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）走访巡查校园周边等治安重点区域和复杂场所，发现疑似传销、非法传教、非法加工、危化品非法存放等场所，以及涉黄涉赌涉毒、涉爆涉枪、涉邪教、非法集资、涉宗教等人员和违法行为线索的，及时上报。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安全隐患排查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）排查消防安全隐患，发现消防设施损毁、消防通道堵塞、私拉乱拉电线为电动车充电等火灾问题隐患，及时上报。</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）排查交通安全隐患，发现影响车辆行人安全、影响居民通行、交通设施缺失损坏等问题隐患，及时上报。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）排查</w:t>
      </w:r>
      <w:r>
        <w:rPr>
          <w:rFonts w:hint="eastAsia" w:ascii="宋体" w:hAnsi="宋体" w:eastAsia="宋体" w:cs="宋体"/>
          <w:b w:val="0"/>
          <w:bCs w:val="0"/>
          <w:color w:val="auto"/>
          <w:sz w:val="24"/>
          <w:szCs w:val="24"/>
          <w:highlight w:val="none"/>
          <w:lang w:val="en-US" w:eastAsia="zh-CN"/>
        </w:rPr>
        <w:t xml:space="preserve">企业店面</w:t>
      </w:r>
      <w:r>
        <w:rPr>
          <w:rFonts w:hint="eastAsia" w:ascii="宋体" w:hAnsi="宋体" w:eastAsia="宋体" w:cs="宋体"/>
          <w:b w:val="0"/>
          <w:bCs w:val="0"/>
          <w:color w:val="auto"/>
          <w:sz w:val="24"/>
          <w:szCs w:val="24"/>
          <w:highlight w:val="none"/>
          <w:lang w:eastAsia="zh-CN"/>
        </w:rPr>
        <w:t xml:space="preserve">安全隐患，发现食品药品生产经营、餐饮服务等问题隐患、安全事件，以及非法生产、销售假冒伪劣、传销等违法行为线索，及时上报。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）排查公共卫生安全隐患，发现公共场所卫生、生活用水卫生、传染病等公共卫生问题隐患，及时上报。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矛盾纠纷排查化解</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）走访排查婚姻家庭、邻里关系、房产物业、劳动社保、民族宗教等各类矛盾纠纷，小矛盾小纠纷就地调解，复杂疑难问题及时上报。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）发现可能影响稳定的苗头性、群体性、突发性事件等，及时上报。</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城乡治理协管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）发现私搭乱建、乱堆乱放、乱贴乱画、流动摊点等市容市貌问题，道路不洁、暴露垃圾等环境卫生问题，毁绿占绿、缺株死株等园林问题，井盖缺失、道路破损、公共设施损毁 等市政设施问题，及时上报。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）发现扰民、乱贴广告、违章搭建、车辆乱停放等小区管理问题，及时上报。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政策法律法规宣传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）开展平安法治、治安防范知识宣传，引导群众自觉学法、守法、用法、护法，发动群众积极参与平安村（社区）、平安家庭等基层平安创建活动。 </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）开展基层党建、治安管理、市场监管、优抚安置、社会保障、社会救助、公共卫生等各方面法律法规政策宣传。</w:t>
      </w:r>
      <w:r/>
    </w:p>
    <w:p>
      <w:pPr>
        <w:ind w:left="0" w:firstLine="0"/>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）开展社会主义核心价值观、文明公约、村规民约等宣传，传播社会主义文明风尚。 </w:t>
      </w:r>
      <w:r/>
    </w:p>
    <w:p>
      <w:pPr>
        <w:ind w:left="0" w:firstLine="0"/>
        <w:jc w:val="left"/>
        <w:spacing w:before="0" w:after="0" w:line="360" w:lineRule="auto"/>
        <w:tabs>
          <w:tab w:val="left" w:pos="720" w:leader="none"/>
          <w:tab w:val="left" w:pos="525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做好</w:t>
      </w:r>
      <w:r>
        <w:rPr>
          <w:rFonts w:hint="eastAsia" w:ascii="宋体" w:hAnsi="宋体" w:eastAsia="宋体" w:cs="宋体"/>
          <w:b w:val="0"/>
          <w:bCs w:val="0"/>
          <w:color w:val="auto"/>
          <w:sz w:val="24"/>
          <w:szCs w:val="24"/>
          <w:highlight w:val="none"/>
          <w:lang w:val="en-US" w:eastAsia="zh-CN"/>
        </w:rPr>
        <w:t xml:space="preserve">采购方</w:t>
      </w:r>
      <w:r>
        <w:rPr>
          <w:rFonts w:hint="eastAsia" w:ascii="宋体" w:hAnsi="宋体" w:eastAsia="宋体" w:cs="宋体"/>
          <w:b w:val="0"/>
          <w:bCs w:val="0"/>
          <w:color w:val="auto"/>
          <w:sz w:val="24"/>
          <w:szCs w:val="24"/>
          <w:highlight w:val="none"/>
          <w:lang w:eastAsia="zh-CN"/>
        </w:rPr>
        <w:t xml:space="preserve">交办的其他工作。</w:t>
      </w:r>
      <w:r/>
    </w:p>
    <w:p>
      <w:pPr>
        <w:ind w:left="0" w:firstLine="0"/>
        <w:jc w:val="left"/>
        <w:spacing w:before="0" w:after="0" w:line="360" w:lineRule="auto"/>
        <w:tabs>
          <w:tab w:val="left" w:pos="720" w:leader="none"/>
          <w:tab w:val="left" w:pos="525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8、考核</w:t>
      </w:r>
      <w:r/>
    </w:p>
    <w:tbl>
      <w:tblPr>
        <w:tblStyle w:val="865"/>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4113"/>
        <w:gridCol w:w="3226"/>
        <w:gridCol w:w="756"/>
        <w:gridCol w:w="1316"/>
      </w:tblGrid>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序号</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分值及扣分方式</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得分</w:t>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扣分原因</w:t>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未按合同要求配足配齐设备</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rPr>
                <w:rFonts w:hint="eastAsia" w:ascii="宋体" w:hAnsi="宋体" w:eastAsia="宋体" w:cs="宋体"/>
                <w:color w:val="auto"/>
                <w:sz w:val="24"/>
                <w:szCs w:val="24"/>
                <w:highlight w:val="none"/>
                <w:vertAlign w:val="baseline"/>
                <w:lang w:val="en-US" w:eastAsia="zh-CN"/>
              </w:rPr>
              <w:t xml:space="preserve">分；1次</w:t>
            </w:r>
            <w:r>
              <w:rPr>
                <w:rFonts w:hint="eastAsia" w:ascii="宋体" w:hAnsi="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在岗人员未按规定着装</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5分；1次1分，扣完为止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抽烟、工作时聊天、玩手机、睡觉</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4</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未按合同要求每天及时上岗</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w:t>
            </w:r>
            <w:r>
              <w:rPr>
                <w:rFonts w:hint="eastAsia" w:ascii="宋体" w:hAnsi="宋体" w:eastAsia="宋体" w:cs="宋体"/>
                <w:color w:val="auto"/>
                <w:sz w:val="24"/>
                <w:szCs w:val="24"/>
                <w:highlight w:val="none"/>
                <w:vertAlign w:val="baseline"/>
                <w:lang w:val="en-US" w:eastAsia="zh-CN"/>
              </w:rPr>
              <w:t xml:space="preserve">分；1次</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不能操作监控安防设备</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5分；1次</w:t>
            </w:r>
            <w:r>
              <w:rPr>
                <w:rFonts w:hint="eastAsia" w:ascii="宋体" w:hAnsi="宋体" w:cs="宋体"/>
                <w:color w:val="auto"/>
                <w:sz w:val="24"/>
                <w:szCs w:val="24"/>
                <w:highlight w:val="none"/>
                <w:vertAlign w:val="baseline"/>
                <w:lang w:val="en-US" w:eastAsia="zh-CN"/>
              </w:rPr>
              <w:t xml:space="preserve">1</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704"/>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安防器材摆放有序，乱丢乱放，影响办公的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10分；1次2分，扣完为止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704"/>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7</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在巡逻区域大影响办公声喧哗，影响办公的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5分；1次1分，扣完为止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704"/>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8</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遇到安防设备损坏时，不能及时上报维修的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10分；1次1分，扣完为止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704"/>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在岗人员不足，或外出离岗未及时向采购方请假的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利用工作之便，偷盗采购单位物品的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10分；1次10分，扣完为止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1043"/>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11</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履行工作职责范围内工作时不听从采购方工作安排的，不服从分配、不听从指挥的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10分；1次2分，扣完为止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68"/>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没有提前通知而换人的</w:t>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10分；1次</w:t>
            </w:r>
            <w:r>
              <w:rPr>
                <w:rFonts w:hint="eastAsia" w:ascii="宋体" w:hAnsi="宋体" w:cs="宋体"/>
                <w:color w:val="auto"/>
                <w:sz w:val="24"/>
                <w:szCs w:val="24"/>
                <w:highlight w:val="none"/>
                <w:vertAlign w:val="baseline"/>
                <w:lang w:val="en-US" w:eastAsia="zh-CN"/>
              </w:rPr>
              <w:t xml:space="preserve">2</w:t>
            </w:r>
            <w:r>
              <w:rPr>
                <w:rFonts w:hint="eastAsia" w:ascii="宋体" w:hAnsi="宋体" w:eastAsia="宋体" w:cs="宋体"/>
                <w:color w:val="auto"/>
                <w:sz w:val="24"/>
                <w:szCs w:val="24"/>
                <w:highlight w:val="none"/>
                <w:vertAlign w:val="baseline"/>
                <w:lang w:val="en-US" w:eastAsia="zh-CN"/>
              </w:rPr>
              <w:t xml:space="preserve">分，扣完为止</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r>
        <w:trPr>
          <w:jc w:val="center"/>
          <w:trHeight w:val="399"/>
        </w:trPr>
        <w:tc>
          <w:tcPr>
            <w:tcW w:w="727"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合计</w:t>
            </w:r>
            <w:r/>
          </w:p>
        </w:tc>
        <w:tc>
          <w:tcPr>
            <w:tcW w:w="4113"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322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100分</w:t>
            </w:r>
            <w:r/>
          </w:p>
        </w:tc>
        <w:tc>
          <w:tcPr>
            <w:tcW w:w="75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1316" w:type="dxa"/>
            <w:vAlign w:val="center"/>
            <w:textDirection w:val="lrTb"/>
            <w:noWrap w:val="false"/>
          </w:tcPr>
          <w:p>
            <w:pPr>
              <w:ind w:left="0" w:firstLine="0"/>
              <w:jc w:val="center"/>
              <w:spacing w:before="0" w:after="0" w:line="24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r>
    </w:tbl>
    <w:p>
      <w:pPr>
        <w:ind w:left="0" w:firstLine="0"/>
        <w:jc w:val="left"/>
        <w:spacing w:before="0" w:after="0" w:line="360" w:lineRule="auto"/>
        <w:shd w:val="clear" w:color="auto"/>
        <w:tabs>
          <w:tab w:val="left" w:pos="720" w:leader="none"/>
          <w:tab w:val="left" w:pos="525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注：具体考核记分细则，由乙方和甲方后续根据实际工作要求调整</w:t>
      </w:r>
      <w:r/>
    </w:p>
    <w:p>
      <w:pPr>
        <w:jc w:val="left"/>
        <w:spacing w:line="360" w:lineRule="auto"/>
        <w:shd w:val="clear" w:color="auto"/>
        <w:tabs>
          <w:tab w:val="left" w:pos="720" w:leader="none"/>
          <w:tab w:val="left" w:pos="52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四、综合说明及其它要求：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1.磋商响应单位须为本项目配备的所有服务人员按规定缴纳社会保险，若工作人员在服务期间内出现的工伤及其他意外事故，均由磋商响应单位自行负责，采购人不承担任何责任。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2.若成交单位在服务外包期间，违反下列规定将被解除服务合同：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fldChar w:fldCharType="begin"/>
      </w:r>
      <w:r>
        <w:rPr>
          <w:rFonts w:hint="eastAsia" w:ascii="宋体" w:hAnsi="宋体" w:eastAsia="宋体" w:cs="宋体"/>
          <w:color w:val="auto"/>
          <w:sz w:val="24"/>
          <w:szCs w:val="24"/>
          <w:highlight w:val="none"/>
          <w:lang w:bidi="ar"/>
        </w:rPr>
        <w:instrText xml:space="preserve"> = 1 \* GB3 </w:instrText>
      </w:r>
      <w:r>
        <w:rPr>
          <w:rFonts w:hint="eastAsia" w:ascii="宋体" w:hAnsi="宋体" w:eastAsia="宋体" w:cs="宋体"/>
          <w:color w:val="auto"/>
          <w:sz w:val="24"/>
          <w:szCs w:val="24"/>
          <w:highlight w:val="none"/>
          <w:lang w:bidi="ar"/>
        </w:rPr>
        <w:fldChar w:fldCharType="separate"/>
      </w:r>
      <w:r>
        <w:rPr>
          <w:rFonts w:hint="eastAsia" w:ascii="宋体" w:hAnsi="宋体" w:eastAsia="宋体" w:cs="宋体"/>
          <w:color w:val="auto"/>
          <w:sz w:val="24"/>
          <w:szCs w:val="24"/>
          <w:highlight w:val="none"/>
          <w:lang w:bidi="ar"/>
        </w:rPr>
        <w:t xml:space="preserve">①</w:t>
      </w:r>
      <w:r>
        <w:rPr>
          <w:rFonts w:hint="eastAsia" w:ascii="宋体" w:hAnsi="宋体" w:eastAsia="宋体" w:cs="宋体"/>
          <w:color w:val="auto"/>
          <w:sz w:val="24"/>
          <w:szCs w:val="24"/>
          <w:highlight w:val="none"/>
          <w:lang w:bidi="ar"/>
        </w:rPr>
        <w:fldChar w:fldCharType="end"/>
      </w:r>
      <w:r>
        <w:rPr>
          <w:rFonts w:hint="eastAsia" w:ascii="宋体" w:hAnsi="宋体" w:eastAsia="宋体" w:cs="宋体"/>
          <w:color w:val="auto"/>
          <w:sz w:val="24"/>
          <w:szCs w:val="24"/>
          <w:highlight w:val="none"/>
          <w:lang w:bidi="ar"/>
        </w:rPr>
        <w:t xml:space="preserve">严禁将承包的管理服务内容转包他人；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fldChar w:fldCharType="begin"/>
      </w:r>
      <w:r>
        <w:rPr>
          <w:rFonts w:hint="eastAsia" w:ascii="宋体" w:hAnsi="宋体" w:eastAsia="宋体" w:cs="宋体"/>
          <w:color w:val="auto"/>
          <w:sz w:val="24"/>
          <w:szCs w:val="24"/>
          <w:highlight w:val="none"/>
          <w:lang w:bidi="ar"/>
        </w:rPr>
        <w:instrText xml:space="preserve"> = 2 \* GB3 </w:instrText>
      </w:r>
      <w:r>
        <w:rPr>
          <w:rFonts w:hint="eastAsia" w:ascii="宋体" w:hAnsi="宋体" w:eastAsia="宋体" w:cs="宋体"/>
          <w:color w:val="auto"/>
          <w:sz w:val="24"/>
          <w:szCs w:val="24"/>
          <w:highlight w:val="none"/>
          <w:lang w:bidi="ar"/>
        </w:rPr>
        <w:fldChar w:fldCharType="separate"/>
      </w:r>
      <w:r>
        <w:rPr>
          <w:rFonts w:hint="eastAsia" w:ascii="宋体" w:hAnsi="宋体" w:eastAsia="宋体" w:cs="宋体"/>
          <w:color w:val="auto"/>
          <w:sz w:val="24"/>
          <w:szCs w:val="24"/>
          <w:highlight w:val="none"/>
          <w:lang w:bidi="ar"/>
        </w:rPr>
        <w:t xml:space="preserve">②</w:t>
      </w:r>
      <w:r>
        <w:rPr>
          <w:rFonts w:hint="eastAsia" w:ascii="宋体" w:hAnsi="宋体" w:eastAsia="宋体" w:cs="宋体"/>
          <w:color w:val="auto"/>
          <w:sz w:val="24"/>
          <w:szCs w:val="24"/>
          <w:highlight w:val="none"/>
          <w:lang w:bidi="ar"/>
        </w:rPr>
        <w:fldChar w:fldCharType="end"/>
      </w:r>
      <w:r>
        <w:rPr>
          <w:rFonts w:hint="eastAsia" w:ascii="宋体" w:hAnsi="宋体" w:eastAsia="宋体" w:cs="宋体"/>
          <w:color w:val="auto"/>
          <w:sz w:val="24"/>
          <w:szCs w:val="24"/>
          <w:highlight w:val="none"/>
          <w:lang w:bidi="ar"/>
        </w:rPr>
        <w:t xml:space="preserve">未按照国家劳动法规定聘用服务人员；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3.采购单位有权检查监督成交单位对服务外包服务质量，</w:t>
      </w:r>
      <w:r>
        <w:rPr>
          <w:rFonts w:hint="eastAsia" w:ascii="宋体" w:hAnsi="宋体" w:eastAsia="宋体" w:cs="宋体"/>
          <w:bCs/>
          <w:color w:val="auto"/>
          <w:sz w:val="24"/>
          <w:szCs w:val="24"/>
          <w:highlight w:val="none"/>
          <w:lang w:bidi="ar"/>
        </w:rPr>
        <w:t xml:space="preserve">如发现不合格的服务人员，有权向服务单位提出调换，服务单位应及时派员到位，必要时采购单位有权要求服务单位迅速处理并更换人员，</w:t>
      </w:r>
      <w:r>
        <w:rPr>
          <w:rFonts w:hint="eastAsia" w:ascii="宋体" w:hAnsi="宋体" w:eastAsia="宋体" w:cs="宋体"/>
          <w:color w:val="auto"/>
          <w:sz w:val="24"/>
          <w:szCs w:val="24"/>
          <w:highlight w:val="none"/>
          <w:lang w:bidi="ar"/>
        </w:rPr>
        <w:t xml:space="preserve">直至更换合格为止。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.磋商报价包括在承包期内服务的需要的人工费（包括人员工资、</w:t>
      </w:r>
      <w:r>
        <w:rPr>
          <w:rFonts w:hint="eastAsia" w:ascii="宋体" w:hAnsi="宋体" w:cs="宋体"/>
          <w:color w:val="auto"/>
          <w:sz w:val="24"/>
          <w:szCs w:val="24"/>
          <w:highlight w:val="none"/>
          <w:lang w:val="en-US" w:eastAsia="zh-CN" w:bidi="ar"/>
        </w:rPr>
        <w:t xml:space="preserve">社保、</w:t>
      </w:r>
      <w:r>
        <w:rPr>
          <w:rFonts w:hint="eastAsia" w:ascii="宋体" w:hAnsi="宋体" w:eastAsia="宋体" w:cs="宋体"/>
          <w:color w:val="auto"/>
          <w:sz w:val="24"/>
          <w:szCs w:val="24"/>
          <w:highlight w:val="none"/>
          <w:lang w:bidi="ar"/>
        </w:rPr>
        <w:t xml:space="preserve">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TW" w:eastAsia="zh-TW"/>
        </w:rPr>
        <w:t xml:space="preserve">测算时工资标准和社会保险不得低于</w:t>
      </w:r>
      <w:r>
        <w:rPr>
          <w:rFonts w:hint="eastAsia" w:ascii="宋体" w:hAnsi="宋体" w:eastAsia="宋体" w:cs="宋体"/>
          <w:color w:val="auto"/>
          <w:sz w:val="24"/>
          <w:szCs w:val="24"/>
          <w:highlight w:val="none"/>
          <w:lang w:val="zh-TW"/>
        </w:rPr>
        <w:t xml:space="preserve">项目所在地</w:t>
      </w:r>
      <w:r>
        <w:rPr>
          <w:rFonts w:hint="eastAsia" w:ascii="宋体" w:hAnsi="宋体" w:eastAsia="宋体" w:cs="宋体"/>
          <w:color w:val="auto"/>
          <w:sz w:val="24"/>
          <w:szCs w:val="24"/>
          <w:highlight w:val="none"/>
          <w:lang w:val="zh-TW" w:eastAsia="zh-TW"/>
        </w:rPr>
        <w:t xml:space="preserve">最新公布的最低标准，否则作废标处理。</w:t>
      </w:r>
      <w:r>
        <w:rPr>
          <w:rFonts w:hint="eastAsia" w:ascii="宋体" w:hAnsi="宋体" w:eastAsia="宋体" w:cs="宋体"/>
          <w:color w:val="auto"/>
          <w:sz w:val="24"/>
          <w:szCs w:val="24"/>
          <w:highlight w:val="none"/>
          <w:lang w:val="zh-TW"/>
        </w:rPr>
        <w:t xml:space="preserve">响应</w:t>
      </w:r>
      <w:r>
        <w:rPr>
          <w:rFonts w:hint="eastAsia" w:ascii="宋体" w:hAnsi="宋体" w:eastAsia="宋体" w:cs="宋体"/>
          <w:color w:val="auto"/>
          <w:sz w:val="24"/>
          <w:szCs w:val="24"/>
          <w:highlight w:val="none"/>
          <w:lang w:val="zh-TW" w:eastAsia="zh-TW"/>
        </w:rPr>
        <w:t xml:space="preserve">项目费中已包括公共责任险（第三者险），</w:t>
      </w:r>
      <w:r>
        <w:rPr>
          <w:rFonts w:hint="eastAsia" w:ascii="宋体" w:hAnsi="宋体" w:eastAsia="宋体" w:cs="宋体"/>
          <w:color w:val="auto"/>
          <w:sz w:val="24"/>
          <w:szCs w:val="24"/>
          <w:highlight w:val="none"/>
          <w:lang w:val="zh-TW"/>
        </w:rPr>
        <w:t xml:space="preserve">成交</w:t>
      </w:r>
      <w:r>
        <w:rPr>
          <w:rFonts w:hint="eastAsia" w:ascii="宋体" w:hAnsi="宋体" w:eastAsia="宋体" w:cs="宋体"/>
          <w:color w:val="auto"/>
          <w:sz w:val="24"/>
          <w:szCs w:val="24"/>
          <w:highlight w:val="none"/>
          <w:lang w:val="zh-TW" w:eastAsia="zh-TW"/>
        </w:rPr>
        <w:t xml:space="preserve">单位未及时投保所造成的损害责任由</w:t>
      </w:r>
      <w:r>
        <w:rPr>
          <w:rFonts w:hint="eastAsia" w:ascii="宋体" w:hAnsi="宋体" w:eastAsia="宋体" w:cs="宋体"/>
          <w:color w:val="auto"/>
          <w:sz w:val="24"/>
          <w:szCs w:val="24"/>
          <w:highlight w:val="none"/>
          <w:lang w:val="zh-TW"/>
        </w:rPr>
        <w:t xml:space="preserve">成交</w:t>
      </w:r>
      <w:r>
        <w:rPr>
          <w:rFonts w:hint="eastAsia" w:ascii="宋体" w:hAnsi="宋体" w:eastAsia="宋体" w:cs="宋体"/>
          <w:color w:val="auto"/>
          <w:sz w:val="24"/>
          <w:szCs w:val="24"/>
          <w:highlight w:val="none"/>
          <w:lang w:val="zh-TW" w:eastAsia="zh-TW"/>
        </w:rPr>
        <w:t xml:space="preserve">单位承担。</w:t>
      </w:r>
      <w:r>
        <w:rPr>
          <w:rFonts w:hint="eastAsia" w:ascii="宋体" w:hAnsi="宋体" w:eastAsia="宋体" w:cs="宋体"/>
          <w:color w:val="auto"/>
          <w:sz w:val="24"/>
          <w:szCs w:val="24"/>
          <w:highlight w:val="none"/>
          <w:lang w:val="zh-TW"/>
        </w:rPr>
        <w:t xml:space="preserve">磋商响应</w:t>
      </w:r>
      <w:r>
        <w:rPr>
          <w:rFonts w:hint="eastAsia" w:ascii="宋体" w:hAnsi="宋体" w:eastAsia="宋体" w:cs="宋体"/>
          <w:color w:val="auto"/>
          <w:sz w:val="24"/>
          <w:szCs w:val="24"/>
          <w:highlight w:val="none"/>
          <w:lang w:val="zh-TW" w:eastAsia="zh-TW"/>
        </w:rPr>
        <w:t xml:space="preserve">单位</w:t>
      </w:r>
      <w:r>
        <w:rPr>
          <w:rFonts w:hint="eastAsia" w:ascii="宋体" w:hAnsi="宋体" w:eastAsia="宋体" w:cs="宋体"/>
          <w:color w:val="auto"/>
          <w:sz w:val="24"/>
          <w:szCs w:val="24"/>
          <w:highlight w:val="none"/>
        </w:rPr>
        <w:t xml:space="preserve">在报价时应将在服务期限内人员工资和社保费用进行调整的情况包含在内，采购人不再为此承担任何费用和责任。相关服务人员与采购人无任何劳动人事关系，用工事宜由成交</w:t>
      </w:r>
      <w:r>
        <w:rPr>
          <w:rFonts w:hint="eastAsia" w:ascii="宋体" w:hAnsi="宋体" w:eastAsia="宋体" w:cs="宋体"/>
          <w:color w:val="auto"/>
          <w:sz w:val="24"/>
          <w:szCs w:val="24"/>
          <w:highlight w:val="none"/>
          <w:lang w:val="zh-TW" w:eastAsia="zh-TW"/>
        </w:rPr>
        <w:t xml:space="preserve">单位</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zh-TW"/>
        </w:rPr>
        <w:t xml:space="preserve">磋商响应</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TW" w:eastAsia="zh-TW"/>
        </w:rPr>
        <w:t xml:space="preserve">必须按照《劳动法》及苏州市的有关规定，并支付工资（充分考虑</w:t>
      </w:r>
      <w:r>
        <w:rPr>
          <w:rFonts w:hint="eastAsia" w:ascii="宋体" w:hAnsi="宋体" w:eastAsia="宋体" w:cs="宋体"/>
          <w:color w:val="auto"/>
          <w:sz w:val="24"/>
          <w:szCs w:val="24"/>
          <w:highlight w:val="none"/>
          <w:lang w:val="zh-TW"/>
        </w:rPr>
        <w:t xml:space="preserve">项目所在地</w:t>
      </w:r>
      <w:r>
        <w:rPr>
          <w:rFonts w:hint="eastAsia" w:ascii="宋体" w:hAnsi="宋体" w:eastAsia="宋体" w:cs="宋体"/>
          <w:color w:val="auto"/>
          <w:sz w:val="24"/>
          <w:szCs w:val="24"/>
          <w:highlight w:val="none"/>
          <w:lang w:val="zh-TW" w:eastAsia="zh-TW"/>
        </w:rPr>
        <w:t xml:space="preserve">最低工资标准）和交纳正常的社会保险</w:t>
      </w:r>
      <w:r>
        <w:rPr>
          <w:rFonts w:hint="eastAsia" w:ascii="宋体" w:hAnsi="宋体" w:eastAsia="宋体" w:cs="宋体"/>
          <w:color w:val="auto"/>
          <w:sz w:val="24"/>
          <w:szCs w:val="24"/>
          <w:highlight w:val="none"/>
          <w:lang w:val="zh-TW"/>
        </w:rPr>
        <w:t xml:space="preserve">（</w:t>
      </w:r>
      <w:r>
        <w:rPr>
          <w:rFonts w:hint="eastAsia" w:ascii="宋体" w:hAnsi="宋体" w:eastAsia="宋体" w:cs="宋体"/>
          <w:color w:val="auto"/>
          <w:sz w:val="24"/>
          <w:szCs w:val="24"/>
          <w:highlight w:val="none"/>
        </w:rPr>
        <w:t xml:space="preserve">社保缴费部分不得低于服务所在行政区域社保管理部门规定的当前最低缴费标准</w:t>
      </w:r>
      <w:r>
        <w:rPr>
          <w:rFonts w:hint="eastAsia" w:ascii="宋体" w:hAnsi="宋体" w:eastAsia="宋体" w:cs="宋体"/>
          <w:color w:val="auto"/>
          <w:sz w:val="24"/>
          <w:szCs w:val="24"/>
          <w:highlight w:val="none"/>
          <w:lang w:val="zh-TW"/>
        </w:rPr>
        <w:t xml:space="preserve">）及高温费</w:t>
      </w:r>
      <w:r>
        <w:rPr>
          <w:rFonts w:hint="eastAsia" w:ascii="宋体" w:hAnsi="宋体" w:eastAsia="宋体" w:cs="宋体"/>
          <w:color w:val="auto"/>
          <w:sz w:val="24"/>
          <w:szCs w:val="24"/>
          <w:highlight w:val="none"/>
          <w:lang w:val="zh-TW" w:eastAsia="zh-TW"/>
        </w:rPr>
        <w:t xml:space="preserve">一并包含在</w:t>
      </w:r>
      <w:r>
        <w:rPr>
          <w:rFonts w:hint="eastAsia" w:ascii="宋体" w:hAnsi="宋体" w:eastAsia="宋体" w:cs="宋体"/>
          <w:color w:val="auto"/>
          <w:sz w:val="24"/>
          <w:szCs w:val="24"/>
          <w:highlight w:val="none"/>
          <w:lang w:val="zh-TW"/>
        </w:rPr>
        <w:t xml:space="preserve">成交</w:t>
      </w:r>
      <w:r>
        <w:rPr>
          <w:rFonts w:hint="eastAsia" w:ascii="宋体" w:hAnsi="宋体" w:eastAsia="宋体" w:cs="宋体"/>
          <w:color w:val="auto"/>
          <w:sz w:val="24"/>
          <w:szCs w:val="24"/>
          <w:highlight w:val="none"/>
          <w:lang w:val="zh-TW" w:eastAsia="zh-TW"/>
        </w:rPr>
        <w:t xml:space="preserve">价中，</w:t>
      </w:r>
      <w:r>
        <w:rPr>
          <w:rFonts w:hint="eastAsia" w:ascii="宋体" w:hAnsi="宋体" w:eastAsia="宋体" w:cs="宋体"/>
          <w:b/>
          <w:color w:val="auto"/>
          <w:sz w:val="24"/>
          <w:szCs w:val="24"/>
          <w:highlight w:val="none"/>
          <w:lang w:val="zh-TW" w:eastAsia="zh-TW"/>
        </w:rPr>
        <w:t xml:space="preserve">未能</w:t>
      </w:r>
      <w:r>
        <w:rPr>
          <w:rFonts w:hint="eastAsia" w:ascii="宋体" w:hAnsi="宋体" w:eastAsia="宋体" w:cs="宋体"/>
          <w:b/>
          <w:bCs/>
          <w:color w:val="auto"/>
          <w:sz w:val="24"/>
          <w:szCs w:val="24"/>
          <w:highlight w:val="none"/>
          <w:lang w:val="zh-TW" w:eastAsia="zh-TW"/>
        </w:rPr>
        <w:t xml:space="preserve">按以</w:t>
      </w:r>
      <w:r>
        <w:rPr>
          <w:rFonts w:hint="eastAsia" w:ascii="宋体" w:hAnsi="宋体" w:cs="宋体"/>
          <w:b/>
          <w:bCs/>
          <w:color w:val="auto"/>
          <w:sz w:val="24"/>
          <w:szCs w:val="24"/>
          <w:highlight w:val="none"/>
          <w:lang w:val="en-US" w:eastAsia="zh-CN"/>
        </w:rPr>
        <w:t xml:space="preserve">上</w:t>
      </w:r>
      <w:r>
        <w:rPr>
          <w:rFonts w:hint="eastAsia" w:ascii="宋体" w:hAnsi="宋体" w:eastAsia="宋体" w:cs="宋体"/>
          <w:b/>
          <w:bCs/>
          <w:color w:val="auto"/>
          <w:sz w:val="24"/>
          <w:szCs w:val="24"/>
          <w:highlight w:val="none"/>
          <w:lang w:val="zh-TW" w:eastAsia="zh-TW"/>
        </w:rPr>
        <w:t xml:space="preserve">要求编制</w:t>
      </w:r>
      <w:r>
        <w:rPr>
          <w:rFonts w:hint="eastAsia" w:ascii="宋体" w:hAnsi="宋体" w:eastAsia="宋体" w:cs="宋体"/>
          <w:b/>
          <w:bCs/>
          <w:color w:val="auto"/>
          <w:sz w:val="24"/>
          <w:szCs w:val="24"/>
          <w:highlight w:val="none"/>
          <w:lang w:val="zh-TW"/>
        </w:rPr>
        <w:t xml:space="preserve">响应文件</w:t>
      </w:r>
      <w:r>
        <w:rPr>
          <w:rFonts w:hint="eastAsia" w:ascii="宋体" w:hAnsi="宋体" w:eastAsia="宋体" w:cs="宋体"/>
          <w:b/>
          <w:bCs/>
          <w:color w:val="auto"/>
          <w:sz w:val="24"/>
          <w:szCs w:val="24"/>
          <w:highlight w:val="none"/>
          <w:lang w:val="zh-TW" w:eastAsia="zh-TW"/>
        </w:rPr>
        <w:t xml:space="preserve">和报价的将做为</w:t>
      </w:r>
      <w:r>
        <w:rPr>
          <w:rFonts w:hint="eastAsia" w:ascii="宋体" w:hAnsi="宋体" w:eastAsia="宋体" w:cs="宋体"/>
          <w:b/>
          <w:bCs/>
          <w:color w:val="auto"/>
          <w:sz w:val="24"/>
          <w:szCs w:val="24"/>
          <w:highlight w:val="none"/>
          <w:lang w:val="zh-TW"/>
        </w:rPr>
        <w:t xml:space="preserve">无效报价</w:t>
      </w:r>
      <w:r>
        <w:rPr>
          <w:rFonts w:hint="eastAsia" w:ascii="宋体" w:hAnsi="宋体" w:cs="宋体"/>
          <w:b/>
          <w:bCs/>
          <w:color w:val="auto"/>
          <w:sz w:val="24"/>
          <w:szCs w:val="24"/>
          <w:highlight w:val="none"/>
          <w:lang w:val="zh-TW"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如遇到工资纠纷问题由响应单位自行解决。每天及双休日等因工作而产生的加班费用，由成交单位向服务人员支付。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根据《政府采购质疑和投诉办法》财政部第94号令，供应商认为采购文件、招标过程、成交结果使自己的权益受到损害的，可以在知道或者应知其权益受到损害之日起7个工作日内，以书面形式向采购人、采购代理机构提出质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本次采购文件要求供应商在法定质疑期内一次性提出针对同一采购程序环节的质疑，质疑时与质疑函一并提交“网上报名确认单”。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供应商提出质疑应当提交质疑函和必要的证明材料。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质疑接收人：苏州华厦招投标代理有限公司/</w:t>
      </w:r>
      <w:r>
        <w:rPr>
          <w:rFonts w:hint="eastAsia" w:ascii="宋体" w:hAnsi="宋体" w:cs="宋体"/>
          <w:color w:val="auto"/>
          <w:sz w:val="24"/>
          <w:szCs w:val="24"/>
          <w:highlight w:val="none"/>
          <w:lang w:val="en-US" w:eastAsia="zh-CN"/>
        </w:rPr>
        <w:t xml:space="preserve">周磊</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835108366</w:t>
      </w:r>
      <w:r>
        <w:rPr>
          <w:rFonts w:hint="eastAsia" w:ascii="宋体" w:hAnsi="宋体" w:eastAsia="宋体" w:cs="宋体"/>
          <w:color w:val="auto"/>
          <w:sz w:val="24"/>
          <w:szCs w:val="24"/>
          <w:highlight w:val="none"/>
        </w:rPr>
        <w:t xml:space="preserve">0</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质疑接收方式：现场递交或邮寄（拒绝到付）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质疑接收地址：</w:t>
      </w:r>
      <w:r>
        <w:rPr>
          <w:rFonts w:hint="eastAsia" w:ascii="宋体" w:hAnsi="宋体" w:eastAsia="宋体" w:cs="宋体"/>
          <w:color w:val="auto"/>
          <w:sz w:val="24"/>
          <w:szCs w:val="24"/>
          <w:highlight w:val="none"/>
        </w:rPr>
        <w:t xml:space="preserve">苏州市虎丘区科技城锦峰路198号纽威大厦8层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质疑联系电话：1</w:t>
      </w:r>
      <w:r>
        <w:rPr>
          <w:rFonts w:hint="eastAsia" w:ascii="宋体" w:hAnsi="宋体" w:cs="宋体"/>
          <w:color w:val="auto"/>
          <w:sz w:val="24"/>
          <w:szCs w:val="24"/>
          <w:highlight w:val="none"/>
          <w:lang w:val="en-US" w:eastAsia="zh-CN"/>
        </w:rPr>
        <w:t xml:space="preserve">835108366</w:t>
      </w:r>
      <w:r>
        <w:rPr>
          <w:rFonts w:hint="eastAsia" w:ascii="宋体" w:hAnsi="宋体" w:eastAsia="宋体" w:cs="宋体"/>
          <w:color w:val="auto"/>
          <w:sz w:val="24"/>
          <w:szCs w:val="24"/>
          <w:highlight w:val="none"/>
        </w:rPr>
        <w:t xml:space="preserve">0/（0512）68700399</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w:t>
      </w:r>
      <w:r>
        <w:rPr>
          <w:rFonts w:hint="eastAsia" w:ascii="宋体" w:hAnsi="宋体" w:eastAsia="宋体" w:cs="宋体"/>
          <w:bCs/>
          <w:color w:val="auto"/>
          <w:sz w:val="24"/>
          <w:szCs w:val="24"/>
          <w:highlight w:val="none"/>
          <w:lang w:bidi="ar"/>
        </w:rPr>
        <w:t xml:space="preserve">凡涉及磋商文件的补充说明或修正，均以苏州市政府采购网公告内容为准。</w:t>
      </w:r>
      <w:r/>
    </w:p>
    <w:p>
      <w:pPr>
        <w:pStyle w:val="848"/>
        <w:spacing w:line="360" w:lineRule="auto"/>
        <w:widowControl/>
        <w:rPr>
          <w:rFonts w:hint="eastAsia" w:ascii="宋体" w:hAnsi="宋体" w:eastAsia="宋体" w:cs="宋体"/>
          <w:color w:val="auto"/>
          <w:sz w:val="24"/>
          <w:szCs w:val="24"/>
          <w:highlight w:val="none"/>
          <w:lang w:val="zh-CN" w:eastAsia="zh-TW"/>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服务费：</w:t>
      </w:r>
      <w:r>
        <w:rPr>
          <w:rFonts w:hint="eastAsia" w:ascii="宋体" w:hAnsi="宋体" w:eastAsia="宋体" w:cs="宋体"/>
          <w:color w:val="auto"/>
          <w:sz w:val="24"/>
          <w:szCs w:val="24"/>
          <w:highlight w:val="none"/>
          <w:lang w:val="zh-CN" w:eastAsia="zh-TW"/>
        </w:rPr>
        <w:t xml:space="preserve">根据以下的收费标准支付</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CN" w:eastAsia="zh-TW"/>
        </w:rPr>
        <w:t xml:space="preserve">服务费。</w:t>
      </w:r>
      <w:r>
        <w:rPr>
          <w:rFonts w:hint="eastAsia" w:ascii="宋体" w:hAnsi="宋体" w:eastAsia="宋体" w:cs="宋体"/>
          <w:color w:val="auto"/>
          <w:sz w:val="24"/>
          <w:szCs w:val="24"/>
          <w:highlight w:val="none"/>
          <w:lang w:val="zh-TW" w:eastAsia="zh-TW"/>
        </w:rPr>
        <w:t xml:space="preserve">该费用应在领取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TW" w:eastAsia="zh-TW"/>
        </w:rPr>
        <w:t xml:space="preserve">通知书时付清</w:t>
      </w:r>
      <w:r>
        <w:rPr>
          <w:rFonts w:hint="eastAsia" w:ascii="宋体" w:hAnsi="宋体" w:eastAsia="宋体" w:cs="宋体"/>
          <w:color w:val="auto"/>
          <w:sz w:val="24"/>
          <w:szCs w:val="24"/>
          <w:highlight w:val="none"/>
          <w:lang w:val="en-US" w:eastAsia="zh-CN"/>
        </w:rPr>
        <w:t xml:space="preserve">。</w:t>
      </w:r>
      <w:r/>
    </w:p>
    <w:p>
      <w:pPr>
        <w:pStyle w:val="848"/>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zh-TW" w:eastAsia="zh-TW"/>
        </w:rPr>
        <w:t xml:space="preserve">服务费：预算金额100万元以下部分，费率为该部分预算金额的1.5%</w:t>
      </w:r>
      <w:r/>
    </w:p>
    <w:p>
      <w:pPr>
        <w:pStyle w:val="848"/>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预算金额100万元（含）－500万元部分，费率为该部分预算金额的1.1%</w:t>
      </w:r>
      <w:r/>
    </w:p>
    <w:p>
      <w:pPr>
        <w:pStyle w:val="848"/>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预算金额500万元（含）-1000万元部分，费率为该部分预算金额的0.8%</w:t>
      </w:r>
      <w:r/>
    </w:p>
    <w:p>
      <w:pPr>
        <w:pStyle w:val="848"/>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预算金额1000万元（含）-5000万元部分，费率为该部分预算金额的0.5%</w:t>
      </w:r>
      <w:r/>
    </w:p>
    <w:p>
      <w:pPr>
        <w:pStyle w:val="848"/>
        <w:spacing w:line="360" w:lineRule="auto"/>
        <w:widowControl/>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预算金额5000万元以上部分，费率为该部分预算金额的0.25%</w:t>
      </w:r>
      <w:r/>
    </w:p>
    <w:p>
      <w:pPr>
        <w:pStyle w:val="848"/>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本次采购服务费为：￥</w:t>
      </w:r>
      <w:r>
        <w:rPr>
          <w:rFonts w:hint="eastAsia" w:ascii="宋体" w:hAnsi="宋体" w:cs="宋体"/>
          <w:color w:val="auto"/>
          <w:sz w:val="24"/>
          <w:szCs w:val="24"/>
          <w:highlight w:val="none"/>
          <w:lang w:val="en-US" w:eastAsia="zh-CN"/>
        </w:rPr>
        <w:t xml:space="preserve">22140</w:t>
      </w:r>
      <w:r>
        <w:rPr>
          <w:rFonts w:hint="eastAsia" w:ascii="宋体" w:hAnsi="宋体" w:eastAsia="宋体" w:cs="宋体"/>
          <w:color w:val="auto"/>
          <w:sz w:val="24"/>
          <w:szCs w:val="24"/>
          <w:highlight w:val="none"/>
          <w:lang w:val="en-US" w:eastAsia="zh-CN"/>
        </w:rPr>
        <w:t xml:space="preserve">.00元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.本次磋商采取</w:t>
      </w:r>
      <w:r>
        <w:rPr>
          <w:rFonts w:hint="eastAsia" w:ascii="宋体" w:hAnsi="宋体" w:eastAsia="宋体" w:cs="宋体"/>
          <w:b/>
          <w:bCs/>
          <w:color w:val="auto"/>
          <w:sz w:val="24"/>
          <w:szCs w:val="24"/>
          <w:highlight w:val="none"/>
        </w:rPr>
        <w:t xml:space="preserve">二次报价</w:t>
      </w:r>
      <w:r>
        <w:rPr>
          <w:rFonts w:hint="eastAsia" w:ascii="宋体" w:hAnsi="宋体" w:eastAsia="宋体" w:cs="宋体"/>
          <w:color w:val="auto"/>
          <w:sz w:val="24"/>
          <w:szCs w:val="24"/>
          <w:highlight w:val="none"/>
        </w:rPr>
        <w:t xml:space="preserve">的方式，即提交磋商文件中的报价为首次报价，磋商过程中再作一次最终报价。</w:t>
      </w:r>
      <w:r/>
    </w:p>
    <w:p>
      <w:pPr>
        <w:pStyle w:val="848"/>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color w:val="auto"/>
          <w:sz w:val="24"/>
          <w:szCs w:val="24"/>
          <w:highlight w:val="none"/>
          <w:lang w:val="en-US" w:eastAsia="zh-CN"/>
        </w:rPr>
        <w:t xml:space="preserve">租赁和商务服务业</w:t>
      </w:r>
      <w:r>
        <w:rPr>
          <w:rFonts w:hint="eastAsia" w:ascii="宋体" w:hAnsi="宋体" w:eastAsia="宋体" w:cs="宋体"/>
          <w:color w:val="auto"/>
          <w:sz w:val="24"/>
          <w:szCs w:val="24"/>
          <w:highlight w:val="none"/>
        </w:rPr>
        <w:t xml:space="preserve">。</w:t>
      </w:r>
      <w:r/>
    </w:p>
    <w:p>
      <w:pPr>
        <w:spacing w:line="360" w:lineRule="auto"/>
        <w:shd w:val="clear" w:color="auto"/>
        <w:tabs>
          <w:tab w:val="left" w:pos="0" w:leader="none"/>
        </w:tabs>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ff0000"/>
          <w:sz w:val="24"/>
          <w:szCs w:val="24"/>
          <w:highlight w:val="none"/>
          <w:lang w:val="en-US" w:eastAsia="zh-CN"/>
        </w:rPr>
        <w:t xml:space="preserve">11.</w:t>
      </w:r>
      <w:r>
        <w:rPr>
          <w:rFonts w:hint="eastAsia" w:ascii="宋体" w:hAnsi="宋体" w:eastAsia="宋体" w:cs="宋体"/>
          <w:b/>
          <w:bCs/>
          <w:color w:val="ff0000"/>
          <w:sz w:val="24"/>
          <w:szCs w:val="24"/>
          <w:highlight w:val="none"/>
        </w:rPr>
        <w:t xml:space="preserve">机器码检查中，不同供应商使用同一台电脑编制响应文件的，响应文件将被认定为无效响应。</w:t>
      </w:r>
      <w:r/>
    </w:p>
    <w:p>
      <w:pPr>
        <w:spacing w:line="360" w:lineRule="auto"/>
        <w:shd w:val="clear" w:color="auto"/>
        <w:tabs>
          <w:tab w:val="left" w:pos="0" w:leader="none"/>
        </w:tabs>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四、磋商响应文件的组成</w:t>
      </w:r>
      <w:r/>
    </w:p>
    <w:p>
      <w:pP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4.1报价部分 (格式见附件)：</w:t>
      </w:r>
      <w:r/>
    </w:p>
    <w:p>
      <w:pPr>
        <w:spacing w:line="360" w:lineRule="auto"/>
        <w:shd w:val="clear" w:color="auto"/>
        <w:rPr>
          <w:rFonts w:hint="eastAsia" w:ascii="宋体" w:hAnsi="宋体" w:eastAsia="宋体" w:cs="宋体"/>
          <w:spacing w:val="20"/>
          <w:sz w:val="24"/>
          <w:szCs w:val="24"/>
          <w:highlight w:val="none"/>
        </w:rPr>
      </w:pPr>
      <w:r>
        <w:rPr>
          <w:rFonts w:hint="eastAsia" w:ascii="宋体" w:hAnsi="宋体" w:eastAsia="宋体" w:cs="宋体"/>
          <w:sz w:val="24"/>
          <w:szCs w:val="24"/>
          <w:highlight w:val="none"/>
        </w:rPr>
        <w:t xml:space="preserve">（1）磋商响应报价表（见附件格式）；</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（2）关于资格</w:t>
      </w:r>
      <w:r>
        <w:rPr>
          <w:rFonts w:hint="eastAsia" w:ascii="宋体" w:hAnsi="宋体" w:eastAsia="宋体" w:cs="宋体"/>
          <w:sz w:val="24"/>
          <w:szCs w:val="24"/>
          <w:highlight w:val="none"/>
        </w:rPr>
        <w:t xml:space="preserve">文件的</w:t>
      </w:r>
      <w:r>
        <w:rPr>
          <w:rFonts w:hint="eastAsia" w:ascii="宋体" w:hAnsi="宋体" w:eastAsia="宋体" w:cs="宋体"/>
          <w:sz w:val="24"/>
          <w:szCs w:val="24"/>
          <w:highlight w:val="none"/>
        </w:rPr>
        <w:t xml:space="preserve">声明函（见附件格式）；</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（3）法定代表人授权委托书（见附件格式）以及法定代表人和委托代理人身份证复印件（如有授权）；</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bidi="ar"/>
        </w:rPr>
        <w:t xml:space="preserve">响应单位证明其符合资格要求的</w:t>
      </w:r>
      <w:r>
        <w:rPr>
          <w:rFonts w:hint="eastAsia" w:ascii="宋体" w:hAnsi="宋体" w:eastAsia="宋体" w:cs="宋体"/>
          <w:sz w:val="24"/>
          <w:szCs w:val="24"/>
          <w:highlight w:val="none"/>
          <w:lang w:eastAsia="zh-CN" w:bidi="ar"/>
        </w:rPr>
        <w:t xml:space="preserve">承诺</w:t>
      </w:r>
      <w:r>
        <w:rPr>
          <w:rFonts w:hint="eastAsia" w:ascii="宋体" w:hAnsi="宋体" w:eastAsia="宋体" w:cs="宋体"/>
          <w:sz w:val="24"/>
          <w:szCs w:val="24"/>
          <w:highlight w:val="none"/>
          <w:lang w:bidi="ar"/>
        </w:rPr>
        <w:t xml:space="preserve">（由采购代理机构在开标后进行现场审核，资格审核不通过的响应单位不得进入下一步技术评审部分）</w:t>
      </w:r>
      <w:r>
        <w:rPr>
          <w:rFonts w:hint="eastAsia" w:ascii="宋体" w:hAnsi="宋体" w:eastAsia="宋体" w:cs="宋体"/>
          <w:sz w:val="24"/>
          <w:szCs w:val="24"/>
          <w:highlight w:val="none"/>
        </w:rPr>
        <w:t xml:space="preserve">；</w:t>
      </w:r>
      <w:r/>
    </w:p>
    <w:p>
      <w:pP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4.2资格及技术部分：</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（1）营业执照副本和税务登记证副本（或三证合一营业执照副本）；</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（2）关于资格文件的声明函（见附件格式）；</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（3）磋商响应单位情况介绍（各磋商响应单位根据自身情况如实介绍）；</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（4）磋商响应单位人员配备等；</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（5）对本次响应的详细说明方案；</w:t>
      </w:r>
      <w:r/>
    </w:p>
    <w:p>
      <w:pPr>
        <w:pStyle w:val="845"/>
        <w:ind w:left="0" w:firstLine="0"/>
        <w:spacing w:line="360" w:lineRule="auto"/>
        <w:rPr>
          <w:rFonts w:hint="eastAsia" w:eastAsia="楷体_GB2312"/>
          <w:lang w:eastAsia="zh-CN"/>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（6）具备省公安厅颁发的有效期内的《保安</w:t>
      </w:r>
      <w:r>
        <w:rPr>
          <w:rFonts w:hint="eastAsia" w:ascii="宋体" w:hAnsi="宋体" w:eastAsia="宋体" w:cs="宋体"/>
          <w:sz w:val="24"/>
          <w:szCs w:val="24"/>
          <w:highlight w:val="none"/>
          <w:lang w:val="en-US" w:eastAsia="zh-CN" w:bidi="ar"/>
        </w:rPr>
        <w:t xml:space="preserve">服务许可证》</w:t>
      </w:r>
      <w:r/>
    </w:p>
    <w:p>
      <w:pPr>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）其他可以证明响应单位资信、资质和服务质量的证书、文件、推荐信等资料；</w:t>
      </w:r>
      <w:bookmarkEnd w:id="0"/>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注：磋商响应单位必须提交</w:t>
      </w:r>
      <w:r>
        <w:rPr>
          <w:rFonts w:hint="eastAsia" w:ascii="宋体" w:hAnsi="宋体" w:eastAsia="宋体" w:cs="宋体"/>
          <w:bCs/>
          <w:color w:val="000000" w:themeColor="text1"/>
          <w:sz w:val="24"/>
          <w:szCs w:val="24"/>
          <w:highlight w:val="none"/>
          <w14:textFill>
            <w14:solidFill>
              <w14:schemeClr w14:val="tx1"/>
            </w14:solidFill>
          </w14:textFill>
        </w:rPr>
        <w:t xml:space="preserve">4.1（1-4）、4.2（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规定的资料，否则磋商响应文件将因未实质响应磋商采购文件而被拒绝</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sz w:val="24"/>
          <w:szCs w:val="24"/>
          <w:highlight w:val="none"/>
        </w:rPr>
        <w:t xml:space="preserve">上述资料响应供应商必须提供并加盖电子公章。否则，磋商响应文件将被认定为不符合要求。</w:t>
      </w:r>
      <w:r/>
    </w:p>
    <w:p>
      <w:pPr>
        <w:spacing w:line="360" w:lineRule="auto"/>
        <w:shd w:val="clear" w:color="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电子响应文件要求：</w:t>
      </w:r>
      <w:r/>
    </w:p>
    <w:p>
      <w:pPr>
        <w:ind w:firstLine="480"/>
        <w:spacing w:line="360" w:lineRule="auto"/>
        <w:shd w:val="clear" w:color="auto"/>
        <w:tabs>
          <w:tab w:val="left" w:pos="851"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请供应商按照《苏采云系统供应商操作手册》、采购文件要求进行制作、上传电子响应文件，响应单位无需提供纸质响应文件。</w:t>
      </w:r>
      <w:r>
        <w:rPr>
          <w:rFonts w:hint="eastAsia" w:ascii="宋体" w:hAnsi="宋体" w:eastAsia="宋体" w:cs="宋体"/>
          <w:b/>
          <w:sz w:val="24"/>
          <w:szCs w:val="24"/>
          <w:highlight w:val="none"/>
        </w:rPr>
        <w:t xml:space="preserve">电子响应文件制作完成后请在截止时间前完成提交（上传），否则视为放弃参加该采购项目。</w:t>
      </w:r>
      <w:r>
        <w:rPr>
          <w:rFonts w:hint="eastAsia" w:ascii="宋体" w:hAnsi="宋体" w:eastAsia="宋体" w:cs="宋体"/>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shd w:val="clear" w:color="auto"/>
        <w:tabs>
          <w:tab w:val="left" w:pos="851" w:leader="none"/>
        </w:tabs>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（2）电子响应文件材料中要求加盖公章的必须加盖响应单位电子公章。</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（3）供应商应当在磋商文件要求的截止时间前，</w:t>
      </w:r>
      <w:r>
        <w:rPr>
          <w:rFonts w:hint="eastAsia" w:ascii="宋体" w:hAnsi="宋体" w:eastAsia="宋体" w:cs="宋体"/>
          <w:b/>
          <w:sz w:val="24"/>
          <w:szCs w:val="24"/>
          <w:highlight w:val="none"/>
        </w:rPr>
        <w:t xml:space="preserve">将响应文件上传苏釆云系统，否则视为放弃参加该采购项目。</w:t>
      </w:r>
      <w:r>
        <w:rPr>
          <w:rFonts w:hint="eastAsia" w:ascii="宋体" w:hAnsi="宋体" w:eastAsia="宋体" w:cs="宋体"/>
          <w:sz w:val="24"/>
          <w:szCs w:val="24"/>
          <w:highlight w:val="none"/>
        </w:rPr>
        <w:t xml:space="preserve">供应商在提交响应文件截止时间前，可以对所提交的响应文件进行补充、修改或者撤回。</w:t>
      </w:r>
      <w:r/>
    </w:p>
    <w:p>
      <w:pPr>
        <w:ind w:firstLine="480"/>
        <w:spacing w:line="360" w:lineRule="auto"/>
        <w:shd w:val="clear" w:color="auto"/>
        <w:tabs>
          <w:tab w:val="left" w:pos="50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（4）供应商应当按照磋商文件的要求编制响应文件，并对其提交的响应文件的真实性、合法性承担法律责任。</w:t>
      </w:r>
      <w:r/>
    </w:p>
    <w:p>
      <w:pPr>
        <w:ind w:firstLine="482"/>
        <w:spacing w:line="360" w:lineRule="auto"/>
        <w:shd w:val="clear" w:color="auto"/>
        <w:tabs>
          <w:tab w:val="left" w:pos="502"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4.4响应文件的制作要求：</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磋商响应文件有效期为自磋商之日起90日。</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2.磋商响应文件组成部分中如竞争性磋商采购文件已给定格式的，磋商响应单位应按给定格式提供，不得更改，如必须更改时，须另行制作偏离说明，并作为磋商响应文件的组成部分；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3.一经递交，除非磋商响应单位在磋商响应文件中对竞争性磋商采购文件的规定或条款有书面偏离或保留，否则应视为其全部接受和遵守。同时无论是否成交，其磋商响应文件恕不退还；</w:t>
      </w:r>
      <w:r/>
    </w:p>
    <w:p>
      <w:pPr>
        <w:ind w:firstLine="480"/>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p>
    <w:p>
      <w:pPr>
        <w:pStyle w:val="848"/>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五、综合说明：</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（一）响应内容必须符合国家相关标准，必须满足本次磋商文件的要求，若造成的损失和后果由单位负全责。</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磋商小组</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2.2磋商小组负责具体的磋商事务，并独立履行以下职责：</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2.2.1确认或者制定磋商文件； </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2.2.2从符合相应资格条件的供应商名单中确定不少于3家的供应商参加磋商；</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2.2.3审查供应商的响应文件并作出评价；</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2.2.4要求供应商解释或者澄清其响应文件；</w:t>
      </w:r>
      <w:r/>
    </w:p>
    <w:p>
      <w:pPr>
        <w:ind w:firstLine="480"/>
        <w:spacing w:line="360" w:lineRule="auto"/>
        <w:shd w:val="clear" w:color="auto"/>
        <w:tabs>
          <w:tab w:val="left" w:pos="7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2.2.5编写评分报告；</w:t>
      </w:r>
      <w:r/>
    </w:p>
    <w:p>
      <w:pPr>
        <w:ind w:firstLine="480"/>
        <w:spacing w:line="360" w:lineRule="auto"/>
        <w:shd w:val="clear" w:color="auto"/>
        <w:tabs>
          <w:tab w:val="left" w:pos="7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2.2.6告知采购人、采购代理机构在评审过程中发现的供应商的违法违规行为。</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2.3磋商小组成员应当履行下列义务：</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2.3.1遵纪守法，客观、公正、廉洁地履行职责；</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2.3.2按照磋商文件规定的评审办法独立进行评审，对个人的评审意见承担法律责任；</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2.3.3参与评分报告的起草；</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2.3.4配合采购人、采购代理机构答复供应商提出的质疑；</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2.3.5配合财政部门的投诉处理和监督检查工作。</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（三）评审内容的保密</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3.1磋商开始后，直到宣布授予成交供应商合同为止，凡属于审查、澄清、评价和比较响应文件的所有资料，有关授予合同的信息都不应向供应商或与评审无关的其他人泄露。</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3.2在响应文件的审查、澄清、评价和比较以及授予合同的过程中，供应商对磋商采购单位和磋商小组施加影响的任何行为，都将取消其成交资格。</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3.3在评审期间，磋商采购单位将通过指定联络人与供应商进行联系。</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（四）响应文件的澄清、说明和更正</w:t>
      </w:r>
      <w:r/>
    </w:p>
    <w:p>
      <w:pPr>
        <w:ind w:firstLine="375"/>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4.2磋商小组要求供应商澄清、说明或者更正响应文件应当以书面形式作出。供应商的澄清、说明或者更正应当由法定代表人或代理人签字或者加盖</w:t>
      </w:r>
      <w:r>
        <w:rPr>
          <w:rFonts w:hint="eastAsia" w:ascii="宋体" w:hAnsi="宋体" w:eastAsia="宋体" w:cs="宋体"/>
          <w:sz w:val="24"/>
          <w:szCs w:val="24"/>
          <w:highlight w:val="none"/>
        </w:rPr>
        <w:t xml:space="preserve">电子</w:t>
      </w:r>
      <w:r>
        <w:rPr>
          <w:rFonts w:hint="eastAsia" w:ascii="宋体" w:hAnsi="宋体" w:eastAsia="宋体" w:cs="宋体"/>
          <w:color w:val="000000" w:themeColor="text1"/>
          <w:sz w:val="24"/>
          <w:szCs w:val="24"/>
          <w:highlight w:val="none"/>
          <w14:textFill>
            <w14:solidFill>
              <w14:schemeClr w14:val="tx1"/>
            </w14:solidFill>
          </w14:textFill>
        </w:rPr>
        <w:t xml:space="preserve">公章。由代理人签字的，应当附法定代表人授权委托书。供应商为自然人的，应当由本人签字并附身份证。如响应供应商无法在合理时间内出具上述材料视为放弃权利。</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45"/>
        <w:ind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（五）信用记录查询</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记录：根据政府采购法及相关法规，以及苏州市财政局《关于印发苏州市市级政府采购信用记录查询和使用工作试行办法的通知》（苏财购（2017）11号）文件的规定，我们将依法对供应商进行信用查询，凡经评标委员会确认不符合政府采购相关法律法规规定的，将拒绝其参与政府采购活动。</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5.1.查询截止时点：响应文件接收截止时间。</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5.2.查询渠道：采购代理机构会在接收投标文件截止时间后，登录信用中国网站（www.creditchina.gov.cn）和中国政府采购网（www.ccgp.gov.cn/）查询供应商的信用记录，并将查询结果递交评标委员会。</w:t>
      </w:r>
      <w:r/>
    </w:p>
    <w:p>
      <w:pPr>
        <w:pStyle w:val="845"/>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5.3.查询证据留存方式：</w:t>
      </w:r>
      <w:r>
        <w:rPr>
          <w:rFonts w:hint="eastAsia" w:ascii="宋体" w:hAnsi="宋体" w:eastAsia="宋体" w:cs="宋体"/>
          <w:bCs/>
          <w:sz w:val="24"/>
          <w:szCs w:val="24"/>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5.4.信用记录使用规则：评标委员会在对供应商进行资格性审查时，应根据查询结果对供应商的不良信用记录逐项甄别确认。</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六</w:t>
      </w:r>
      <w:r>
        <w:rPr>
          <w:rFonts w:hint="eastAsia"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异常低价投标审查</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评标过程中出现下列情形之一的，评标委员会应当启动异常低价投标审查程序：</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投标报价低于全部通过符合性审查供应商投标报价平均值50%的，即投标报价&lt;全部通过符合性审查供应商投标报价平均值×50%；</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投标报价低于通过符合性审查的次低报价供应商投标报价50%的，即投标报价&lt;通过符合性审查的次低报价供应商投标报价×50%；</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投标报价低于采购项目最高限价45%的，即投标报价&lt;采购项目最高限价×45%；</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评标委员会基于专业判断，认为供应商报价过低，有可能影响产品质量或者不能诚信履约的其他情形。</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启动异常低价投标审查后，评标委员会应当要求相关供应商在评标现场合理的时间内对投标价格作出解释，提供项目具体成本测算等与报价合理性相关的书面说明及相关证明材料，包括但不限于原材料成本、人工成本、制造费用等，给予相关供应商的合理时间一般不少于30分钟。</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60"/>
        <w:ind w:firstLine="480"/>
        <w:jc w:val="both"/>
        <w:spacing w:before="0" w:beforeAutospacing="0" w:after="0" w:afterAutospacing="0"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spacing w:line="360" w:lineRule="auto"/>
        <w:shd w:val="clear" w:color="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）凡涉及磋商文件的补充说明和修改，</w:t>
      </w:r>
      <w:r>
        <w:rPr>
          <w:rFonts w:hint="eastAsia" w:ascii="宋体" w:hAnsi="宋体" w:eastAsia="宋体" w:cs="宋体"/>
          <w:bCs/>
          <w:color w:val="000000" w:themeColor="text1"/>
          <w:sz w:val="24"/>
          <w:szCs w:val="24"/>
          <w:highlight w:val="none"/>
          <w14:textFill>
            <w14:solidFill>
              <w14:schemeClr w14:val="tx1"/>
            </w14:solidFill>
          </w14:textFill>
        </w:rPr>
        <w:t xml:space="preserve">均以苏州市政府采购网公告内容为准。</w:t>
      </w:r>
      <w:r/>
    </w:p>
    <w:p>
      <w:pPr>
        <w:jc w:val="cente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三、合同主要条款</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乙方：(响应单位)</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根据苏州华厦招投标代理有限公司采购编号为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JSZC-320506111-DLHX-C2026-0006</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临湖镇社会治安综合治理服务</w:t>
      </w:r>
      <w:r>
        <w:rPr>
          <w:rFonts w:hint="eastAsia" w:ascii="宋体" w:hAnsi="宋体" w:eastAsia="宋体" w:cs="宋体"/>
          <w:color w:val="000000" w:themeColor="text1"/>
          <w:sz w:val="24"/>
          <w:szCs w:val="24"/>
          <w:highlight w:val="none"/>
          <w14:textFill>
            <w14:solidFill>
              <w14:schemeClr w14:val="tx1"/>
            </w14:solidFill>
          </w14:textFill>
        </w:rPr>
        <w:t xml:space="preserve">项目的采购结果，确定乙方为本次成交供应商，现依照磋商文件、乙方的响应文件及相关文件的内容，签订本合同书。</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总</w:t>
      </w:r>
      <w:r>
        <w:rPr>
          <w:rFonts w:hint="eastAsia" w:ascii="宋体" w:hAnsi="宋体" w:eastAsia="宋体" w:cs="宋体"/>
          <w:color w:val="000000" w:themeColor="text1"/>
          <w:sz w:val="24"/>
          <w:szCs w:val="24"/>
          <w:highlight w:val="none"/>
          <w14:textFill>
            <w14:solidFill>
              <w14:schemeClr w14:val="tx1"/>
            </w14:solidFill>
          </w14:textFill>
        </w:rPr>
        <w:t xml:space="preserve">价格</w:t>
      </w:r>
      <w:r>
        <w:rPr>
          <w:rFonts w:hint="eastAsia" w:ascii="宋体" w:hAnsi="宋体" w:eastAsia="宋体" w:cs="宋体"/>
          <w:color w:val="auto"/>
          <w:sz w:val="24"/>
          <w:szCs w:val="24"/>
          <w:highlight w:val="none"/>
        </w:rPr>
        <w:t xml:space="preserve">合同价格（大写）人民币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20"/>
        <w:spacing w:line="360" w:lineRule="auto"/>
        <w:shd w:val="clear" w:color="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以上费用</w:t>
      </w:r>
      <w:r>
        <w:rPr>
          <w:rFonts w:hint="eastAsia" w:ascii="宋体" w:hAnsi="宋体" w:eastAsia="宋体" w:cs="宋体"/>
          <w:color w:val="auto"/>
          <w:sz w:val="24"/>
          <w:szCs w:val="24"/>
          <w:highlight w:val="none"/>
          <w:lang w:bidi="ar"/>
        </w:rPr>
        <w:t xml:space="preserve">包括在承包期内服务的需要的人工费（包括人员工资、</w:t>
      </w:r>
      <w:r>
        <w:rPr>
          <w:rFonts w:hint="eastAsia" w:ascii="宋体" w:hAnsi="宋体" w:cs="宋体"/>
          <w:color w:val="auto"/>
          <w:sz w:val="24"/>
          <w:szCs w:val="24"/>
          <w:highlight w:val="none"/>
          <w:lang w:val="en-US" w:eastAsia="zh-CN" w:bidi="ar"/>
        </w:rPr>
        <w:t xml:space="preserve">社保、</w:t>
      </w:r>
      <w:r>
        <w:rPr>
          <w:rFonts w:hint="eastAsia" w:ascii="宋体" w:hAnsi="宋体" w:eastAsia="宋体" w:cs="宋体"/>
          <w:color w:val="auto"/>
          <w:sz w:val="24"/>
          <w:szCs w:val="24"/>
          <w:highlight w:val="none"/>
          <w:lang w:bidi="ar"/>
        </w:rPr>
        <w:t xml:space="preserve">保险等），工具费以及在服务过程中发生的一切费用，合同价中还包括耗材、服装、高温费、代理服务费、加班费、节日慰问费、体检费、劳保、各种税费及政策性文件规定及合同包含的所有风险（如人员工资、材料上涨等）、责任等各项应有费用。</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二、服务地点： </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临湖镇社会治安综合治理服务</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p>
    <w:p>
      <w:pPr>
        <w:ind w:firstLine="420"/>
        <w:spacing w:line="360" w:lineRule="auto"/>
        <w:shd w:val="clear" w:color="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服务期限：</w:t>
      </w:r>
      <w:r>
        <w:rPr>
          <w:rFonts w:hint="eastAsia" w:ascii="宋体" w:hAnsi="宋体" w:cs="宋体"/>
          <w:sz w:val="24"/>
          <w:szCs w:val="24"/>
          <w:highlight w:val="none"/>
          <w:lang w:val="en-US" w:eastAsia="zh-CN" w:bidi="ar"/>
        </w:rPr>
        <w:t xml:space="preserve">壹年，自2026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日-202</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日</w:t>
      </w:r>
      <w:r>
        <w:rPr>
          <w:rFonts w:hint="eastAsia" w:ascii="宋体" w:hAnsi="宋体" w:cs="宋体"/>
          <w:sz w:val="24"/>
          <w:szCs w:val="24"/>
          <w:highlight w:val="none"/>
          <w:lang w:val="en-US" w:eastAsia="zh-CN" w:bidi="ar"/>
        </w:rPr>
        <w:t xml:space="preserve">止</w:t>
      </w:r>
      <w:r>
        <w:rPr>
          <w:rFonts w:hint="eastAsia" w:ascii="宋体" w:hAnsi="宋体" w:eastAsia="宋体" w:cs="宋体"/>
          <w:sz w:val="24"/>
          <w:szCs w:val="24"/>
          <w:highlight w:val="none"/>
          <w:lang w:val="en-US" w:eastAsia="zh-CN" w:bidi="ar"/>
        </w:rPr>
        <w:t xml:space="preserve">（具体开始时间以甲方通知为准）。</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三、下列文件为本合同不可分割部分：</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（1）成交通知书；</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（2）乙方的响应文件；</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（3）乙方在磋商响应过程中所作的其它承诺、声明、书面澄清等；</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（4）竞争性磋商文件及其附件；</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（5）合同附件。</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以上与本合同具有同等法律效力。</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四、服务内容：</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1.服务内容：详见采购文件要求。</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2.服务要求：详见采购文件要求。</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五、付款方式： </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付款步骤：甲乙双方签订合同后，待整个服务项目所需设备、人员全部到位，经甲方认可后开始进行管理服务，按</w:t>
      </w:r>
      <w:r>
        <w:rPr>
          <w:rFonts w:hint="eastAsia" w:ascii="宋体" w:hAnsi="宋体" w:eastAsia="宋体" w:cs="宋体"/>
          <w:bCs/>
          <w:color w:val="auto"/>
          <w:sz w:val="24"/>
          <w:szCs w:val="24"/>
          <w:highlight w:val="none"/>
          <w:lang w:eastAsia="zh-CN"/>
        </w:rPr>
        <w:t xml:space="preserve">月度</w:t>
      </w:r>
      <w:r>
        <w:rPr>
          <w:rFonts w:hint="eastAsia" w:ascii="宋体" w:hAnsi="宋体" w:eastAsia="宋体" w:cs="宋体"/>
          <w:bCs/>
          <w:color w:val="auto"/>
          <w:sz w:val="24"/>
          <w:szCs w:val="24"/>
          <w:highlight w:val="none"/>
        </w:rPr>
        <w:t xml:space="preserve">进行检查及结算，自上岗后每满一</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rPr>
        <w:t xml:space="preserve">度并在对照考核结果，经检验</w:t>
      </w:r>
      <w:r>
        <w:rPr>
          <w:rFonts w:hint="eastAsia" w:ascii="宋体" w:hAnsi="宋体" w:eastAsia="宋体" w:cs="宋体"/>
          <w:b w:val="0"/>
          <w:bCs/>
          <w:color w:val="auto"/>
          <w:sz w:val="24"/>
          <w:szCs w:val="24"/>
          <w:highlight w:val="none"/>
        </w:rPr>
        <w:t xml:space="preserve">合格后七个工作日内即由甲方向乙方支付一个</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rPr>
        <w:t xml:space="preserve">度的管理费（按</w:t>
      </w:r>
      <w:r>
        <w:rPr>
          <w:rFonts w:hint="eastAsia" w:ascii="宋体" w:hAnsi="宋体" w:eastAsia="宋体" w:cs="宋体"/>
          <w:b w:val="0"/>
          <w:bCs/>
          <w:color w:val="auto"/>
          <w:sz w:val="24"/>
          <w:szCs w:val="24"/>
          <w:highlight w:val="none"/>
          <w:lang w:eastAsia="zh-CN"/>
        </w:rPr>
        <w:t xml:space="preserve">成交</w:t>
      </w:r>
      <w:r>
        <w:rPr>
          <w:rFonts w:hint="eastAsia" w:ascii="宋体" w:hAnsi="宋体" w:eastAsia="宋体" w:cs="宋体"/>
          <w:b w:val="0"/>
          <w:bCs/>
          <w:color w:val="auto"/>
          <w:sz w:val="24"/>
          <w:szCs w:val="24"/>
          <w:highlight w:val="none"/>
        </w:rPr>
        <w:t xml:space="preserve">价进行换算）</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①管理费每个</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rPr>
        <w:t xml:space="preserve">度为一个结算周期，按考核结果结算，每</w:t>
      </w:r>
      <w:r>
        <w:rPr>
          <w:rFonts w:hint="eastAsia" w:ascii="宋体" w:hAnsi="宋体" w:eastAsia="宋体" w:cs="宋体"/>
          <w:b w:val="0"/>
          <w:bCs/>
          <w:color w:val="auto"/>
          <w:sz w:val="24"/>
          <w:szCs w:val="24"/>
          <w:highlight w:val="none"/>
          <w:lang w:eastAsia="zh-CN"/>
        </w:rPr>
        <w:t xml:space="preserve">月</w:t>
      </w:r>
      <w:r>
        <w:rPr>
          <w:rFonts w:hint="eastAsia" w:ascii="宋体" w:hAnsi="宋体" w:eastAsia="宋体" w:cs="宋体"/>
          <w:b w:val="0"/>
          <w:bCs/>
          <w:color w:val="auto"/>
          <w:sz w:val="24"/>
          <w:szCs w:val="24"/>
          <w:highlight w:val="none"/>
        </w:rPr>
        <w:t xml:space="preserve">度应结算的管理费=（合同总价÷</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个月）×</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个月-考核扣款</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②甲</w:t>
      </w:r>
      <w:r>
        <w:rPr>
          <w:rFonts w:hint="eastAsia" w:ascii="宋体" w:hAnsi="宋体" w:eastAsia="宋体" w:cs="宋体"/>
          <w:color w:val="auto"/>
          <w:sz w:val="24"/>
          <w:szCs w:val="24"/>
          <w:highlight w:val="none"/>
        </w:rPr>
        <w:t xml:space="preserve">方对乙方进行</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考核得分达到</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以上的，则无考核扣款。乙方</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考核得分低于</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分的，按当</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考核得分率计算考核扣款（</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考核扣款=</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考核费总额×（</w:t>
      </w:r>
      <w:r>
        <w:rPr>
          <w:rFonts w:hint="eastAsia" w:ascii="宋体" w:hAnsi="宋体" w:eastAsia="宋体" w:cs="宋体"/>
          <w:color w:val="auto"/>
          <w:sz w:val="24"/>
          <w:szCs w:val="24"/>
          <w:highlight w:val="none"/>
          <w:lang w:val="en-US" w:eastAsia="zh-CN"/>
        </w:rPr>
        <w:t xml:space="preserve">85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月度</w:t>
      </w:r>
      <w:r>
        <w:rPr>
          <w:rFonts w:hint="eastAsia" w:ascii="宋体" w:hAnsi="宋体" w:eastAsia="宋体" w:cs="宋体"/>
          <w:color w:val="auto"/>
          <w:sz w:val="24"/>
          <w:szCs w:val="24"/>
          <w:highlight w:val="none"/>
        </w:rPr>
        <w:t xml:space="preserve">考核得分）/100）。（</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及合同中规定的其他扣款约定继续有效）。</w:t>
      </w:r>
      <w:r/>
    </w:p>
    <w:p>
      <w:pPr>
        <w:ind w:firstLine="24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2.付款方式：银行</w:t>
      </w:r>
      <w:r>
        <w:rPr>
          <w:rFonts w:hint="eastAsia" w:ascii="宋体" w:hAnsi="宋体" w:eastAsia="宋体" w:cs="宋体"/>
          <w:sz w:val="24"/>
          <w:szCs w:val="24"/>
          <w:highlight w:val="none"/>
          <w:lang w:eastAsia="zh-CN"/>
        </w:rPr>
        <w:t xml:space="preserve">转账</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六、</w:t>
      </w:r>
      <w:r>
        <w:rPr>
          <w:rFonts w:hint="eastAsia" w:ascii="宋体" w:hAnsi="宋体" w:eastAsia="宋体" w:cs="宋体"/>
          <w:bCs/>
          <w:color w:val="auto"/>
          <w:sz w:val="24"/>
          <w:szCs w:val="24"/>
          <w:highlight w:val="none"/>
        </w:rPr>
        <w:t xml:space="preserve">甲、乙双方的责任</w:t>
      </w:r>
      <w:r/>
    </w:p>
    <w:p>
      <w:pPr>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（一）甲方责任：</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1.为乙方管理部门提供必要的办公用房、办公家具、库房、通讯线路，通讯费用乙方自理；并指定专人作为甲方联系人予以协调工作。加强与乙方沟通，交流情况，互通信息。</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2.甲方应教育所属人员尊重乙方工作人员的劳动成果，积极配合乙方工作人员履行好合同所规定的职责和义务。因甲方人员使用设备、器材、器械不当而造成的损失与乙方无关。</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3.定期组织对乙方服务质量的考核、收集意见和建议，并将结果及时通报乙方。</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.协助做好与新旧管理公司的业务交接事宜。</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.为乙方有效开展工作提供其他必要的便利。</w:t>
      </w:r>
      <w:r/>
    </w:p>
    <w:p>
      <w:pPr>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（二）乙方责任：</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1.乙方在</w:t>
      </w:r>
      <w:r>
        <w:rPr>
          <w:rFonts w:hint="eastAsia" w:ascii="宋体" w:hAnsi="宋体" w:eastAsia="宋体" w:cs="宋体"/>
          <w:color w:val="auto"/>
          <w:sz w:val="24"/>
          <w:szCs w:val="24"/>
          <w:highlight w:val="none"/>
          <w:u w:val="none"/>
          <w:lang w:eastAsia="zh-CN"/>
        </w:rPr>
        <w:t xml:space="preserve">提供服务</w:t>
      </w:r>
      <w:r>
        <w:rPr>
          <w:rFonts w:hint="eastAsia" w:ascii="宋体" w:hAnsi="宋体" w:eastAsia="宋体" w:cs="宋体"/>
          <w:color w:val="auto"/>
          <w:sz w:val="24"/>
          <w:szCs w:val="24"/>
          <w:highlight w:val="none"/>
          <w:u w:val="none"/>
        </w:rPr>
        <w:t xml:space="preserve">前，应提前向甲方提供乙方</w:t>
      </w:r>
      <w:r>
        <w:rPr>
          <w:rFonts w:hint="eastAsia" w:ascii="宋体" w:hAnsi="宋体" w:eastAsia="宋体" w:cs="宋体"/>
          <w:color w:val="auto"/>
          <w:sz w:val="24"/>
          <w:szCs w:val="24"/>
          <w:highlight w:val="none"/>
          <w:u w:val="none"/>
          <w:lang w:eastAsia="zh-CN"/>
        </w:rPr>
        <w:t xml:space="preserve">服务</w:t>
      </w:r>
      <w:r>
        <w:rPr>
          <w:rFonts w:hint="eastAsia" w:ascii="宋体" w:hAnsi="宋体" w:eastAsia="宋体" w:cs="宋体"/>
          <w:color w:val="auto"/>
          <w:sz w:val="24"/>
          <w:szCs w:val="24"/>
          <w:highlight w:val="none"/>
          <w:u w:val="none"/>
        </w:rPr>
        <w:t xml:space="preserve">工作人员的基本信息、资质证明，以及甲方要求提供的其他资料，经甲方审核确认后，方可入驻项目并正式履行项目合同。如乙方在规定的时间内未能向甲方提供相关资料，或提供的材料不完整、不真实的，或未经甲方审核通过的，甲方有权</w:t>
      </w:r>
      <w:r>
        <w:rPr>
          <w:rFonts w:hint="eastAsia" w:ascii="宋体" w:hAnsi="宋体" w:eastAsia="宋体" w:cs="宋体"/>
          <w:color w:val="auto"/>
          <w:sz w:val="24"/>
          <w:szCs w:val="24"/>
          <w:highlight w:val="none"/>
          <w:u w:val="none"/>
          <w:lang w:eastAsia="zh-CN"/>
        </w:rPr>
        <w:t xml:space="preserve">要求乙方立即整改，整改不及时，甲方有权对乙方作出相应惩罚</w:t>
      </w:r>
      <w:r>
        <w:rPr>
          <w:rFonts w:hint="eastAsia" w:ascii="宋体" w:hAnsi="宋体" w:eastAsia="宋体" w:cs="宋体"/>
          <w:color w:val="auto"/>
          <w:sz w:val="24"/>
          <w:szCs w:val="24"/>
          <w:highlight w:val="none"/>
          <w:u w:val="none"/>
        </w:rPr>
        <w:t xml:space="preserve">。</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乙方经甲方审核通过后，安排在项目内工作人员，以及被甲方确定为关键性岗位的工作人员，未经甲方同意不得擅自调动或调整岗位。如确需作出调整的，乙方应提前两周向甲方提出书面申请，并提出合适的替代人选，经甲方批准后方可作出调动。上述范围以外工作人员作出调整的，应在调整当月向甲方进行备案。</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3.在合同履行过程中乙方无法达到</w:t>
      </w:r>
      <w:r>
        <w:rPr>
          <w:rFonts w:hint="eastAsia" w:ascii="宋体" w:hAnsi="宋体" w:eastAsia="宋体" w:cs="宋体"/>
          <w:color w:val="auto"/>
          <w:sz w:val="24"/>
          <w:szCs w:val="24"/>
          <w:highlight w:val="none"/>
          <w:u w:val="none"/>
          <w:lang w:eastAsia="zh-CN"/>
        </w:rPr>
        <w:t xml:space="preserve">采购文件</w:t>
      </w:r>
      <w:r>
        <w:rPr>
          <w:rFonts w:hint="eastAsia" w:ascii="宋体" w:hAnsi="宋体" w:eastAsia="宋体" w:cs="宋体"/>
          <w:color w:val="auto"/>
          <w:sz w:val="24"/>
          <w:szCs w:val="24"/>
          <w:highlight w:val="none"/>
          <w:u w:val="none"/>
        </w:rPr>
        <w:t xml:space="preserve">及合同相关约定或甲方各项要求的，项目内乙方工作人员的工作未达到甲方工作要求的，甲方有权要求乙方在规定的时间内调换或增配服务人员，乙方应在5个工作日内将人员安排到位，甲方不承担除合同约定以外的其他任何费用。</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4.配置本项目的工作人员仅为本项目提供服务，不得在其他项目兼职。配置给</w:t>
      </w:r>
      <w:r>
        <w:rPr>
          <w:rFonts w:hint="eastAsia" w:ascii="宋体" w:hAnsi="宋体" w:eastAsia="宋体" w:cs="宋体"/>
          <w:color w:val="auto"/>
          <w:sz w:val="24"/>
          <w:szCs w:val="24"/>
          <w:highlight w:val="none"/>
          <w:u w:val="none"/>
          <w:lang w:eastAsia="zh-CN"/>
        </w:rPr>
        <w:t xml:space="preserve">甲方</w:t>
      </w:r>
      <w:r>
        <w:rPr>
          <w:rFonts w:hint="eastAsia" w:ascii="宋体" w:hAnsi="宋体" w:eastAsia="宋体" w:cs="宋体"/>
          <w:color w:val="auto"/>
          <w:sz w:val="24"/>
          <w:szCs w:val="24"/>
          <w:highlight w:val="none"/>
          <w:u w:val="none"/>
        </w:rPr>
        <w:t xml:space="preserve">的工作人员，如需在本项目内临时调配的，需书面申报并征得</w:t>
      </w:r>
      <w:r>
        <w:rPr>
          <w:rFonts w:hint="eastAsia" w:ascii="宋体" w:hAnsi="宋体" w:eastAsia="宋体" w:cs="宋体"/>
          <w:color w:val="auto"/>
          <w:sz w:val="24"/>
          <w:szCs w:val="24"/>
          <w:highlight w:val="none"/>
          <w:u w:val="none"/>
          <w:lang w:eastAsia="zh-CN"/>
        </w:rPr>
        <w:t xml:space="preserve">甲方</w:t>
      </w:r>
      <w:r>
        <w:rPr>
          <w:rFonts w:hint="eastAsia" w:ascii="宋体" w:hAnsi="宋体" w:eastAsia="宋体" w:cs="宋体"/>
          <w:color w:val="auto"/>
          <w:sz w:val="24"/>
          <w:szCs w:val="24"/>
          <w:highlight w:val="none"/>
          <w:u w:val="none"/>
        </w:rPr>
        <w:t xml:space="preserve">同意。</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5.</w:t>
      </w:r>
      <w:r>
        <w:rPr>
          <w:rFonts w:hint="eastAsia" w:ascii="宋体" w:hAnsi="宋体" w:eastAsia="宋体" w:cs="宋体"/>
          <w:color w:val="auto"/>
          <w:sz w:val="24"/>
          <w:szCs w:val="24"/>
          <w:highlight w:val="none"/>
        </w:rPr>
        <w:t xml:space="preserve">如乙方在规定的时间内未按甲方要求，调换或增配服务人员的；未经甲方批准擅自调动、调整工作人员及甲方确定为关键性岗位工作人员的；擅自调动服务人员未经甲方批准的；甲方有权对乙方作出相应惩罚。</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乙方应经常对员工进行岗位职责和安全教育，加强岗位责任考核。因管理不当、违规操作发生消防、设备损坏等安全事故的，乙方应承担全部责任，并负责赔偿由此造成的损失，与甲方无关。</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乙方应认真做好项目内及周边秩序的维护及安全保卫工作，及时准确处理好各类突发事件，保证整个服务区域的秩序良好稳定。如因乙方工作失误、反应不及时、处理失当造成服务区域工作秩序混乱的、造成损失的、产生严重后果和影响的，乙方应承担相关责任，并负责赔偿由此造成损失。</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8</w:t>
      </w:r>
      <w:r>
        <w:rPr>
          <w:rFonts w:hint="eastAsia" w:ascii="宋体" w:hAnsi="宋体" w:eastAsia="宋体" w:cs="宋体"/>
          <w:color w:val="auto"/>
          <w:sz w:val="24"/>
          <w:szCs w:val="24"/>
          <w:highlight w:val="none"/>
          <w:u w:val="none"/>
        </w:rPr>
        <w:t xml:space="preserve">.确保有关工作人员按国家规定具备相关工种的上岗证和健康证，并按国家有关部门规定，定期组织体检。</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u w:val="none"/>
        </w:rPr>
        <w:t xml:space="preserve">.认真执行国家有关职工工资、福利、假期等方面的规定，严格遵守各项安全制度和操作规程，加强对员工的安全教育，并配备一定的劳动保护必需品以供职工使用。凡发生设备损坏和人员损伤等事故，以及员工生病、事故、伤残、死亡和劳务（劳资问题、工资拖欠问题）纠纷等，均由乙方负责和赔偿。如乙方拒不支付的，甲方有权直接在向乙方支付的</w:t>
      </w:r>
      <w:r>
        <w:rPr>
          <w:rFonts w:hint="eastAsia" w:ascii="宋体" w:hAnsi="宋体" w:eastAsia="宋体" w:cs="宋体"/>
          <w:color w:val="auto"/>
          <w:sz w:val="24"/>
          <w:szCs w:val="24"/>
          <w:highlight w:val="none"/>
          <w:u w:val="none"/>
          <w:lang w:eastAsia="zh-CN"/>
        </w:rPr>
        <w:t xml:space="preserve">服务</w:t>
      </w:r>
      <w:r>
        <w:rPr>
          <w:rFonts w:hint="eastAsia" w:ascii="宋体" w:hAnsi="宋体" w:eastAsia="宋体" w:cs="宋体"/>
          <w:color w:val="auto"/>
          <w:sz w:val="24"/>
          <w:szCs w:val="24"/>
          <w:highlight w:val="none"/>
          <w:u w:val="none"/>
        </w:rPr>
        <w:t xml:space="preserve">费中扣除后支付。</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val="en-US" w:eastAsia="zh-CN"/>
        </w:rPr>
        <w:t xml:space="preserve">0</w:t>
      </w:r>
      <w:r>
        <w:rPr>
          <w:rFonts w:hint="eastAsia" w:ascii="宋体" w:hAnsi="宋体" w:eastAsia="宋体" w:cs="宋体"/>
          <w:color w:val="auto"/>
          <w:sz w:val="24"/>
          <w:szCs w:val="24"/>
          <w:highlight w:val="none"/>
          <w:u w:val="none"/>
        </w:rPr>
        <w:t xml:space="preserve">.乙方应认真管理和使用项目内各项设备，建立各类设备的管理档案资料，并每月向甲方上报备案。</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none"/>
        </w:rPr>
        <w:t xml:space="preserve">.乙方需接受并积极配合甲方组织的定期考核、满意度调查等工作，并按甲方提出的意见及时进行整改。</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.本合同自然终止或因乙方责任导致甲方无条件解除合同情况出现时，双方按本合同交接管理的相关约定执行。</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乙方项目经理</w:t>
      </w:r>
      <w:r>
        <w:rPr>
          <w:rFonts w:hint="eastAsia" w:ascii="宋体" w:hAnsi="宋体" w:eastAsia="宋体" w:cs="宋体"/>
          <w:color w:val="auto"/>
          <w:sz w:val="24"/>
          <w:szCs w:val="24"/>
          <w:highlight w:val="none"/>
          <w:u w:val="none"/>
        </w:rPr>
        <w:t xml:space="preserve">参加培训或有事请假离开项目现场必须经过甲方相关科室负责人同意并安排人员临时接替。乙方应确保管理、服务人员到位，甲方将对人员到位情况进行抽查，人员应到岗但未到岗的或应到位未到位的，</w:t>
      </w:r>
      <w:r>
        <w:rPr>
          <w:rFonts w:hint="eastAsia" w:ascii="宋体" w:hAnsi="宋体" w:eastAsia="宋体" w:cs="宋体"/>
          <w:color w:val="auto"/>
          <w:sz w:val="24"/>
          <w:szCs w:val="24"/>
          <w:highlight w:val="none"/>
        </w:rPr>
        <w:t xml:space="preserve">甲方有权对乙方作出相应惩罚。</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14</w:t>
      </w:r>
      <w:r>
        <w:rPr>
          <w:rFonts w:hint="eastAsia" w:ascii="宋体" w:hAnsi="宋体" w:eastAsia="宋体" w:cs="宋体"/>
          <w:color w:val="auto"/>
          <w:sz w:val="24"/>
          <w:szCs w:val="24"/>
          <w:highlight w:val="none"/>
          <w:u w:val="none"/>
        </w:rPr>
        <w:t xml:space="preserve">.乙方必须为其工作人员按国家、省、市人社部门的相关规定缴纳相关费用，并提供必要的劳动保护条件。如乙方违反上述规定，甲方有权根据人社部门有关要求，从</w:t>
      </w:r>
      <w:r>
        <w:rPr>
          <w:rFonts w:hint="eastAsia" w:ascii="宋体" w:hAnsi="宋体" w:eastAsia="宋体" w:cs="宋体"/>
          <w:color w:val="auto"/>
          <w:sz w:val="24"/>
          <w:szCs w:val="24"/>
          <w:highlight w:val="none"/>
          <w:u w:val="none"/>
          <w:lang w:eastAsia="zh-CN"/>
        </w:rPr>
        <w:t xml:space="preserve">服务</w:t>
      </w:r>
      <w:r>
        <w:rPr>
          <w:rFonts w:hint="eastAsia" w:ascii="宋体" w:hAnsi="宋体" w:eastAsia="宋体" w:cs="宋体"/>
          <w:color w:val="auto"/>
          <w:sz w:val="24"/>
          <w:szCs w:val="24"/>
          <w:highlight w:val="none"/>
          <w:u w:val="none"/>
        </w:rPr>
        <w:t xml:space="preserve">费中直接支付。</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15</w:t>
      </w:r>
      <w:r>
        <w:rPr>
          <w:rFonts w:hint="eastAsia" w:ascii="宋体" w:hAnsi="宋体" w:eastAsia="宋体" w:cs="宋体"/>
          <w:color w:val="auto"/>
          <w:sz w:val="24"/>
          <w:szCs w:val="24"/>
          <w:highlight w:val="none"/>
          <w:u w:val="none"/>
        </w:rPr>
        <w:t xml:space="preserve">.确因甲方工作需要，乙方应无条件配合甲方完成一些突击性工作。</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16</w:t>
      </w:r>
      <w:r>
        <w:rPr>
          <w:rFonts w:hint="eastAsia" w:ascii="宋体" w:hAnsi="宋体" w:eastAsia="宋体" w:cs="宋体"/>
          <w:color w:val="auto"/>
          <w:sz w:val="24"/>
          <w:szCs w:val="24"/>
          <w:highlight w:val="none"/>
          <w:u w:val="none"/>
        </w:rPr>
        <w:t xml:space="preserve">.乙方在项目内安排的考察参观、上级检查、同行业交流等会议或接待活动需提前报甲方，并在不影响内部秩序的情况下进行。未经甲方许可擅自开展此类活动的第一次予以警告，再次出现的</w:t>
      </w:r>
      <w:r>
        <w:rPr>
          <w:rFonts w:hint="eastAsia" w:ascii="宋体" w:hAnsi="宋体" w:eastAsia="宋体" w:cs="宋体"/>
          <w:color w:val="auto"/>
          <w:sz w:val="24"/>
          <w:szCs w:val="24"/>
          <w:highlight w:val="none"/>
        </w:rPr>
        <w:t xml:space="preserve">甲方有权对乙方作出相应惩罚</w:t>
      </w:r>
      <w:r>
        <w:rPr>
          <w:rFonts w:hint="eastAsia" w:ascii="宋体" w:hAnsi="宋体" w:eastAsia="宋体" w:cs="宋体"/>
          <w:color w:val="auto"/>
          <w:sz w:val="24"/>
          <w:szCs w:val="24"/>
          <w:highlight w:val="none"/>
          <w:u w:val="none"/>
        </w:rPr>
        <w:t xml:space="preserve">。</w:t>
      </w:r>
      <w:r/>
    </w:p>
    <w:p>
      <w:pPr>
        <w:pStyle w:val="851"/>
        <w:ind w:left="0" w:firstLine="42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17</w:t>
      </w:r>
      <w:r>
        <w:rPr>
          <w:rFonts w:hint="eastAsia" w:ascii="宋体" w:hAnsi="宋体" w:eastAsia="宋体" w:cs="宋体"/>
          <w:color w:val="auto"/>
          <w:sz w:val="24"/>
          <w:szCs w:val="24"/>
          <w:highlight w:val="none"/>
          <w:u w:val="none"/>
        </w:rPr>
        <w:t xml:space="preserve">.乙方在</w:t>
      </w:r>
      <w:r>
        <w:rPr>
          <w:rFonts w:hint="eastAsia" w:ascii="宋体" w:hAnsi="宋体" w:eastAsia="宋体" w:cs="宋体"/>
          <w:color w:val="auto"/>
          <w:sz w:val="24"/>
          <w:szCs w:val="24"/>
          <w:highlight w:val="none"/>
          <w:u w:val="none"/>
          <w:lang w:eastAsia="zh-CN"/>
        </w:rPr>
        <w:t xml:space="preserve">响应</w:t>
      </w:r>
      <w:r>
        <w:rPr>
          <w:rFonts w:hint="eastAsia" w:ascii="宋体" w:hAnsi="宋体" w:eastAsia="宋体" w:cs="宋体"/>
          <w:color w:val="auto"/>
          <w:sz w:val="24"/>
          <w:szCs w:val="24"/>
          <w:highlight w:val="none"/>
          <w:u w:val="none"/>
        </w:rPr>
        <w:t xml:space="preserve">文件中提出的其他服务承诺。</w:t>
      </w:r>
      <w:r/>
    </w:p>
    <w:p>
      <w:pPr>
        <w:ind w:left="0"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none"/>
          <w:lang w:val="en-US" w:eastAsia="zh-CN"/>
        </w:rPr>
        <w:t xml:space="preserve">18</w:t>
      </w:r>
      <w:r>
        <w:rPr>
          <w:rFonts w:hint="eastAsia" w:ascii="宋体" w:hAnsi="宋体" w:eastAsia="宋体" w:cs="宋体"/>
          <w:color w:val="auto"/>
          <w:sz w:val="24"/>
          <w:szCs w:val="24"/>
          <w:highlight w:val="none"/>
          <w:u w:val="none"/>
        </w:rPr>
        <w:t xml:space="preserve">.甲方对乙方在服务工作中产生的各种过错，应采用书面形式通知乙方限期整改。</w:t>
      </w:r>
      <w:r>
        <w:rPr>
          <w:rFonts w:hint="eastAsia" w:ascii="宋体" w:hAnsi="宋体" w:eastAsia="宋体" w:cs="宋体"/>
          <w:color w:val="auto"/>
          <w:sz w:val="24"/>
          <w:szCs w:val="24"/>
          <w:highlight w:val="none"/>
          <w:lang w:val="en-US" w:eastAsia="zh-CN"/>
        </w:rPr>
        <w:t xml:space="preserve">该书面文件以送达至乙方企业法人注册登记中的住所地为准。</w:t>
      </w:r>
      <w:r/>
    </w:p>
    <w:p>
      <w:pPr>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1.合同一方不履行合同义务或者履行合同义务不符合约定的，应当承担继续履行、采取补救措施或者赔偿损失等违约责任。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2.在合同生效后，甲方无故要求取消此次服务的，应向乙方偿付合同总价款的5%作为违约金，违约金不足以补偿损失的，乙方有权要求甲方补足。</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5.合同一方因不可抗力不能履行合同的，应及时通知对方，以减轻可能给对方造成的损失，并应当在合理期限内提供证明。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售后服务见乙方响应文件中的承诺。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九、特别条款：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1.双方签约人为各自法定代表人或被授权代表。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2.本合同系指本文件及其附件中的所有部分；其中采购文件、成交的响应文件、成交单位在采购过程中的澄清、承诺等为本合同不可缺少的必要组成部分。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3.本合同经双方法定（授权）代表人签字（或盖章）并盖单位公章后生效。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招标代理公司</w:t>
      </w:r>
      <w:r>
        <w:rPr>
          <w:rFonts w:hint="eastAsia" w:ascii="宋体" w:hAnsi="宋体" w:cs="宋体"/>
          <w:color w:val="auto"/>
          <w:sz w:val="24"/>
          <w:szCs w:val="24"/>
          <w:highlight w:val="none"/>
          <w:lang w:val="en-US" w:eastAsia="zh-CN"/>
        </w:rPr>
        <w:t xml:space="preserve">执壹份</w:t>
      </w:r>
      <w:r>
        <w:rPr>
          <w:rFonts w:hint="eastAsia" w:ascii="宋体" w:hAnsi="宋体" w:eastAsia="宋体" w:cs="宋体"/>
          <w:color w:val="auto"/>
          <w:sz w:val="24"/>
          <w:szCs w:val="24"/>
          <w:highlight w:val="none"/>
        </w:rPr>
        <w:t xml:space="preserve">，各份具有同等法律效力。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十、其他：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本合同未尽事宜，签约双方应友好协商解决，协商不成，任何一方均可向甲方所在地上一级人民法院提起诉讼。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法定代表人(授权代表)：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签约日期：               </w:t>
      </w:r>
      <w:r/>
    </w:p>
    <w:p>
      <w:pPr>
        <w:ind w:firstLine="50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p>
      <w:pPr>
        <w:ind w:firstLine="50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帐户：</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合同签定地：</w:t>
      </w:r>
      <w:r>
        <w:rPr>
          <w:rFonts w:hint="eastAsia" w:ascii="宋体" w:hAnsi="宋体" w:eastAsia="宋体" w:cs="宋体"/>
          <w:b/>
          <w:color w:val="auto"/>
          <w:sz w:val="24"/>
          <w:szCs w:val="24"/>
          <w:highlight w:val="none"/>
          <w:lang w:eastAsia="zh-CN"/>
        </w:rPr>
        <w:t xml:space="preserve">苏州市吴中区临湖镇人民政府</w:t>
      </w: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pStyle w:val="860"/>
        <w:jc w:val="center"/>
        <w:spacing w:before="0" w:beforeAutospacing="0" w:after="0" w:afterAutospacing="0"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四、竞争性磋商程序及磋商小组成员组成</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（一）程序：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1.采购代理机构按本须知规定的时间、地点主持磋商采购活动。</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2.由磋商小组审查供应商提交的响应文件。</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小组要求供应商澄清、说明或者更正响应文件应当以书面形式作出。供应商的澄清、说明或者更正应当由法定代表人或其授权代表签字或者加盖电子公章。由授权代表签字的，应当附法定代表人授权书。供应商为自然人的，应当由本人签字并附身份证。</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5.磋商小组所有成员集中与单一供应商分别进行磋商，并给予所有参加磋商的供应商平等的磋商机会。</w:t>
      </w:r>
      <w:r/>
    </w:p>
    <w:p>
      <w:pPr>
        <w:ind w:firstLine="482"/>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shd w:val="clear" w:color="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供应商未在磋商小组规定的时间内（10分钟）在“苏采云”系统中提交最后报价的视为放弃磋商，其响应文件按无效响应处理，最后报价格式表须加盖CA电子公章,否则视为未提交最后报价。（此处规定时间的计算以系统中的倒计时间为准）</w:t>
      </w:r>
      <w:r/>
    </w:p>
    <w:p>
      <w:pPr>
        <w:ind w:firstLine="482"/>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磋商小组要求重新提交响应文件的并由其法定代表人或授权代表签字确认或者加盖电子公章。由授权代表签字的，应当附法定代表人授权书。供应商为自然人的，应当由本人签字并附身份证。</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7.供应商根据磋商情况进行承诺说明并填写承诺函，磋商结束后，要求所有实质性响应的供应商在最后一个供应商磋商结束后十分钟内提交最后报价，提交最后有效报价的供应商不得少于3家。</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8.经磋商确定最终采购需求和提交最后报价的供应商后，根据供应商的承诺、响应程度和供应商最后的报价，按照磋商文件规定的成交原则和评审办法进行综合评分。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9.磋商小组根据磋商成交原则确定成交供应商，并将结果通知服务承接商。</w:t>
      </w:r>
      <w:r/>
    </w:p>
    <w:p>
      <w:pPr>
        <w:ind w:firstLine="46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10.如磋商过程中出现本采购文件未尽事宜，由磋商小组根据政府采购有关法律、法规讨论决定。</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bookmarkStart w:id="1" w:name="_Toc2583655"/>
      <w:r>
        <w:rPr>
          <w:rFonts w:hint="eastAsia" w:ascii="宋体" w:hAnsi="宋体" w:eastAsia="宋体" w:cs="宋体"/>
          <w:bCs/>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发出成交通知书</w:t>
      </w:r>
      <w:bookmarkEnd w:id="1"/>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在投标有效期内，成交供应商确定后，采购人或者采购代理机构发布成交公告。在公告成交结果的同时，向成交供应商发出成交通知书，成交通知书是合同的组成部分。</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（二）磋商小组成员组成：</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2.磋商小组成员：采购单位1名，专家2名。</w:t>
      </w:r>
      <w:r/>
    </w:p>
    <w:p>
      <w:pPr>
        <w:ind w:firstLine="22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22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22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88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shd w:val="clear" w:color="auto"/>
        <w:tabs>
          <w:tab w:val="left" w:pos="45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4"/>
          <w:szCs w:val="24"/>
          <w:highlight w:val="none"/>
          <w14:textFill>
            <w14:solidFill>
              <w14:schemeClr w14:val="tx1"/>
            </w14:solidFill>
          </w14:textFill>
        </w:rPr>
        <w:t xml:space="preserve">五、评 分 标 准</w:t>
      </w:r>
      <w:r/>
    </w:p>
    <w:p>
      <w:pPr>
        <w:spacing w:line="360" w:lineRule="auto"/>
        <w:shd w:val="clear" w:color="auto"/>
        <w:tabs>
          <w:tab w:val="left" w:pos="287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一、竞争性磋商成交原则：</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经磋商确定</w:t>
      </w:r>
      <w:r>
        <w:rPr>
          <w:rFonts w:hint="eastAsia" w:ascii="宋体" w:hAnsi="宋体" w:eastAsia="宋体" w:cs="宋体"/>
          <w:bCs/>
          <w:color w:val="000000" w:themeColor="text1"/>
          <w:sz w:val="24"/>
          <w:szCs w:val="24"/>
          <w:highlight w:val="none"/>
          <w14:textFill>
            <w14:solidFill>
              <w14:schemeClr w14:val="tx1"/>
            </w14:solidFill>
          </w14:textFill>
        </w:rPr>
        <w:t xml:space="preserve">最终采购需求和提交最后报价的供应商后，由磋商小组采用综合评分法对提交最后报价的供应商的响应文件和最后报价进行综合评分。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3．综合评分法中的价格分统一采用低价优先法计算，即满足磋商文件要求且最后报价最低的供应商的价格为磋商基准价，其价格分为满分。其他供应商的价格分统一按照下列公式计算：</w:t>
      </w:r>
      <w:r/>
    </w:p>
    <w:p>
      <w:pPr>
        <w:ind w:firstLine="422"/>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响应</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得分＝（基准</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/响应</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）×10％×100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jc w:val="left"/>
        <w:spacing w:line="360" w:lineRule="auto"/>
        <w:shd w:val="clear" w:color="auto"/>
        <w:rPr>
          <w:rFonts w:hint="eastAsia" w:ascii="宋体" w:hAnsi="宋体" w:eastAsia="宋体" w:cs="宋体"/>
          <w:bCs/>
          <w:sz w:val="24"/>
          <w:szCs w:val="24"/>
          <w:highlight w:val="none"/>
        </w:rPr>
      </w:pPr>
      <w:r/>
      <w:bookmarkStart w:id="2" w:name="_GoBack"/>
      <w:r/>
      <w:bookmarkEnd w:id="2"/>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残疾人福利性单位：</w:t>
      </w:r>
      <w:r/>
    </w:p>
    <w:p>
      <w:pPr>
        <w:pStyle w:val="884"/>
        <w:ind w:firstLine="420"/>
        <w:jc w:val="left"/>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84"/>
        <w:ind w:firstLine="420"/>
        <w:jc w:val="left"/>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884"/>
        <w:ind w:firstLine="420"/>
        <w:jc w:val="left"/>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4.3中标、成交供应商为残疾人福利性单位的，采购人或者其委托的采购代理机构应当随中标、成交结果同时公告其《残疾人福利性单位声明函》，接受社会监督。</w:t>
      </w:r>
      <w:r/>
    </w:p>
    <w:p>
      <w:pPr>
        <w:pStyle w:val="860"/>
        <w:ind w:firstLine="42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5、监狱企业：</w:t>
      </w:r>
      <w:r/>
    </w:p>
    <w:p>
      <w:pPr>
        <w:pStyle w:val="860"/>
        <w:ind w:firstLine="42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5.1在政府采购活动中，监狱企业视同小型、微型企业，享受评审中价格扣除等政府采购促进中小企业发展的政府采购政策。向监狱企业采购的金额，计入面向中小企业采购的统计数据。</w:t>
      </w:r>
      <w:r/>
    </w:p>
    <w:p>
      <w:pPr>
        <w:pStyle w:val="860"/>
        <w:ind w:firstLine="42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磋商小组应当根据综合评分情况，按照评审得分由高到低顺序推荐3名以上成交候选单位，并编写评审报告。评审得分相同的，按照最后报价由低到高的顺序推荐。评审得分且最后报价相同的，由采购单位抽签决定成交单位。</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针对中小微型企业的评审加分：</w:t>
      </w:r>
      <w:r/>
    </w:p>
    <w:p>
      <w:pPr>
        <w:ind w:firstLine="482"/>
        <w:spacing w:line="360" w:lineRule="auto"/>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本项目专门面向中小微企业采购，不再执行价格评审优惠的扶持政策。</w:t>
      </w:r>
      <w:r>
        <w:rPr>
          <w:rFonts w:hint="eastAsia" w:ascii="宋体" w:hAnsi="宋体" w:eastAsia="宋体" w:cs="宋体"/>
          <w:sz w:val="24"/>
          <w:szCs w:val="24"/>
          <w:highlight w:val="none"/>
        </w:rPr>
        <w:t xml:space="preserve">根据《政府采购促进中小企业发展管理办法》（财库〔2020〕46号）及《苏州市政府采购促进中小企业发展实施意见》（苏财购〔2022〕16号）的相关规定，如供应商认定本企业提供的货物、工程或服务符合上述文件规定情形，则需根据《中小企业划型标准规定》（工信部联企业〔2011〕300号）提交《中小微企业声明函》并加盖公章，</w:t>
      </w:r>
      <w:r>
        <w:rPr>
          <w:rFonts w:hint="eastAsia" w:ascii="宋体" w:hAnsi="宋体" w:eastAsia="宋体" w:cs="宋体"/>
          <w:b/>
          <w:bCs/>
          <w:sz w:val="24"/>
          <w:szCs w:val="24"/>
          <w:highlight w:val="none"/>
        </w:rPr>
        <w:t xml:space="preserve">《中小微企业声明函》中所填的行业应与本采购标的对应的中小企业划分标准所属行业一致，未提交声明函或所提交的声明函中行业与本采购标的对应的中小企业划分标准所属行业不一致视为未实质性响应采购文件要求。</w:t>
      </w:r>
      <w:r/>
    </w:p>
    <w:p>
      <w:pP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54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w:t>
      </w:r>
      <w:r>
        <w:rPr>
          <w:rFonts w:hint="eastAsia" w:ascii="宋体" w:hAnsi="宋体" w:eastAsia="宋体" w:cs="宋体"/>
          <w:color w:val="000000" w:themeColor="text1"/>
          <w:sz w:val="24"/>
          <w:szCs w:val="24"/>
          <w:highlight w:val="none"/>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采购的评标方法采用综合评估方法，即在最大限度地满足磋商采购文件实质性要求前提下，按照磋商采购文件中规定的各项因素进行综合评审。总分为100分，评审因素及各比重如下：价格分为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分，技术部分、响应单位资质部分等为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分 。</w:t>
      </w:r>
      <w:r/>
    </w:p>
    <w:p>
      <w:pP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（一）价格分：（10分）</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报价低于或</w:t>
      </w:r>
      <w:r>
        <w:rPr>
          <w:rFonts w:hint="eastAsia" w:ascii="宋体" w:hAnsi="宋体" w:eastAsia="宋体" w:cs="宋体"/>
          <w:color w:val="000000" w:themeColor="text1"/>
          <w:sz w:val="24"/>
          <w:szCs w:val="24"/>
          <w:highlight w:val="none"/>
          <w14:textFill>
            <w14:solidFill>
              <w14:schemeClr w14:val="tx1"/>
            </w14:solidFill>
          </w14:textFill>
        </w:rPr>
        <w:t xml:space="preserve">等于</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采购预算</w:t>
      </w:r>
      <w:r>
        <w:rPr>
          <w:rFonts w:hint="eastAsia" w:ascii="宋体" w:hAnsi="宋体" w:eastAsia="宋体" w:cs="宋体"/>
          <w:color w:val="000000" w:themeColor="text1"/>
          <w:sz w:val="24"/>
          <w:szCs w:val="24"/>
          <w:highlight w:val="none"/>
          <w14:textFill>
            <w14:solidFill>
              <w14:schemeClr w14:val="tx1"/>
            </w14:solidFill>
          </w14:textFill>
        </w:rPr>
        <w:t xml:space="preserve">的，为有效响应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。超出此范围的响应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为无效响应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。无效响应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的响应文件不进行评审，也不得标。</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第二步：在所有有效响应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中选择报价最低的确定为基准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第三步：将所有有效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与基准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相比较：等于基准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szCs w:val="24"/>
          <w:highlight w:val="none"/>
          <w14:textFill>
            <w14:solidFill>
              <w14:schemeClr w14:val="tx1"/>
            </w14:solidFill>
          </w14:textFill>
        </w:rPr>
        <w:t xml:space="preserve">的得10分，其他响应单位的价格分按照下列公式计算（计算结果四舍五入保留两位小数）：</w:t>
      </w:r>
      <w:r/>
    </w:p>
    <w:p>
      <w:pPr>
        <w:ind w:firstLine="422"/>
        <w:spacing w:line="360" w:lineRule="auto"/>
        <w:shd w:val="clear" w:color="auto"/>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 xml:space="preserve">响应</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得分＝（基准</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/响应</w:t>
      </w: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报价</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）×10％×100</w:t>
      </w:r>
      <w:r/>
    </w:p>
    <w:p>
      <w:pPr>
        <w:ind w:left="0" w:firstLine="0"/>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0"/>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（二）服务方案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72分</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针对本项目的整体</w:t>
      </w:r>
      <w:r>
        <w:rPr>
          <w:rFonts w:hint="eastAsia" w:ascii="宋体" w:hAnsi="宋体" w:eastAsia="宋体" w:cs="宋体"/>
          <w:bCs/>
          <w:color w:val="auto"/>
          <w:sz w:val="24"/>
          <w:szCs w:val="24"/>
          <w:highlight w:val="none"/>
          <w:lang w:val="en-US" w:eastAsia="zh-CN"/>
        </w:rPr>
        <w:t xml:space="preserve">服务设想及管理</w:t>
      </w:r>
      <w:r>
        <w:rPr>
          <w:rFonts w:hint="eastAsia" w:ascii="宋体" w:hAnsi="宋体" w:eastAsia="宋体" w:cs="宋体"/>
          <w:bCs/>
          <w:color w:val="auto"/>
          <w:sz w:val="24"/>
          <w:szCs w:val="24"/>
          <w:highlight w:val="none"/>
        </w:rPr>
        <w:t xml:space="preserve">方案</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整体服务设想及管理</w:t>
      </w:r>
      <w:r>
        <w:rPr>
          <w:rFonts w:hint="eastAsia" w:ascii="宋体" w:hAnsi="宋体" w:eastAsia="宋体" w:cs="宋体"/>
          <w:color w:val="auto"/>
          <w:sz w:val="24"/>
          <w:szCs w:val="24"/>
          <w:highlight w:val="none"/>
        </w:rPr>
        <w:t xml:space="preserve">模式最清晰的得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服务总体模式比较清晰的得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服务总体模式清晰程度一般的得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针对本项目的</w:t>
      </w:r>
      <w:r>
        <w:rPr>
          <w:rFonts w:hint="eastAsia" w:ascii="宋体" w:hAnsi="宋体" w:eastAsia="宋体" w:cs="宋体"/>
          <w:color w:val="auto"/>
          <w:sz w:val="24"/>
          <w:szCs w:val="24"/>
          <w:highlight w:val="none"/>
        </w:rPr>
        <w:t xml:space="preserve">服务总体模式清晰程度较差的得1分；未提供的不得分。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服务管理工作具体实施方案，</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日常服务标准及措施方案合理性、完善性、规范性、清晰性、可操作性最好、措施最得力的得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分；日常服务标准及措施方案合理性、完善性、规范性、清晰性、可操作性较好、措施较得力的得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分；合理性、完善性、规范性、清晰性、可操作性一般、措施可行的得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分；合理性、完善性、规范性、清晰性、可操作性较差、措施不力的得1分；未提供的不得分。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3、详细的年度培训计划、培训及支持方案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培训制度的完整、合理、全面、可行性最高得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分；培训制度的完整、合理、全面、可行性较高得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分；培训制度的完整性、合理性、可行性一般的得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分；培训制度的不太完整、不太符合本项目、可行性较差的得1分；没有不得分。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rPr>
        <w:t xml:space="preserve">突发事件的应急措施，</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应急预案，方案完善、严谨、可操作性强、措施得力的得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分；方案较完善、严谨、可操作性较高、措施较可行的得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分；方案完善性、严谨性、可操作性一般、措施可行的，的得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分；方案不完善、不够严谨、可操作性较差、措施不力的得1分；未提供的不得分；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lang w:val="zh-CN"/>
        </w:rPr>
        <w:t xml:space="preserve">内部管理规章制度及考核管理办法，</w:t>
      </w:r>
      <w:r>
        <w:rPr>
          <w:rFonts w:hint="eastAsia" w:ascii="宋体" w:hAnsi="宋体" w:eastAsia="宋体" w:cs="宋体"/>
          <w:bCs/>
          <w:color w:val="auto"/>
          <w:sz w:val="24"/>
          <w:szCs w:val="24"/>
          <w:highlight w:val="none"/>
          <w:lang w:val="en-US" w:eastAsia="zh-CN"/>
        </w:rPr>
        <w:t xml:space="preserve">32</w:t>
      </w:r>
      <w:r>
        <w:rPr>
          <w:rFonts w:hint="eastAsia" w:ascii="宋体" w:hAnsi="宋体" w:eastAsia="宋体" w:cs="宋体"/>
          <w:bCs/>
          <w:color w:val="auto"/>
          <w:sz w:val="24"/>
          <w:szCs w:val="24"/>
          <w:highlight w:val="none"/>
          <w:lang w:val="zh-CN"/>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管理规章制度</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管理规章制度合理性、科学性、可操作性最高、措施最得力的得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分；合理性、科学性、可操作性较高、措施较得力的得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分；合理性、科学性、可操作性一般、措施可行的的得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分，合理性、科学性、可操作性较差、措施不力的得1分，未提供的不得分。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服务人员安全文明规范制度</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服务人员安全文明规范制度合理性、科学性、可操作性最高、措施最得力的得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分；合理性、科学性、可操作性较高、措施较得力的得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分；合理性、科学性、可操作性一般、措施可行的的得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分，合理性、科学性、可操作性较差、措施不力的得1分，未提供的不得分。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服务档案管理制度</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服务档案管理制度合理性、科学性、可操作性最高、措施最得力的得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分；合理性、科学性、可操作性较高、措施较得力的得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分；合理性、科学性、可操作性一般、措施可行的的得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分，合理性、科学性、可操作性较差、措施不力的得1分，未提供的不得分。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服务人员考核制度及标准</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服务人员考核制度及标准合理性、科学性、可操作性最高、措施最得力的得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分；合理性、科学性、可操作性较高、措施较得力的得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分；合理性、科学性、可操作性一般、措施可行的的得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分，合理性、科学性、可操作性较差、措施不力的得1分，未提供的不得分。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6、服务保障承诺及措施</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提出的保障承诺及措施，符合项目要求，措施全面完善、科学合理、具有</w:t>
      </w:r>
      <w:r>
        <w:rPr>
          <w:rFonts w:hint="eastAsia" w:ascii="宋体" w:hAnsi="宋体" w:eastAsia="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rPr>
        <w:t xml:space="preserve">操作性的得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分；提出的保障承诺及措施，</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符合项目要求，措施</w:t>
      </w:r>
      <w:r>
        <w:rPr>
          <w:rFonts w:hint="eastAsia" w:ascii="宋体" w:hAnsi="宋体" w:eastAsia="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完善、科学合理、具有</w:t>
      </w:r>
      <w:r>
        <w:rPr>
          <w:rFonts w:hint="eastAsia" w:ascii="宋体" w:hAnsi="宋体" w:eastAsia="宋体" w:cs="宋体"/>
          <w:color w:val="auto"/>
          <w:sz w:val="24"/>
          <w:szCs w:val="24"/>
          <w:highlight w:val="none"/>
          <w:lang w:val="en-US" w:eastAsia="zh-CN"/>
        </w:rPr>
        <w:t xml:space="preserve">较高</w:t>
      </w:r>
      <w:r>
        <w:rPr>
          <w:rFonts w:hint="eastAsia" w:ascii="宋体" w:hAnsi="宋体" w:eastAsia="宋体" w:cs="宋体"/>
          <w:color w:val="auto"/>
          <w:sz w:val="24"/>
          <w:szCs w:val="24"/>
          <w:highlight w:val="none"/>
        </w:rPr>
        <w:t xml:space="preserve">操作性的得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分；提出的保障承诺及措施，方案内容一般、措施方案一般、实际操作性一般的得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分；提出的保障承诺完善性、措施明确性、实际操作性较差的得1分；未提供不得分。</w:t>
      </w:r>
      <w:r/>
    </w:p>
    <w:p>
      <w:pPr>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left"/>
        <w:keepLines w:val="0"/>
        <w:keepNext w:val="0"/>
        <w:pageBreakBefore w:val="0"/>
        <w:spacing w:before="0"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综合实力(</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具有</w:t>
      </w:r>
      <w:r>
        <w:rPr>
          <w:rFonts w:hint="eastAsia" w:ascii="宋体" w:hAnsi="宋体" w:eastAsia="宋体" w:cs="宋体"/>
          <w:bCs/>
          <w:color w:val="auto"/>
          <w:sz w:val="24"/>
          <w:szCs w:val="24"/>
          <w:highlight w:val="none"/>
          <w:lang w:eastAsia="zh-CN"/>
        </w:rPr>
        <w:t xml:space="preserve">有效期内的</w:t>
      </w:r>
      <w:r>
        <w:rPr>
          <w:rFonts w:hint="eastAsia" w:ascii="宋体" w:hAnsi="宋体" w:eastAsia="宋体" w:cs="宋体"/>
          <w:bCs/>
          <w:color w:val="auto"/>
          <w:sz w:val="24"/>
          <w:szCs w:val="24"/>
          <w:highlight w:val="none"/>
        </w:rPr>
        <w:t xml:space="preserve">质量管理体系认证证书、环境管理体系认证证书、职业健康安全管理体系认证证书，每提供1份得2分，最高得6分。</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注：提供有效证书复印件及国家认监委网站截图并加盖</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公章。</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具有</w:t>
      </w:r>
      <w:r>
        <w:rPr>
          <w:rFonts w:hint="eastAsia" w:ascii="宋体" w:hAnsi="宋体" w:eastAsia="宋体" w:cs="宋体"/>
          <w:bCs/>
          <w:color w:val="auto"/>
          <w:sz w:val="24"/>
          <w:szCs w:val="24"/>
          <w:highlight w:val="none"/>
          <w:lang w:eastAsia="zh-CN"/>
        </w:rPr>
        <w:t xml:space="preserve">有效期内的</w:t>
      </w:r>
      <w:r>
        <w:rPr>
          <w:rFonts w:hint="eastAsia" w:ascii="Calibri" w:hAnsi="宋体" w:eastAsia="宋体" w:cs="宋体"/>
          <w:color w:val="auto"/>
          <w:sz w:val="24"/>
          <w:szCs w:val="24"/>
          <w:highlight w:val="none"/>
        </w:rPr>
        <w:t xml:space="preserve">服务认证证书（或售后服务认证证书）</w:t>
      </w:r>
      <w:r>
        <w:rPr>
          <w:rFonts w:hint="eastAsia" w:ascii="宋体" w:hAnsi="宋体" w:eastAsia="宋体" w:cs="宋体"/>
          <w:bCs/>
          <w:color w:val="auto"/>
          <w:sz w:val="24"/>
          <w:szCs w:val="24"/>
          <w:highlight w:val="none"/>
        </w:rPr>
        <w:t xml:space="preserve">，五星级得3分，三星级及以下得1分,最高得3分。</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注：提供有效证书复印件及国家认监委网站截图并加盖</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公章。</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具有</w:t>
      </w:r>
      <w:r>
        <w:rPr>
          <w:rFonts w:hint="eastAsia" w:ascii="宋体" w:hAnsi="宋体" w:eastAsia="宋体" w:cs="宋体"/>
          <w:bCs/>
          <w:color w:val="auto"/>
          <w:sz w:val="24"/>
          <w:szCs w:val="24"/>
          <w:highlight w:val="none"/>
          <w:lang w:eastAsia="zh-CN"/>
        </w:rPr>
        <w:t xml:space="preserve">有效期内的</w:t>
      </w:r>
      <w:r>
        <w:rPr>
          <w:rFonts w:hint="eastAsia" w:ascii="宋体" w:hAnsi="宋体" w:eastAsia="宋体" w:cs="宋体"/>
          <w:bCs/>
          <w:color w:val="auto"/>
          <w:sz w:val="24"/>
          <w:szCs w:val="24"/>
          <w:highlight w:val="none"/>
        </w:rPr>
        <w:t xml:space="preserve">社会责任管理体系认证证书得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注：提供有效证书复印件及国家认监委网站截图并加盖响应单位公章。</w:t>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left="0" w:firstLine="480"/>
        <w:jc w:val="left"/>
        <w:keepLines w:val="0"/>
        <w:keepNext w:val="0"/>
        <w:pageBreakBefore w:val="0"/>
        <w:spacing w:before="0"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类似业绩（6分）</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bCs/>
          <w:color w:val="auto"/>
          <w:sz w:val="24"/>
          <w:szCs w:val="24"/>
          <w:highlight w:val="none"/>
          <w:lang w:eastAsia="zh-CN"/>
        </w:rPr>
        <w:t xml:space="preserve">响应单位提供</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年1月1日（以合同签订时间为准）至今签订并已开始履行的服务项目业绩，每提供1份得2分，最高得6分。提供合同复印件加盖</w:t>
      </w: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公章。</w:t>
      </w:r>
      <w:r/>
    </w:p>
    <w:p>
      <w:pPr>
        <w:ind w:firstLine="420"/>
        <w:spacing w:line="360" w:lineRule="auto"/>
        <w:shd w:val="clear" w:color="auto"/>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color w:val="000000" w:themeColor="text1"/>
          <w:sz w:val="24"/>
          <w:szCs w:val="24"/>
          <w:highlight w:val="none"/>
          <w:lang w:val="zh-TW" w:eastAsia="zh-TW"/>
          <w14:textFill>
            <w14:solidFill>
              <w14:schemeClr w14:val="tx1"/>
            </w14:solidFill>
          </w14:textFill>
        </w:rPr>
      </w:r>
      <w:r/>
    </w:p>
    <w:p>
      <w:pPr>
        <w:ind w:firstLine="420"/>
        <w:spacing w:line="360" w:lineRule="auto"/>
        <w:shd w:val="clear" w:color="auto"/>
        <w:rPr>
          <w:rFonts w:hint="eastAsia" w:ascii="宋体" w:hAnsi="宋体" w:eastAsia="宋体" w:cs="宋体"/>
          <w:color w:val="000000" w:themeColor="text1"/>
          <w:sz w:val="24"/>
          <w:szCs w:val="24"/>
          <w:highlight w:val="none"/>
          <w:lang w:val="zh-TW" w:eastAsia="zh-TW"/>
          <w14:textFill>
            <w14:solidFill>
              <w14:schemeClr w14:val="tx1"/>
            </w14:solidFill>
          </w14:textFill>
        </w:rPr>
      </w:pP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注：1.评标时，未能按以上要求提供相应证明的，不作为评标依据，仅以按上述要求实际提供相关证明的数量作为评标依据。</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TW"/>
          <w14:textFill>
            <w14:solidFill>
              <w14:schemeClr w14:val="tx1"/>
            </w14:solidFill>
          </w14:textFill>
        </w:rPr>
        <w:t xml:space="preserve">商务部分偏离和技术部分偏离要求逐一列明。</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六、附   件</w:t>
      </w:r>
      <w:r/>
    </w:p>
    <w:p>
      <w:pP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附件1：磋商响应报价表(参考格式，磋商响应单位可根据下述格式自制表格进行响应)</w:t>
      </w:r>
      <w:r/>
    </w:p>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磋商响应报价表</w:t>
      </w:r>
      <w:r/>
    </w:p>
    <w:p>
      <w:pPr>
        <w:ind w:firstLine="600"/>
        <w:jc w:val="left"/>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采购编号： </w:t>
      </w:r>
      <w:r/>
    </w:p>
    <w:p>
      <w:pPr>
        <w:ind w:firstLine="600"/>
        <w:jc w:val="left"/>
        <w:spacing w:line="360" w:lineRule="auto"/>
        <w:shd w:val="clear" w:color="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磋商响应单位(盖章)：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4"/>
        <w:gridCol w:w="2865"/>
        <w:gridCol w:w="2489"/>
        <w:gridCol w:w="1234"/>
      </w:tblGrid>
      <w:tr>
        <w:trPr>
          <w:cantSplit/>
          <w:jc w:val="center"/>
          <w:trHeight w:val="830"/>
        </w:trPr>
        <w:tc>
          <w:tcPr>
            <w:tcW w:w="19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bottom w:val="single" w:color="auto" w:sz="4" w:space="0"/>
            </w:tcBorders>
            <w:tcW w:w="2865"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内容</w:t>
            </w:r>
            <w:r/>
          </w:p>
        </w:tc>
        <w:tc>
          <w:tcPr>
            <w:tcBorders>
              <w:bottom w:val="single" w:color="auto" w:sz="4" w:space="0"/>
            </w:tcBorders>
            <w:tcW w:w="248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响应报价（元）</w:t>
            </w:r>
            <w:r/>
          </w:p>
        </w:tc>
        <w:tc>
          <w:tcPr>
            <w:tcBorders>
              <w:bottom w:val="single" w:color="auto" w:sz="4" w:space="0"/>
            </w:tcBorders>
            <w:tcW w:w="12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cantSplit/>
          <w:jc w:val="center"/>
          <w:trHeight w:val="770"/>
        </w:trPr>
        <w:tc>
          <w:tcPr>
            <w:tcW w:w="19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865"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89"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28"/>
        </w:trPr>
        <w:tc>
          <w:tcPr>
            <w:tcW w:w="1934" w:type="dxa"/>
            <w:vAlign w:val="center"/>
            <w:textDirection w:val="lrTb"/>
            <w:noWrap w:val="false"/>
          </w:tcPr>
          <w:p>
            <w:pPr>
              <w:jc w:val="center"/>
              <w:spacing w:line="360" w:lineRule="auto"/>
              <w:shd w:val="clear" w:color="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总报价</w:t>
            </w:r>
            <w:r/>
          </w:p>
        </w:tc>
        <w:tc>
          <w:tcPr>
            <w:gridSpan w:val="3"/>
            <w:tcW w:w="6588" w:type="dxa"/>
            <w:vAlign w:val="center"/>
            <w:textDirection w:val="lrTb"/>
            <w:noWrap w:val="false"/>
          </w:tcPr>
          <w:p>
            <w:pPr>
              <w:jc w:val="left"/>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auto"/>
                <w:sz w:val="24"/>
                <w:szCs w:val="24"/>
                <w:lang w:val="zh-CN" w:eastAsia="zh-CN"/>
              </w:rPr>
              <w:t xml:space="preserve">（人民币大写）：</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zh-CN" w:eastAsia="zh-CN"/>
              </w:rPr>
              <w:t xml:space="preserve">￥：</w:t>
            </w:r>
            <w:r/>
          </w:p>
        </w:tc>
      </w:tr>
      <w:tr>
        <w:trPr>
          <w:jc w:val="center"/>
          <w:trHeight w:val="728"/>
        </w:trPr>
        <w:tc>
          <w:tcPr>
            <w:tcW w:w="19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p>
        </w:tc>
        <w:tc>
          <w:tcPr>
            <w:gridSpan w:val="3"/>
            <w:tcW w:w="6588" w:type="dxa"/>
            <w:vAlign w:val="center"/>
            <w:textDirection w:val="lrTb"/>
            <w:noWrap w:val="false"/>
          </w:tcPr>
          <w:p>
            <w:pPr>
              <w:jc w:val="center"/>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r>
            <w:r/>
          </w:p>
        </w:tc>
      </w:tr>
      <w:tr>
        <w:trPr>
          <w:jc w:val="center"/>
          <w:trHeight w:val="774"/>
        </w:trPr>
        <w:tc>
          <w:tcPr>
            <w:tcW w:w="1934" w:type="dxa"/>
            <w:vAlign w:val="center"/>
            <w:textDirection w:val="lrTb"/>
            <w:noWrap w:val="false"/>
          </w:tcPr>
          <w:p>
            <w:pPr>
              <w:jc w:val="center"/>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其它</w:t>
            </w:r>
            <w:r/>
          </w:p>
        </w:tc>
        <w:tc>
          <w:tcPr>
            <w:gridSpan w:val="3"/>
            <w:tcW w:w="6588" w:type="dxa"/>
            <w:vAlign w:val="center"/>
            <w:textDirection w:val="lrTb"/>
            <w:noWrap w:val="false"/>
          </w:tcPr>
          <w:p>
            <w:pPr>
              <w:jc w:val="center"/>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r>
            <w:r/>
          </w:p>
        </w:tc>
      </w:tr>
    </w:tbl>
    <w:p>
      <w:pPr>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r>
      <w:r/>
    </w:p>
    <w:p>
      <w:pPr>
        <w:jc w:val="left"/>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法定代表人或委托代理人(签字或盖章)：                 日期：</w:t>
      </w:r>
      <w:r/>
    </w:p>
    <w:p>
      <w:pPr>
        <w:spacing w:line="360" w:lineRule="auto"/>
        <w:shd w:val="clear" w:color="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845"/>
        <w:ind w:firstLine="0"/>
        <w:pageBreakBefore/>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2、关于资格文件的声明函 </w:t>
      </w:r>
      <w:r/>
    </w:p>
    <w:p>
      <w:pPr>
        <w:pStyle w:val="845"/>
        <w:ind w:firstLine="482"/>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45"/>
        <w:ind w:firstLine="482"/>
        <w:jc w:val="center"/>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声明函</w:t>
      </w:r>
      <w:r/>
    </w:p>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号磋商邀请函，经仔细阅读和研究，我们决定参加该次磋商活动。</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1、我们愿意按照磋商邀请函的一切要求，提供包括完成该项目的各项应有费用。</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2、如果我们磋商商务被接受，我们将严格履行磋商邀请函中规定的每一项要求，按期、按质、按量履行合同的义务。</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3、我们愿意提供邀请方在磋商</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rPr>
        <w:t xml:space="preserve">中要求的所有资料。</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4、我们认为你们有权决定成交人者，还认为你们有权接受或拒绝所有的磋商供应商。</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5、我们愿意遵守磋商邀请函中所列的收费标准。</w:t>
      </w:r>
      <w:r/>
    </w:p>
    <w:p>
      <w:pPr>
        <w:pStyle w:val="845"/>
        <w:ind w:firstLine="480"/>
        <w:spacing w:line="360" w:lineRule="auto"/>
        <w:shd w:val="clear" w:color="auto"/>
        <w:widowControl/>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6、如果我们成交，我们愿意在领取成交通知书的同时向磋商代理机构支付成交服务费。</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7、如果我们成交后未履行以上承诺，我公司愿意接受有关部门的处理：</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A、取消成交资格</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B、列入不诚信企业名录予以曝光</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8、综合说明：</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（1）伴随服务及配合措施；      </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（2）要求甲方提供的配合；      </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（3）其它说明。</w:t>
      </w:r>
      <w:r/>
    </w:p>
    <w:p>
      <w:pPr>
        <w:pStyle w:val="845"/>
        <w:ind w:firstLine="7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所有有关标书的函电，请按下列地址联系：</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                           联系人：</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邮政编码： </w:t>
      </w:r>
      <w:r/>
    </w:p>
    <w:p>
      <w:pPr>
        <w:pStyle w:val="845"/>
        <w:ind w:firstLine="96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传真：</w:t>
      </w:r>
      <w:r/>
    </w:p>
    <w:p>
      <w:pPr>
        <w:pStyle w:val="845"/>
        <w:ind w:firstLine="552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磋商响应单位（盖章）： </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法定代表人或代理人：（签字或盖章）</w:t>
      </w:r>
      <w:r/>
    </w:p>
    <w:p>
      <w:pPr>
        <w:pStyle w:val="845"/>
        <w:ind w:firstLine="48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年     月     日</w:t>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3、（磋商方）法定代表人授权委托书 </w:t>
      </w:r>
      <w:r/>
    </w:p>
    <w:p>
      <w:pPr>
        <w:pStyle w:val="911"/>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11"/>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  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（磋商单位名称）的法定代表人，现授权委托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（姓名）为我公司被授权人，以本公司的名义参加苏州华厦招投标代理有限公司组织实施的编号为</w:t>
      </w:r>
      <w:r>
        <w:rPr>
          <w:rFonts w:hint="eastAsia" w:ascii="宋体" w:hAnsi="宋体" w:cs="宋体"/>
          <w:sz w:val="24"/>
          <w:szCs w:val="24"/>
          <w:highlight w:val="none"/>
          <w:u w:val="single"/>
          <w:lang w:eastAsia="zh-CN"/>
        </w:rPr>
        <w:t xml:space="preserve">JSZC-320506111-DLHX-C2026-0006</w:t>
      </w:r>
      <w:r>
        <w:rPr>
          <w:rFonts w:hint="eastAsia" w:ascii="宋体" w:hAnsi="宋体" w:eastAsia="宋体" w:cs="宋体"/>
          <w:bCs/>
          <w:sz w:val="24"/>
          <w:szCs w:val="24"/>
          <w:highlight w:val="none"/>
          <w:u w:val="single"/>
        </w:rPr>
        <w:t xml:space="preserve">号</w:t>
      </w:r>
      <w:r>
        <w:rPr>
          <w:rFonts w:hint="eastAsia" w:ascii="宋体" w:hAnsi="宋体" w:eastAsia="宋体" w:cs="宋体"/>
          <w:sz w:val="24"/>
          <w:szCs w:val="24"/>
          <w:highlight w:val="none"/>
        </w:rPr>
        <w:t xml:space="preserve">的竞争性磋商活动。被授权人在开标、评标、合同磋商过程中所签署的一切文件和处理与这有关的一切事务，我均予以承认。</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被授权人在授权委托书有效期内签署的所有文件不因授权委托的撤销而失效，除非有撤销授权委托的书面通知，本授权委托书自响应开始至合同履行完毕止。</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被授权人无转委托权。特此委托。</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磋商响应单位：（盖章）</w:t>
      </w:r>
      <w:r/>
    </w:p>
    <w:p>
      <w:pPr>
        <w:pStyle w:val="911"/>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pStyle w:val="911"/>
        <w:jc w:val="right"/>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51"/>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4、服务人员表 </w:t>
      </w:r>
      <w:r/>
    </w:p>
    <w:p>
      <w:pPr>
        <w:ind w:firstLine="384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服务人员表</w:t>
      </w:r>
      <w:r/>
    </w:p>
    <w:p>
      <w:pPr>
        <w:jc w:val="center"/>
        <w:spacing w:line="360" w:lineRule="auto"/>
        <w:shd w:val="clear" w:color="auto"/>
        <w:rPr>
          <w:rFonts w:hint="eastAsia" w:ascii="宋体" w:hAnsi="宋体" w:eastAsia="宋体" w:cs="宋体"/>
          <w:bCs/>
          <w:spacing w:val="20"/>
          <w:sz w:val="24"/>
          <w:szCs w:val="24"/>
          <w:highlight w:val="none"/>
        </w:rPr>
      </w:pPr>
      <w:r>
        <w:rPr>
          <w:rFonts w:hint="eastAsia" w:ascii="宋体" w:hAnsi="宋体" w:eastAsia="宋体" w:cs="宋体"/>
          <w:bCs/>
          <w:spacing w:val="20"/>
          <w:sz w:val="24"/>
          <w:szCs w:val="24"/>
          <w:highlight w:val="none"/>
        </w:rPr>
      </w:r>
      <w:r/>
    </w:p>
    <w:p>
      <w:pPr>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采购编号：</w:t>
      </w:r>
      <w:r>
        <w:rPr>
          <w:rFonts w:hint="eastAsia" w:ascii="宋体" w:hAnsi="宋体" w:cs="宋体"/>
          <w:sz w:val="24"/>
          <w:szCs w:val="24"/>
          <w:highlight w:val="none"/>
          <w:lang w:eastAsia="zh-CN"/>
        </w:rPr>
        <w:t xml:space="preserve">JSZC-320506111-DLHX-C2026-0006</w:t>
      </w:r>
      <w:r/>
    </w:p>
    <w:p>
      <w:pPr>
        <w:jc w:val="left"/>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磋商响应单位（盖章）：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915"/>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岗位</w:t>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84"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注：请按以上格式自制表格填写后响应。</w:t>
      </w:r>
      <w:r/>
    </w:p>
    <w:p>
      <w:pPr>
        <w:ind w:firstLine="698"/>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98"/>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磋商响应单位：（盖章）</w:t>
      </w:r>
      <w:r/>
    </w:p>
    <w:p>
      <w:pPr>
        <w:ind w:firstLine="698"/>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法定代表人或授权委托人：（签字或盖章）</w:t>
      </w:r>
      <w:r/>
    </w:p>
    <w:p>
      <w:pPr>
        <w:ind w:firstLine="698"/>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5、类似项目业绩清单表 </w:t>
      </w:r>
      <w:r/>
    </w:p>
    <w:p>
      <w:pPr>
        <w:jc w:val="center"/>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center"/>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类似服务项目业绩清单表</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采购编号：</w:t>
      </w:r>
      <w:r>
        <w:rPr>
          <w:rFonts w:hint="eastAsia" w:ascii="宋体" w:hAnsi="宋体" w:cs="宋体"/>
          <w:sz w:val="24"/>
          <w:szCs w:val="24"/>
          <w:highlight w:val="none"/>
          <w:lang w:eastAsia="zh-CN"/>
        </w:rPr>
        <w:t xml:space="preserve">JSZC-320506111-DLHX-C2026-0006</w:t>
      </w:r>
      <w:r/>
    </w:p>
    <w:p>
      <w:pPr>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磋商响应单位（盖章）：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jc w:val="left"/>
        <w:spacing w:line="360" w:lineRule="auto"/>
        <w:shd w:val="clear" w:color="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p>
    <w:tbl>
      <w:tblPr>
        <w:tblStyle w:val="84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915"/>
        <w:gridCol w:w="918"/>
      </w:tblGrid>
      <w:tr>
        <w:trPr>
          <w:cantSplit/>
          <w:trHeight w:val="740"/>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服务范围</w:t>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tbRlV"/>
            <w:noWrap w:val="false"/>
          </w:tcPr>
          <w:p>
            <w:pPr>
              <w:ind w:left="113" w:right="113"/>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ind w:left="42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10" w:hRule="exact"/>
        </w:trPr>
        <w:tc>
          <w:tcPr>
            <w:shd w:val="clear" w:color="auto" w:fill="auto"/>
            <w:tcBorders>
              <w:top w:val="single" w:color="auto" w:sz="6" w:space="0"/>
              <w:left w:val="single" w:color="auto" w:sz="6" w:space="0"/>
              <w:bottom w:val="single" w:color="auto" w:sz="6" w:space="0"/>
              <w:right w:val="single" w:color="auto" w:sz="6" w:space="0"/>
            </w:tcBorders>
            <w:tcW w:w="897"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52"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72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4" w:space="0"/>
              <w:bottom w:val="single" w:color="auto" w:sz="6" w:space="0"/>
              <w:right w:val="single" w:color="auto" w:sz="4" w:space="0"/>
            </w:tcBorders>
            <w:tcW w:w="1915"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18" w:type="dxa"/>
            <w:vAlign w:val="center"/>
            <w:textDirection w:val="lrTb"/>
            <w:noWrap w:val="false"/>
          </w:tcPr>
          <w:p>
            <w:pPr>
              <w:jc w:val="cente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84"/>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磋商响应单位法定代表人或委托人：（签字或盖章）     日期：</w:t>
      </w:r>
      <w:r/>
    </w:p>
    <w:p>
      <w:pPr>
        <w:ind w:left="420" w:right="357" w:hanging="400"/>
        <w:spacing w:before="120"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注：磋商响应单位应提供双方签订的合同复印件。</w:t>
      </w:r>
      <w:r/>
    </w:p>
    <w:p>
      <w:pPr>
        <w:ind w:firstLine="480"/>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2530"/>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45"/>
        <w:ind w:firstLine="0"/>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6、磋商响应单位情况表</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5"/>
        <w:ind w:firstLine="480"/>
        <w:jc w:val="center"/>
        <w:spacing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磋商响应单位情况表</w:t>
      </w:r>
      <w:r/>
    </w:p>
    <w:p>
      <w:pPr>
        <w:pStyle w:val="845"/>
        <w:ind w:firstLine="480"/>
        <w:jc w:val="center"/>
        <w:spacing w:line="360" w:lineRule="auto"/>
        <w:shd w:val="clear" w:color="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u w:val="single"/>
        </w:rPr>
        <w:t xml:space="preserve">                       </w:t>
      </w:r>
      <w:r/>
    </w:p>
    <w:tbl>
      <w:tblPr>
        <w:tblStyle w:val="84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44"/>
        <w:gridCol w:w="409"/>
        <w:gridCol w:w="1403"/>
        <w:gridCol w:w="400"/>
        <w:gridCol w:w="688"/>
        <w:gridCol w:w="1147"/>
        <w:gridCol w:w="346"/>
        <w:gridCol w:w="1577"/>
      </w:tblGrid>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企业法定代表人</w:t>
            </w:r>
            <w:r/>
          </w:p>
        </w:tc>
        <w:tc>
          <w:tcPr>
            <w:gridSpan w:val="3"/>
            <w:shd w:val="clear" w:color="auto" w:fill="auto"/>
            <w:tcBorders>
              <w:top w:val="single" w:color="auto" w:sz="6" w:space="0"/>
              <w:left w:val="single" w:color="auto" w:sz="4" w:space="0"/>
              <w:bottom w:val="single" w:color="auto" w:sz="6" w:space="0"/>
              <w:right w:val="single" w:color="auto" w:sz="6" w:space="0"/>
            </w:tcBorders>
            <w:tcW w:w="2212" w:type="dxa"/>
            <w:vAlign w:val="center"/>
            <w:textDirection w:val="lrTb"/>
            <w:noWrap w:val="false"/>
          </w:tcPr>
          <w:p>
            <w:pPr>
              <w:pStyle w:val="845"/>
              <w:ind w:firstLine="48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shd w:val="clear" w:color="auto" w:fill="auto"/>
            <w:tcBorders>
              <w:top w:val="single" w:color="auto" w:sz="6" w:space="0"/>
              <w:left w:val="single" w:color="auto" w:sz="6" w:space="0"/>
              <w:bottom w:val="single" w:color="auto" w:sz="6" w:space="0"/>
              <w:right w:val="single" w:color="auto" w:sz="6" w:space="0"/>
            </w:tcBorders>
            <w:tcW w:w="1835"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公司成立日期</w:t>
            </w:r>
            <w:r/>
          </w:p>
        </w:tc>
        <w:tc>
          <w:tcPr>
            <w:gridSpan w:val="2"/>
            <w:shd w:val="clear" w:color="auto" w:fill="auto"/>
            <w:tcBorders>
              <w:top w:val="single" w:color="auto" w:sz="6" w:space="0"/>
              <w:left w:val="single" w:color="auto" w:sz="6" w:space="0"/>
              <w:bottom w:val="single" w:color="auto" w:sz="6" w:space="0"/>
              <w:right w:val="single" w:color="auto" w:sz="6" w:space="0"/>
            </w:tcBorders>
            <w:tcW w:w="1923"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总部地址</w:t>
            </w:r>
            <w:r/>
          </w:p>
        </w:tc>
        <w:tc>
          <w:tcPr>
            <w:gridSpan w:val="7"/>
            <w:shd w:val="clear" w:color="auto" w:fill="auto"/>
            <w:tcBorders>
              <w:top w:val="single" w:color="auto" w:sz="6" w:space="0"/>
              <w:left w:val="single" w:color="auto" w:sz="4" w:space="0"/>
              <w:bottom w:val="single" w:color="auto" w:sz="6" w:space="0"/>
              <w:right w:val="single" w:color="auto" w:sz="6" w:space="0"/>
            </w:tcBorders>
            <w:tcW w:w="5970" w:type="dxa"/>
            <w:vAlign w:val="center"/>
            <w:textDirection w:val="lrTb"/>
            <w:noWrap w:val="false"/>
          </w:tcPr>
          <w:p>
            <w:pPr>
              <w:pStyle w:val="845"/>
              <w:ind w:firstLine="48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当地代表处地址</w:t>
            </w:r>
            <w:r/>
          </w:p>
        </w:tc>
        <w:tc>
          <w:tcPr>
            <w:gridSpan w:val="7"/>
            <w:shd w:val="clear" w:color="auto" w:fill="auto"/>
            <w:tcBorders>
              <w:top w:val="single" w:color="auto" w:sz="6" w:space="0"/>
              <w:left w:val="single" w:color="auto" w:sz="4" w:space="0"/>
              <w:bottom w:val="single" w:color="auto" w:sz="6" w:space="0"/>
              <w:right w:val="single" w:color="auto" w:sz="6" w:space="0"/>
            </w:tcBorders>
            <w:tcW w:w="5970"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p>
        </w:tc>
        <w:tc>
          <w:tcPr>
            <w:gridSpan w:val="2"/>
            <w:shd w:val="clear" w:color="auto" w:fill="auto"/>
            <w:tcBorders>
              <w:top w:val="single" w:color="auto" w:sz="6" w:space="0"/>
              <w:left w:val="single" w:color="auto" w:sz="4" w:space="0"/>
              <w:bottom w:val="single" w:color="auto" w:sz="6" w:space="0"/>
              <w:right w:val="single" w:color="auto" w:sz="6" w:space="0"/>
            </w:tcBorders>
            <w:tcW w:w="1812"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shd w:val="clear" w:color="auto" w:fill="auto"/>
            <w:tcBorders>
              <w:top w:val="single" w:color="auto" w:sz="6" w:space="0"/>
              <w:left w:val="single" w:color="auto" w:sz="6" w:space="0"/>
              <w:bottom w:val="single" w:color="auto" w:sz="6" w:space="0"/>
              <w:right w:val="single" w:color="auto" w:sz="4" w:space="0"/>
            </w:tcBorders>
            <w:tcW w:w="1088"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p>
        </w:tc>
        <w:tc>
          <w:tcPr>
            <w:gridSpan w:val="3"/>
            <w:shd w:val="clear" w:color="auto" w:fill="auto"/>
            <w:tcBorders>
              <w:top w:val="single" w:color="auto" w:sz="6" w:space="0"/>
              <w:left w:val="single" w:color="auto" w:sz="4" w:space="0"/>
              <w:bottom w:val="single" w:color="auto" w:sz="6" w:space="0"/>
              <w:right w:val="single" w:color="auto" w:sz="6" w:space="0"/>
            </w:tcBorders>
            <w:tcW w:w="3070"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2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w:t>
            </w:r>
            <w:r/>
          </w:p>
        </w:tc>
        <w:tc>
          <w:tcPr>
            <w:gridSpan w:val="2"/>
            <w:shd w:val="clear" w:color="auto" w:fill="auto"/>
            <w:tcBorders>
              <w:top w:val="single" w:color="auto" w:sz="6" w:space="0"/>
              <w:left w:val="single" w:color="auto" w:sz="4" w:space="0"/>
              <w:bottom w:val="single" w:color="auto" w:sz="6" w:space="0"/>
              <w:right w:val="single" w:color="auto" w:sz="6" w:space="0"/>
            </w:tcBorders>
            <w:tcW w:w="1812"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shd w:val="clear" w:color="auto" w:fill="auto"/>
            <w:tcBorders>
              <w:top w:val="single" w:color="auto" w:sz="6" w:space="0"/>
              <w:left w:val="single" w:color="auto" w:sz="6" w:space="0"/>
              <w:bottom w:val="single" w:color="auto" w:sz="6" w:space="0"/>
              <w:right w:val="single" w:color="auto" w:sz="4" w:space="0"/>
            </w:tcBorders>
            <w:tcW w:w="1088"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gridSpan w:val="3"/>
            <w:shd w:val="clear" w:color="auto" w:fill="auto"/>
            <w:tcBorders>
              <w:top w:val="single" w:color="auto" w:sz="6" w:space="0"/>
              <w:left w:val="single" w:color="auto" w:sz="4" w:space="0"/>
              <w:bottom w:val="single" w:color="auto" w:sz="6" w:space="0"/>
              <w:right w:val="single" w:color="auto" w:sz="6" w:space="0"/>
            </w:tcBorders>
            <w:tcW w:w="3070"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注册地</w:t>
            </w:r>
            <w:r/>
          </w:p>
        </w:tc>
        <w:tc>
          <w:tcPr>
            <w:gridSpan w:val="2"/>
            <w:shd w:val="clear" w:color="auto" w:fill="auto"/>
            <w:tcBorders>
              <w:top w:val="single" w:color="auto" w:sz="6" w:space="0"/>
              <w:left w:val="single" w:color="auto" w:sz="4" w:space="0"/>
              <w:bottom w:val="single" w:color="auto" w:sz="6" w:space="0"/>
              <w:right w:val="single" w:color="auto" w:sz="6" w:space="0"/>
            </w:tcBorders>
            <w:tcW w:w="1812"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shd w:val="clear" w:color="auto" w:fill="auto"/>
            <w:tcBorders>
              <w:top w:val="single" w:color="auto" w:sz="6" w:space="0"/>
              <w:left w:val="single" w:color="auto" w:sz="6" w:space="0"/>
              <w:bottom w:val="single" w:color="auto" w:sz="6" w:space="0"/>
              <w:right w:val="single" w:color="auto" w:sz="4" w:space="0"/>
            </w:tcBorders>
            <w:tcW w:w="1088"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注册年份</w:t>
            </w:r>
            <w:r/>
          </w:p>
        </w:tc>
        <w:tc>
          <w:tcPr>
            <w:gridSpan w:val="3"/>
            <w:shd w:val="clear" w:color="auto" w:fill="auto"/>
            <w:tcBorders>
              <w:top w:val="single" w:color="auto" w:sz="6" w:space="0"/>
              <w:left w:val="single" w:color="auto" w:sz="4" w:space="0"/>
              <w:bottom w:val="single" w:color="auto" w:sz="6" w:space="0"/>
              <w:right w:val="single" w:color="auto" w:sz="6" w:space="0"/>
            </w:tcBorders>
            <w:tcW w:w="3070" w:type="dxa"/>
            <w:vAlign w:val="center"/>
            <w:textDirection w:val="lrTb"/>
            <w:noWrap w:val="false"/>
          </w:tcPr>
          <w:p>
            <w:pPr>
              <w:pStyle w:val="845"/>
              <w:ind w:left="437"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shd w:val="clear" w:color="auto" w:fill="auto"/>
            <w:tcBorders>
              <w:top w:val="single" w:color="auto" w:sz="6" w:space="0"/>
              <w:left w:val="single" w:color="auto" w:sz="6" w:space="0"/>
              <w:bottom w:val="single" w:color="auto" w:sz="6" w:space="0"/>
              <w:right w:val="single" w:color="auto" w:sz="4" w:space="0"/>
            </w:tcBorders>
            <w:tcW w:w="1844"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单位职工人数</w:t>
            </w:r>
            <w:r/>
          </w:p>
        </w:tc>
        <w:tc>
          <w:tcPr>
            <w:gridSpan w:val="2"/>
            <w:shd w:val="clear" w:color="auto" w:fill="auto"/>
            <w:tcBorders>
              <w:top w:val="single" w:color="auto" w:sz="6" w:space="0"/>
              <w:left w:val="single" w:color="auto" w:sz="4" w:space="0"/>
              <w:bottom w:val="single" w:color="auto" w:sz="6" w:space="0"/>
              <w:right w:val="single" w:color="auto" w:sz="6" w:space="0"/>
            </w:tcBorders>
            <w:tcW w:w="1812"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gridSpan w:val="4"/>
            <w:shd w:val="clear" w:color="auto" w:fill="auto"/>
            <w:tcBorders>
              <w:top w:val="single" w:color="auto" w:sz="6" w:space="0"/>
              <w:left w:val="single" w:color="auto" w:sz="6" w:space="0"/>
              <w:bottom w:val="single" w:color="auto" w:sz="6" w:space="0"/>
              <w:right w:val="single" w:color="auto" w:sz="4" w:space="0"/>
            </w:tcBorders>
            <w:tcW w:w="2581"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val="en-US" w:eastAsia="zh-CN"/>
              </w:rPr>
              <w:t xml:space="preserve">近一年</w:t>
            </w:r>
            <w:r>
              <w:rPr>
                <w:rFonts w:hint="eastAsia" w:ascii="宋体" w:hAnsi="宋体" w:eastAsia="宋体" w:cs="宋体"/>
                <w:sz w:val="24"/>
                <w:szCs w:val="24"/>
                <w:highlight w:val="none"/>
              </w:rPr>
              <w:t xml:space="preserve">总营业收入</w:t>
            </w:r>
            <w:r/>
          </w:p>
        </w:tc>
        <w:tc>
          <w:tcPr>
            <w:shd w:val="clear" w:color="auto" w:fill="auto"/>
            <w:tcBorders>
              <w:top w:val="single" w:color="auto" w:sz="6" w:space="0"/>
              <w:left w:val="single" w:color="auto" w:sz="4" w:space="0"/>
              <w:bottom w:val="single" w:color="auto" w:sz="6" w:space="0"/>
              <w:right w:val="single" w:color="auto" w:sz="6" w:space="0"/>
            </w:tcBorders>
            <w:tcW w:w="1577"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r>
      <w:tr>
        <w:trPr>
          <w:cantSplit/>
          <w:trHeight w:val="645"/>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gridSpan w:val="8"/>
            <w:shd w:val="clear" w:color="auto" w:fill="auto"/>
            <w:tcBorders>
              <w:top w:val="single" w:color="auto" w:sz="6" w:space="0"/>
              <w:left w:val="single" w:color="auto" w:sz="6" w:space="0"/>
              <w:bottom w:val="single" w:color="auto" w:sz="6" w:space="0"/>
              <w:right w:val="single" w:color="auto" w:sz="6" w:space="0"/>
            </w:tcBorders>
            <w:tcW w:w="7814"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企业或社会团体办公场所的面积：</w:t>
            </w:r>
            <w:r/>
          </w:p>
        </w:tc>
      </w:tr>
      <w:tr>
        <w:trPr>
          <w:trHeight w:val="1767"/>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gridSpan w:val="8"/>
            <w:shd w:val="clear" w:color="auto" w:fill="auto"/>
            <w:tcBorders>
              <w:top w:val="single" w:color="auto" w:sz="6" w:space="0"/>
              <w:left w:val="single" w:color="auto" w:sz="6" w:space="0"/>
              <w:bottom w:val="single" w:color="auto" w:sz="6" w:space="0"/>
              <w:right w:val="single" w:color="auto" w:sz="6" w:space="0"/>
            </w:tcBorders>
            <w:tcW w:w="7814" w:type="dxa"/>
            <w:vAlign w:val="center"/>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主营范围</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1、_____________________________________</w:t>
            </w:r>
            <w:r/>
          </w:p>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____________________________________</w:t>
            </w:r>
            <w:r/>
          </w:p>
        </w:tc>
      </w:tr>
      <w:tr>
        <w:trPr>
          <w:trHeight w:val="1013"/>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gridSpan w:val="2"/>
            <w:shd w:val="clear" w:color="auto" w:fill="auto"/>
            <w:tcBorders>
              <w:top w:val="single" w:color="auto" w:sz="6" w:space="0"/>
              <w:left w:val="single" w:color="auto" w:sz="6" w:space="0"/>
              <w:bottom w:val="single" w:color="auto" w:sz="6" w:space="0"/>
              <w:right w:val="single" w:color="auto" w:sz="6" w:space="0"/>
            </w:tcBorders>
            <w:tcW w:w="2253" w:type="dxa"/>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w:t>
            </w:r>
            <w:r/>
          </w:p>
        </w:tc>
        <w:tc>
          <w:tcPr>
            <w:gridSpan w:val="6"/>
            <w:shd w:val="clear" w:color="auto" w:fill="auto"/>
            <w:tcBorders>
              <w:top w:val="single" w:color="auto" w:sz="6" w:space="0"/>
              <w:left w:val="single" w:color="auto" w:sz="6" w:space="0"/>
              <w:bottom w:val="single" w:color="auto" w:sz="6" w:space="0"/>
              <w:right w:val="single" w:color="auto" w:sz="6" w:space="0"/>
            </w:tcBorders>
            <w:tcW w:w="5561" w:type="dxa"/>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8"/>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gridSpan w:val="2"/>
            <w:shd w:val="clear" w:color="auto" w:fill="auto"/>
            <w:tcBorders>
              <w:top w:val="single" w:color="auto" w:sz="6" w:space="0"/>
              <w:left w:val="single" w:color="auto" w:sz="6" w:space="0"/>
              <w:bottom w:val="single" w:color="auto" w:sz="6" w:space="0"/>
              <w:right w:val="single" w:color="auto" w:sz="6" w:space="0"/>
            </w:tcBorders>
            <w:tcW w:w="2253" w:type="dxa"/>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w:t>
            </w:r>
            <w:r/>
          </w:p>
        </w:tc>
        <w:tc>
          <w:tcPr>
            <w:gridSpan w:val="6"/>
            <w:shd w:val="clear" w:color="auto" w:fill="auto"/>
            <w:tcBorders>
              <w:top w:val="single" w:color="auto" w:sz="6" w:space="0"/>
              <w:left w:val="single" w:color="auto" w:sz="6" w:space="0"/>
              <w:bottom w:val="single" w:color="auto" w:sz="6" w:space="0"/>
              <w:right w:val="single" w:color="auto" w:sz="6" w:space="0"/>
            </w:tcBorders>
            <w:tcW w:w="5561" w:type="dxa"/>
            <w:textDirection w:val="lrTb"/>
            <w:noWrap w:val="false"/>
          </w:tcPr>
          <w:p>
            <w:pPr>
              <w:pStyle w:val="845"/>
              <w:ind w:firstLine="48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8"/>
        </w:trPr>
        <w:tc>
          <w:tcPr>
            <w:shd w:val="clear" w:color="auto" w:fill="auto"/>
            <w:tcBorders>
              <w:top w:val="single" w:color="auto" w:sz="6" w:space="0"/>
              <w:left w:val="single" w:color="auto" w:sz="6" w:space="0"/>
              <w:bottom w:val="single" w:color="auto" w:sz="6" w:space="0"/>
              <w:right w:val="single" w:color="auto" w:sz="6" w:space="0"/>
            </w:tcBorders>
            <w:tcW w:w="548" w:type="dxa"/>
            <w:vAlign w:val="center"/>
            <w:textDirection w:val="lrTb"/>
            <w:noWrap w:val="false"/>
          </w:tcPr>
          <w:p>
            <w:pPr>
              <w:pStyle w:val="845"/>
              <w:ind w:firstLine="0"/>
              <w:jc w:val="center"/>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gridSpan w:val="8"/>
            <w:shd w:val="clear" w:color="auto" w:fill="auto"/>
            <w:tcBorders>
              <w:top w:val="single" w:color="auto" w:sz="6" w:space="0"/>
              <w:left w:val="single" w:color="auto" w:sz="6" w:space="0"/>
              <w:bottom w:val="single" w:color="auto" w:sz="6" w:space="0"/>
              <w:right w:val="single" w:color="auto" w:sz="6" w:space="0"/>
            </w:tcBorders>
            <w:tcW w:w="7814" w:type="dxa"/>
            <w:vAlign w:val="center"/>
            <w:textDirection w:val="lrTb"/>
            <w:noWrap w:val="false"/>
          </w:tcPr>
          <w:p>
            <w:pPr>
              <w:pStyle w:val="845"/>
              <w:ind w:firstLine="0"/>
              <w:spacing w:line="360" w:lineRule="auto"/>
              <w:shd w:val="clear" w:color="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tc>
      </w:tr>
    </w:tbl>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45"/>
        <w:ind w:firstLine="0"/>
        <w:spacing w:line="360" w:lineRule="auto"/>
        <w:shd w:val="clear" w:color="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7.中小企业声明函 </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 企业发展管理办法》（财库﹝2020﹞46 号）的规定，本公司 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采购活动，服务全部由符合政策要求的中小企业承接。相关企业的具体情 况如下： </w:t>
      </w:r>
      <w:r/>
    </w:p>
    <w:p>
      <w:pPr>
        <w:numPr>
          <w:ilvl w:val="0"/>
          <w:numId w:val="3"/>
        </w:num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（项目名称）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（所属行业）</w:t>
      </w:r>
      <w:r>
        <w:rPr>
          <w:rFonts w:hint="eastAsia" w:ascii="宋体" w:hAnsi="宋体" w:eastAsia="宋体" w:cs="宋体"/>
          <w:sz w:val="24"/>
          <w:szCs w:val="24"/>
          <w:highlight w:val="none"/>
        </w:rPr>
        <w:t xml:space="preserve">；承接企业为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             </w:t>
      </w:r>
      <w:r/>
    </w:p>
    <w:p>
      <w:pPr>
        <w:numPr>
          <w:ilvl w:val="0"/>
          <w:numId w:val="3"/>
        </w:num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 形。 </w:t>
      </w:r>
      <w:r/>
    </w:p>
    <w:p>
      <w:pPr>
        <w:numPr>
          <w:ilvl w:val="0"/>
          <w:numId w:val="3"/>
        </w:num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 法承担相应责任。</w:t>
      </w:r>
      <w:r/>
    </w:p>
    <w:p>
      <w:pPr>
        <w:ind w:firstLine="480"/>
        <w:jc w:val="left"/>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注：从业人员、营业收入、资产总额填报上一年度数据，无上一年度数据的新成立企业可不填报。</w:t>
      </w:r>
      <w:r/>
    </w:p>
    <w:p>
      <w:pPr>
        <w:spacing w:line="360" w:lineRule="auto"/>
        <w:shd w:val="clear" w:color="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8、</w:t>
      </w:r>
      <w:r>
        <w:rPr>
          <w:rFonts w:hint="eastAsia" w:ascii="宋体" w:hAnsi="宋体" w:eastAsia="宋体" w:cs="宋体"/>
          <w:b/>
          <w:sz w:val="24"/>
          <w:szCs w:val="24"/>
          <w:highlight w:val="none"/>
        </w:rPr>
        <w:t xml:space="preserve">残疾人福利性单位声明函 </w:t>
      </w:r>
      <w:r/>
    </w:p>
    <w:p>
      <w:pPr>
        <w:pStyle w:val="860"/>
        <w:jc w:val="center"/>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0"/>
        <w:jc w:val="center"/>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残疾人福利性单位声明函</w:t>
      </w:r>
      <w:r/>
    </w:p>
    <w:p>
      <w:pPr>
        <w:pStyle w:val="860"/>
        <w:jc w:val="center"/>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0"/>
        <w:ind w:firstLine="48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6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pStyle w:val="860"/>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60"/>
        <w:jc w:val="right"/>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r/>
    </w:p>
    <w:p>
      <w:pPr>
        <w:pStyle w:val="860"/>
        <w:jc w:val="right"/>
        <w:spacing w:beforeAutospacing="0" w:afterAutospacing="0"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p>
    <w:p>
      <w:pPr>
        <w:spacing w:line="360" w:lineRule="auto"/>
        <w:shd w:val="clear" w:color="auto"/>
        <w:tabs>
          <w:tab w:val="left" w:pos="399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r/>
    </w:p>
    <w:p>
      <w:pPr>
        <w:pStyle w:val="845"/>
        <w:ind w:firstLine="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9、偏离表（技术、商务）：</w:t>
      </w:r>
      <w:r>
        <w:rPr>
          <w:rFonts w:hint="eastAsia" w:ascii="宋体" w:hAnsi="宋体" w:eastAsia="宋体" w:cs="宋体"/>
          <w:sz w:val="24"/>
          <w:szCs w:val="24"/>
          <w:highlight w:val="none"/>
          <w:lang w:val="en-US" w:eastAsia="zh-CN" w:bidi="ar-SA"/>
        </w:rPr>
        <w:t xml:space="preserve">要求对商务及技术中所有偏离进行列明</w:t>
      </w:r>
      <w:r/>
    </w:p>
    <w:tbl>
      <w:tblPr>
        <w:tblStyle w:val="84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15"/>
        <w:gridCol w:w="2413"/>
        <w:gridCol w:w="2416"/>
        <w:gridCol w:w="2415"/>
      </w:tblGrid>
      <w:tr>
        <w:trPr>
          <w:trHeight w:val="594"/>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招标要求</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投标内容</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偏离说明</w:t>
            </w:r>
            <w:r/>
          </w:p>
        </w:tc>
      </w:tr>
      <w:tr>
        <w:trPr>
          <w:trHeight w:val="594"/>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商务偏离</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技术偏离</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r>
      <w:tr>
        <w:trPr>
          <w:trHeight w:val="594"/>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r>
      <w:tr>
        <w:trPr>
          <w:trHeight w:val="616"/>
        </w:trPr>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3"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6"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15" w:type="dxa"/>
            <w:vAlign w:val="top"/>
            <w:textDirection w:val="lrTb"/>
            <w:noWrap w:val="false"/>
          </w:tcPr>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tc>
      </w:tr>
    </w:tbl>
    <w:p>
      <w:pPr>
        <w:pStyle w:val="84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投标人（盖公章）：</w:t>
      </w:r>
      <w:r/>
    </w:p>
    <w:p>
      <w:pPr>
        <w:jc w:val="center"/>
        <w:spacing w:line="360" w:lineRule="auto"/>
        <w:shd w:val="clear" w:color="auto"/>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bidi="ar-SA"/>
        </w:rPr>
        <w:t xml:space="preserve">法定代表人或被授权人（签字或盖章）：                  年  月  日</w:t>
      </w:r>
      <w:r/>
    </w:p>
    <w:p>
      <w:pPr>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（全文完）</w:t>
      </w:r>
      <w:r/>
    </w:p>
    <w:sectPr>
      <w:headerReference w:type="default" r:id="rId9"/>
      <w:footerReference w:type="default" r:id="rId10"/>
      <w:footnotePr/>
      <w:endnotePr/>
      <w:type w:val="nextPage"/>
      <w:pgSz w:w="11906" w:h="16838" w:orient="portrait"/>
      <w:pgMar w:top="1440" w:right="1286" w:bottom="1440" w:left="138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both"/>
      <w:rPr>
        <w:rFonts w:hint="eastAsia" w:eastAsia="宋体"/>
        <w:b/>
        <w:lang w:eastAsia="zh-CN"/>
      </w:rPr>
    </w:pPr>
    <w:r>
      <w:rPr>
        <w:rFonts w:hint="eastAsia"/>
        <w:b/>
      </w:rPr>
      <w:t xml:space="preserve">苏州华厦招投标代理有限公司竞争性磋商文件                                </w:t>
    </w:r>
    <w:r>
      <w:rPr>
        <w:rFonts w:hint="eastAsia"/>
        <w:b/>
        <w:lang w:eastAsia="zh-CN"/>
      </w:rPr>
      <w:t xml:space="preserve">JSZC-320506111-DLHX-C2026-0006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5"/>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88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3">
    <w:name w:val="Heading 1 Char"/>
    <w:basedOn w:val="843"/>
    <w:link w:val="839"/>
    <w:uiPriority w:val="9"/>
    <w:rPr>
      <w:rFonts w:ascii="Arial" w:hAnsi="Arial" w:eastAsia="Arial" w:cs="Arial"/>
      <w:sz w:val="40"/>
      <w:szCs w:val="40"/>
    </w:rPr>
  </w:style>
  <w:style w:type="character" w:styleId="674">
    <w:name w:val="Heading 2 Char"/>
    <w:basedOn w:val="843"/>
    <w:link w:val="840"/>
    <w:uiPriority w:val="9"/>
    <w:rPr>
      <w:rFonts w:ascii="Arial" w:hAnsi="Arial" w:eastAsia="Arial" w:cs="Arial"/>
      <w:sz w:val="34"/>
    </w:rPr>
  </w:style>
  <w:style w:type="character" w:styleId="675">
    <w:name w:val="Heading 3 Char"/>
    <w:basedOn w:val="843"/>
    <w:link w:val="841"/>
    <w:uiPriority w:val="9"/>
    <w:rPr>
      <w:rFonts w:ascii="Arial" w:hAnsi="Arial" w:eastAsia="Arial" w:cs="Arial"/>
      <w:sz w:val="30"/>
      <w:szCs w:val="30"/>
    </w:rPr>
  </w:style>
  <w:style w:type="paragraph" w:styleId="676">
    <w:name w:val="Heading 4"/>
    <w:basedOn w:val="838"/>
    <w:next w:val="83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basedOn w:val="843"/>
    <w:link w:val="676"/>
    <w:uiPriority w:val="9"/>
    <w:rPr>
      <w:rFonts w:ascii="Arial" w:hAnsi="Arial" w:eastAsia="Arial" w:cs="Arial"/>
      <w:b/>
      <w:bCs/>
      <w:sz w:val="26"/>
      <w:szCs w:val="26"/>
    </w:rPr>
  </w:style>
  <w:style w:type="paragraph" w:styleId="678">
    <w:name w:val="Heading 5"/>
    <w:basedOn w:val="838"/>
    <w:next w:val="83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basedOn w:val="843"/>
    <w:link w:val="678"/>
    <w:uiPriority w:val="9"/>
    <w:rPr>
      <w:rFonts w:ascii="Arial" w:hAnsi="Arial" w:eastAsia="Arial" w:cs="Arial"/>
      <w:b/>
      <w:bCs/>
      <w:sz w:val="24"/>
      <w:szCs w:val="24"/>
    </w:rPr>
  </w:style>
  <w:style w:type="character" w:styleId="680">
    <w:name w:val="Heading 6 Char"/>
    <w:basedOn w:val="843"/>
    <w:link w:val="842"/>
    <w:uiPriority w:val="9"/>
    <w:rPr>
      <w:rFonts w:ascii="Arial" w:hAnsi="Arial" w:eastAsia="Arial" w:cs="Arial"/>
      <w:b/>
      <w:bCs/>
      <w:sz w:val="22"/>
      <w:szCs w:val="22"/>
    </w:rPr>
  </w:style>
  <w:style w:type="paragraph" w:styleId="681">
    <w:name w:val="Heading 7"/>
    <w:basedOn w:val="838"/>
    <w:next w:val="838"/>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3"/>
    <w:link w:val="681"/>
    <w:uiPriority w:val="9"/>
    <w:rPr>
      <w:rFonts w:ascii="Arial" w:hAnsi="Arial" w:eastAsia="Arial" w:cs="Arial"/>
      <w:b/>
      <w:bCs/>
      <w:i/>
      <w:iCs/>
      <w:sz w:val="22"/>
      <w:szCs w:val="22"/>
    </w:rPr>
  </w:style>
  <w:style w:type="paragraph" w:styleId="683">
    <w:name w:val="Heading 8"/>
    <w:basedOn w:val="838"/>
    <w:next w:val="838"/>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3"/>
    <w:link w:val="683"/>
    <w:uiPriority w:val="9"/>
    <w:rPr>
      <w:rFonts w:ascii="Arial" w:hAnsi="Arial" w:eastAsia="Arial" w:cs="Arial"/>
      <w:i/>
      <w:iCs/>
      <w:sz w:val="22"/>
      <w:szCs w:val="22"/>
    </w:rPr>
  </w:style>
  <w:style w:type="paragraph" w:styleId="685">
    <w:name w:val="Heading 9"/>
    <w:basedOn w:val="838"/>
    <w:next w:val="838"/>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3"/>
    <w:link w:val="685"/>
    <w:uiPriority w:val="9"/>
    <w:rPr>
      <w:rFonts w:ascii="Arial" w:hAnsi="Arial" w:eastAsia="Arial" w:cs="Arial"/>
      <w:i/>
      <w:iCs/>
      <w:sz w:val="21"/>
      <w:szCs w:val="21"/>
    </w:rPr>
  </w:style>
  <w:style w:type="paragraph" w:styleId="687">
    <w:name w:val="No Spacing"/>
    <w:uiPriority w:val="1"/>
    <w:qFormat/>
    <w:pPr>
      <w:spacing w:before="0" w:after="0" w:line="240" w:lineRule="auto"/>
    </w:pPr>
  </w:style>
  <w:style w:type="character" w:styleId="688">
    <w:name w:val="Title Char"/>
    <w:basedOn w:val="843"/>
    <w:link w:val="861"/>
    <w:uiPriority w:val="10"/>
    <w:rPr>
      <w:sz w:val="48"/>
      <w:szCs w:val="48"/>
    </w:rPr>
  </w:style>
  <w:style w:type="paragraph" w:styleId="689">
    <w:name w:val="Subtitle"/>
    <w:basedOn w:val="838"/>
    <w:next w:val="838"/>
    <w:link w:val="690"/>
    <w:uiPriority w:val="11"/>
    <w:qFormat/>
    <w:pPr>
      <w:spacing w:before="200" w:after="200"/>
    </w:pPr>
    <w:rPr>
      <w:sz w:val="24"/>
      <w:szCs w:val="24"/>
    </w:rPr>
  </w:style>
  <w:style w:type="character" w:styleId="690">
    <w:name w:val="Subtitle Char"/>
    <w:basedOn w:val="843"/>
    <w:link w:val="689"/>
    <w:uiPriority w:val="11"/>
    <w:rPr>
      <w:sz w:val="24"/>
      <w:szCs w:val="24"/>
    </w:rPr>
  </w:style>
  <w:style w:type="paragraph" w:styleId="691">
    <w:name w:val="Quote"/>
    <w:basedOn w:val="838"/>
    <w:next w:val="838"/>
    <w:link w:val="692"/>
    <w:uiPriority w:val="29"/>
    <w:qFormat/>
    <w:pPr>
      <w:ind w:left="720" w:right="720"/>
    </w:pPr>
    <w:rPr>
      <w:i/>
    </w:rPr>
  </w:style>
  <w:style w:type="character" w:styleId="692">
    <w:name w:val="Quote Char"/>
    <w:link w:val="691"/>
    <w:uiPriority w:val="29"/>
    <w:rPr>
      <w:i/>
    </w:rPr>
  </w:style>
  <w:style w:type="paragraph" w:styleId="693">
    <w:name w:val="Intense Quote"/>
    <w:basedOn w:val="838"/>
    <w:next w:val="838"/>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3"/>
    <w:link w:val="856"/>
    <w:uiPriority w:val="99"/>
  </w:style>
  <w:style w:type="character" w:styleId="696">
    <w:name w:val="Footer Char"/>
    <w:basedOn w:val="843"/>
    <w:link w:val="855"/>
    <w:uiPriority w:val="99"/>
  </w:style>
  <w:style w:type="paragraph" w:styleId="697">
    <w:name w:val="Caption"/>
    <w:basedOn w:val="838"/>
    <w:next w:val="838"/>
    <w:uiPriority w:val="35"/>
    <w:semiHidden/>
    <w:unhideWhenUsed/>
    <w:qFormat/>
    <w:pPr>
      <w:spacing w:line="276" w:lineRule="auto"/>
    </w:pPr>
    <w:rPr>
      <w:b/>
      <w:bCs/>
      <w:color w:val="4f81bd" w:themeColor="accent1"/>
      <w:sz w:val="18"/>
      <w:szCs w:val="18"/>
    </w:rPr>
  </w:style>
  <w:style w:type="character" w:styleId="698">
    <w:name w:val="Caption Char"/>
    <w:basedOn w:val="697"/>
    <w:link w:val="855"/>
    <w:uiPriority w:val="99"/>
  </w:style>
  <w:style w:type="table" w:styleId="699">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Footnote Text Char"/>
    <w:link w:val="857"/>
    <w:uiPriority w:val="99"/>
    <w:rPr>
      <w:sz w:val="18"/>
    </w:rPr>
  </w:style>
  <w:style w:type="paragraph" w:styleId="825">
    <w:name w:val="endnote text"/>
    <w:basedOn w:val="838"/>
    <w:link w:val="826"/>
    <w:uiPriority w:val="99"/>
    <w:semiHidden/>
    <w:unhideWhenUsed/>
    <w:pPr>
      <w:spacing w:after="0" w:line="240" w:lineRule="auto"/>
    </w:pPr>
    <w:rPr>
      <w:sz w:val="20"/>
    </w:rPr>
  </w:style>
  <w:style w:type="character" w:styleId="826">
    <w:name w:val="Endnote Text Char"/>
    <w:link w:val="825"/>
    <w:uiPriority w:val="99"/>
    <w:rPr>
      <w:sz w:val="20"/>
    </w:rPr>
  </w:style>
  <w:style w:type="character" w:styleId="827">
    <w:name w:val="endnote reference"/>
    <w:basedOn w:val="843"/>
    <w:uiPriority w:val="99"/>
    <w:semiHidden/>
    <w:unhideWhenUsed/>
    <w:rPr>
      <w:vertAlign w:val="superscript"/>
    </w:rPr>
  </w:style>
  <w:style w:type="paragraph" w:styleId="828">
    <w:name w:val="toc 1"/>
    <w:basedOn w:val="838"/>
    <w:next w:val="838"/>
    <w:uiPriority w:val="39"/>
    <w:unhideWhenUsed/>
    <w:pPr>
      <w:ind w:left="0"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39">
    <w:name w:val="Heading 1"/>
    <w:basedOn w:val="838"/>
    <w:next w:val="838"/>
    <w:link w:val="897"/>
    <w:uiPriority w:val="0"/>
    <w:qFormat/>
    <w:pPr>
      <w:jc w:val="center"/>
      <w:keepLines/>
      <w:keepNext/>
      <w:tabs>
        <w:tab w:val="left" w:pos="1134" w:leader="none"/>
      </w:tabs>
      <w:outlineLvl w:val="0"/>
    </w:pPr>
    <w:rPr>
      <w:rFonts w:ascii="宋体" w:hAnsi="宋体"/>
      <w:b/>
      <w:sz w:val="24"/>
      <w:szCs w:val="20"/>
    </w:rPr>
  </w:style>
  <w:style w:type="paragraph" w:styleId="840">
    <w:name w:val="Heading 2"/>
    <w:basedOn w:val="838"/>
    <w:next w:val="838"/>
    <w:link w:val="905"/>
    <w:uiPriority w:val="0"/>
    <w:qFormat/>
    <w:pPr>
      <w:keepLines/>
      <w:keepNext/>
      <w:spacing w:before="260" w:after="260" w:line="416" w:lineRule="auto"/>
      <w:outlineLvl w:val="1"/>
    </w:pPr>
    <w:rPr>
      <w:rFonts w:ascii="Arial" w:hAnsi="Arial" w:eastAsia="黑体"/>
      <w:b/>
      <w:bCs/>
      <w:sz w:val="32"/>
      <w:szCs w:val="32"/>
    </w:rPr>
  </w:style>
  <w:style w:type="paragraph" w:styleId="841">
    <w:name w:val="Heading 3"/>
    <w:basedOn w:val="838"/>
    <w:next w:val="838"/>
    <w:uiPriority w:val="0"/>
    <w:qFormat/>
    <w:pPr>
      <w:keepLines/>
      <w:keepNext/>
      <w:spacing w:line="360" w:lineRule="auto"/>
      <w:outlineLvl w:val="2"/>
    </w:pPr>
    <w:rPr>
      <w:b/>
      <w:bCs/>
      <w:sz w:val="26"/>
      <w:szCs w:val="26"/>
    </w:rPr>
  </w:style>
  <w:style w:type="paragraph" w:styleId="842">
    <w:name w:val="Heading 6"/>
    <w:basedOn w:val="838"/>
    <w:next w:val="838"/>
    <w:link w:val="899"/>
    <w:uiPriority w:val="0"/>
    <w:qFormat/>
    <w:pPr>
      <w:keepLines/>
      <w:keepNext/>
      <w:spacing w:before="240" w:after="64" w:line="320" w:lineRule="auto"/>
      <w:outlineLvl w:val="5"/>
    </w:pPr>
    <w:rPr>
      <w:rFonts w:ascii="Arial" w:hAnsi="Arial" w:eastAsia="黑体"/>
      <w:b/>
      <w:bCs/>
      <w:sz w:val="24"/>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Normal Indent"/>
    <w:basedOn w:val="838"/>
    <w:next w:val="838"/>
    <w:uiPriority w:val="0"/>
    <w:qFormat/>
    <w:pPr>
      <w:ind w:firstLine="420"/>
      <w:jc w:val="left"/>
    </w:pPr>
    <w:rPr>
      <w:rFonts w:eastAsia="楷体_GB2312"/>
      <w:sz w:val="24"/>
      <w:szCs w:val="20"/>
    </w:rPr>
  </w:style>
  <w:style w:type="paragraph" w:styleId="846">
    <w:name w:val="Document Map"/>
    <w:basedOn w:val="838"/>
    <w:link w:val="904"/>
    <w:uiPriority w:val="0"/>
    <w:qFormat/>
    <w:rPr>
      <w:rFonts w:ascii="宋体"/>
      <w:sz w:val="18"/>
      <w:szCs w:val="18"/>
    </w:rPr>
  </w:style>
  <w:style w:type="paragraph" w:styleId="847">
    <w:name w:val="annotation text"/>
    <w:basedOn w:val="838"/>
    <w:link w:val="898"/>
    <w:uiPriority w:val="0"/>
    <w:qFormat/>
    <w:pPr>
      <w:jc w:val="left"/>
    </w:pPr>
  </w:style>
  <w:style w:type="paragraph" w:styleId="848">
    <w:name w:val="Body Text"/>
    <w:basedOn w:val="838"/>
    <w:next w:val="845"/>
    <w:uiPriority w:val="0"/>
    <w:qFormat/>
    <w:pPr>
      <w:tabs>
        <w:tab w:val="left" w:pos="5250" w:leader="none"/>
      </w:tabs>
    </w:pPr>
    <w:rPr>
      <w:sz w:val="28"/>
    </w:rPr>
  </w:style>
  <w:style w:type="paragraph" w:styleId="849">
    <w:name w:val="Body Text Indent"/>
    <w:basedOn w:val="838"/>
    <w:next w:val="838"/>
    <w:uiPriority w:val="0"/>
    <w:qFormat/>
    <w:pPr>
      <w:ind w:left="570"/>
      <w:spacing w:line="520" w:lineRule="exact"/>
    </w:pPr>
    <w:rPr>
      <w:rFonts w:ascii="方正仿宋简体" w:hAnsi="创艺简仿宋" w:eastAsia="方正仿宋简体"/>
      <w:sz w:val="24"/>
      <w:szCs w:val="20"/>
    </w:rPr>
  </w:style>
  <w:style w:type="paragraph" w:styleId="850">
    <w:name w:val="List 2"/>
    <w:basedOn w:val="838"/>
    <w:uiPriority w:val="0"/>
    <w:qFormat/>
    <w:pPr>
      <w:ind w:left="100" w:hanging="200"/>
    </w:pPr>
  </w:style>
  <w:style w:type="paragraph" w:styleId="851">
    <w:name w:val="Plain Text"/>
    <w:basedOn w:val="838"/>
    <w:link w:val="902"/>
    <w:uiPriority w:val="0"/>
    <w:qFormat/>
    <w:rPr>
      <w:rFonts w:ascii="宋体" w:hAnsi="Courier New" w:eastAsia="楷体_GB2312"/>
      <w:sz w:val="28"/>
      <w:szCs w:val="20"/>
    </w:rPr>
  </w:style>
  <w:style w:type="paragraph" w:styleId="852">
    <w:name w:val="Date"/>
    <w:basedOn w:val="838"/>
    <w:next w:val="838"/>
    <w:uiPriority w:val="0"/>
    <w:qFormat/>
    <w:pPr>
      <w:ind w:left="100"/>
    </w:pPr>
    <w:rPr>
      <w:sz w:val="28"/>
    </w:rPr>
  </w:style>
  <w:style w:type="paragraph" w:styleId="853">
    <w:name w:val="Body Text Indent 2"/>
    <w:basedOn w:val="838"/>
    <w:uiPriority w:val="0"/>
    <w:qFormat/>
    <w:pPr>
      <w:ind w:firstLine="570"/>
      <w:spacing w:line="520" w:lineRule="exact"/>
    </w:pPr>
    <w:rPr>
      <w:rFonts w:ascii="方正仿宋简体" w:hAnsi="创艺简仿宋" w:eastAsia="方正仿宋简体"/>
      <w:bCs/>
      <w:sz w:val="24"/>
      <w:szCs w:val="20"/>
    </w:rPr>
  </w:style>
  <w:style w:type="paragraph" w:styleId="854">
    <w:name w:val="Balloon Text"/>
    <w:basedOn w:val="838"/>
    <w:uiPriority w:val="0"/>
    <w:semiHidden/>
    <w:qFormat/>
    <w:rPr>
      <w:sz w:val="18"/>
      <w:szCs w:val="18"/>
    </w:rPr>
  </w:style>
  <w:style w:type="paragraph" w:styleId="855">
    <w:name w:val="Footer"/>
    <w:basedOn w:val="838"/>
    <w:uiPriority w:val="0"/>
    <w:qFormat/>
    <w:pPr>
      <w:jc w:val="left"/>
      <w:tabs>
        <w:tab w:val="center" w:pos="4153" w:leader="none"/>
        <w:tab w:val="right" w:pos="8306" w:leader="none"/>
      </w:tabs>
    </w:pPr>
    <w:rPr>
      <w:sz w:val="18"/>
      <w:szCs w:val="18"/>
    </w:rPr>
  </w:style>
  <w:style w:type="paragraph" w:styleId="856">
    <w:name w:val="Header"/>
    <w:basedOn w:val="838"/>
    <w:uiPriority w:val="0"/>
    <w:qFormat/>
    <w:pPr>
      <w:jc w:val="center"/>
      <w:tabs>
        <w:tab w:val="center" w:pos="4153" w:leader="none"/>
        <w:tab w:val="right" w:pos="8306" w:leader="none"/>
      </w:tabs>
      <w:pBdr>
        <w:bottom w:val="single" w:color="auto" w:sz="6" w:space="1"/>
      </w:pBdr>
    </w:pPr>
    <w:rPr>
      <w:sz w:val="18"/>
      <w:szCs w:val="18"/>
    </w:rPr>
  </w:style>
  <w:style w:type="paragraph" w:styleId="857">
    <w:name w:val="footnote text"/>
    <w:basedOn w:val="838"/>
    <w:uiPriority w:val="0"/>
    <w:qFormat/>
    <w:pPr>
      <w:jc w:val="left"/>
    </w:pPr>
    <w:rPr>
      <w:sz w:val="18"/>
      <w:szCs w:val="18"/>
    </w:rPr>
  </w:style>
  <w:style w:type="paragraph" w:styleId="858">
    <w:name w:val="Body Text Indent 3"/>
    <w:basedOn w:val="838"/>
    <w:uiPriority w:val="0"/>
    <w:qFormat/>
    <w:pPr>
      <w:ind w:left="420"/>
      <w:spacing w:after="120"/>
    </w:pPr>
    <w:rPr>
      <w:sz w:val="16"/>
      <w:szCs w:val="16"/>
    </w:rPr>
  </w:style>
  <w:style w:type="paragraph" w:styleId="859">
    <w:name w:val="toc 2"/>
    <w:basedOn w:val="838"/>
    <w:next w:val="838"/>
    <w:uiPriority w:val="39"/>
    <w:qFormat/>
    <w:pPr>
      <w:ind w:left="210"/>
      <w:jc w:val="left"/>
    </w:pPr>
    <w:rPr>
      <w:rFonts w:ascii="Times New Roman" w:hAnsi="Times New Roman"/>
      <w:smallCaps/>
      <w:sz w:val="20"/>
      <w:szCs w:val="20"/>
    </w:rPr>
  </w:style>
  <w:style w:type="paragraph" w:styleId="860">
    <w:name w:val="Normal (Web)"/>
    <w:basedOn w:val="838"/>
    <w:uiPriority w:val="99"/>
    <w:unhideWhenUsed/>
    <w:qFormat/>
    <w:pPr>
      <w:jc w:val="left"/>
      <w:spacing w:before="100" w:beforeAutospacing="1" w:after="100" w:afterAutospacing="1"/>
      <w:widowControl/>
    </w:pPr>
    <w:rPr>
      <w:rFonts w:ascii="宋体" w:hAnsi="宋体" w:cs="宋体"/>
      <w:sz w:val="24"/>
    </w:rPr>
  </w:style>
  <w:style w:type="paragraph" w:styleId="861">
    <w:name w:val="Title"/>
    <w:basedOn w:val="838"/>
    <w:next w:val="838"/>
    <w:uiPriority w:val="0"/>
    <w:qFormat/>
    <w:pPr>
      <w:jc w:val="center"/>
      <w:spacing w:before="240" w:after="60"/>
      <w:outlineLvl w:val="0"/>
    </w:pPr>
    <w:rPr>
      <w:rFonts w:ascii="Arial" w:hAnsi="Arial"/>
      <w:b/>
      <w:sz w:val="32"/>
    </w:rPr>
  </w:style>
  <w:style w:type="paragraph" w:styleId="862">
    <w:name w:val="annotation subject"/>
    <w:basedOn w:val="847"/>
    <w:next w:val="847"/>
    <w:link w:val="903"/>
    <w:uiPriority w:val="0"/>
    <w:qFormat/>
    <w:rPr>
      <w:b/>
      <w:bCs/>
    </w:rPr>
  </w:style>
  <w:style w:type="paragraph" w:styleId="863">
    <w:name w:val="Body Text First Indent"/>
    <w:basedOn w:val="848"/>
    <w:uiPriority w:val="0"/>
    <w:qFormat/>
    <w:pPr>
      <w:ind w:firstLine="200"/>
      <w:spacing w:line="360" w:lineRule="auto"/>
    </w:pPr>
    <w:rPr>
      <w:rFonts w:ascii="仿宋_GB2312" w:hAnsi="Arial" w:eastAsia="仿宋_GB2312"/>
      <w:sz w:val="30"/>
      <w:szCs w:val="30"/>
    </w:rPr>
  </w:style>
  <w:style w:type="paragraph" w:styleId="864">
    <w:name w:val="Body Text First Indent 2"/>
    <w:basedOn w:val="849"/>
    <w:uiPriority w:val="99"/>
    <w:unhideWhenUsed/>
    <w:qFormat/>
    <w:pPr>
      <w:ind w:firstLine="420"/>
    </w:pPr>
  </w:style>
  <w:style w:type="table" w:styleId="865">
    <w:name w:val="Table Grid"/>
    <w:basedOn w:val="84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uiPriority w:val="0"/>
    <w:qFormat/>
    <w:rPr>
      <w:b/>
    </w:rPr>
  </w:style>
  <w:style w:type="character" w:styleId="867">
    <w:name w:val="page number"/>
    <w:basedOn w:val="843"/>
    <w:uiPriority w:val="0"/>
    <w:qFormat/>
  </w:style>
  <w:style w:type="character" w:styleId="868">
    <w:name w:val="FollowedHyperlink"/>
    <w:uiPriority w:val="0"/>
    <w:qFormat/>
    <w:rPr>
      <w:color w:val="999999"/>
      <w:u w:val="none"/>
    </w:rPr>
  </w:style>
  <w:style w:type="character" w:styleId="869">
    <w:name w:val="Emphasis"/>
    <w:uiPriority w:val="0"/>
    <w:qFormat/>
  </w:style>
  <w:style w:type="character" w:styleId="870">
    <w:name w:val="Hyperlink"/>
    <w:uiPriority w:val="0"/>
    <w:qFormat/>
    <w:rPr>
      <w:color w:val="333333"/>
      <w:u w:val="none"/>
    </w:rPr>
  </w:style>
  <w:style w:type="character" w:styleId="871">
    <w:name w:val="annotation reference"/>
    <w:uiPriority w:val="0"/>
    <w:qFormat/>
    <w:rPr>
      <w:sz w:val="21"/>
      <w:szCs w:val="21"/>
    </w:rPr>
  </w:style>
  <w:style w:type="character" w:styleId="872">
    <w:name w:val="footnote reference"/>
    <w:uiPriority w:val="0"/>
    <w:qFormat/>
    <w:rPr>
      <w:vertAlign w:val="superscript"/>
    </w:rPr>
  </w:style>
  <w:style w:type="paragraph" w:styleId="873" w:customStyle="1">
    <w:name w:val="段"/>
    <w:next w:val="838"/>
    <w:uiPriority w:val="0"/>
    <w:qFormat/>
    <w:pPr>
      <w:ind w:firstLine="200"/>
      <w:jc w:val="both"/>
    </w:pPr>
    <w:rPr>
      <w:rFonts w:ascii="宋体" w:hAnsi="Calibri" w:eastAsia="宋体" w:cs="Times New Roman"/>
      <w:sz w:val="21"/>
      <w:lang w:val="en-US" w:eastAsia="zh-CN" w:bidi="ar-SA"/>
    </w:rPr>
  </w:style>
  <w:style w:type="paragraph" w:styleId="874" w:customStyle="1">
    <w:name w:val="首行缩进"/>
    <w:basedOn w:val="838"/>
    <w:uiPriority w:val="0"/>
    <w:qFormat/>
    <w:pPr>
      <w:ind w:firstLine="200"/>
      <w:spacing w:line="500" w:lineRule="exact"/>
    </w:pPr>
  </w:style>
  <w:style w:type="paragraph" w:styleId="875" w:customStyle="1">
    <w:name w:val="p18"/>
    <w:basedOn w:val="838"/>
    <w:uiPriority w:val="0"/>
    <w:qFormat/>
    <w:pPr>
      <w:ind w:firstLine="570"/>
      <w:spacing w:line="520" w:lineRule="atLeast"/>
      <w:widowControl/>
    </w:pPr>
    <w:rPr>
      <w:rFonts w:ascii="方正仿宋简体" w:hAnsi="方正仿宋简体" w:cs="宋体"/>
      <w:sz w:val="24"/>
    </w:rPr>
  </w:style>
  <w:style w:type="paragraph" w:styleId="876" w:customStyle="1">
    <w:name w:val="正文段落"/>
    <w:basedOn w:val="838"/>
    <w:uiPriority w:val="0"/>
    <w:qFormat/>
    <w:pPr>
      <w:ind w:firstLine="440"/>
      <w:spacing w:line="360" w:lineRule="auto"/>
      <w:widowControl/>
    </w:pPr>
    <w:rPr>
      <w:sz w:val="22"/>
      <w:szCs w:val="22"/>
      <w:lang w:val="de-DE"/>
    </w:rPr>
  </w:style>
  <w:style w:type="paragraph" w:styleId="877" w:customStyle="1">
    <w:name w:val="【正文】"/>
    <w:basedOn w:val="838"/>
    <w:uiPriority w:val="0"/>
    <w:qFormat/>
    <w:pPr>
      <w:ind w:firstLine="420"/>
      <w:spacing w:line="360" w:lineRule="auto"/>
    </w:pPr>
    <w:rPr>
      <w:rFonts w:cs="黑体"/>
      <w:sz w:val="24"/>
    </w:rPr>
  </w:style>
  <w:style w:type="paragraph" w:styleId="878" w:customStyle="1">
    <w:name w:val="样式 (西文) 宋体 小四 首行缩进:  0.95 厘米 段前: 5 磅 段后: 5 磅 行距: 1.5 倍行距"/>
    <w:basedOn w:val="838"/>
    <w:uiPriority w:val="0"/>
    <w:qFormat/>
    <w:pPr>
      <w:ind w:firstLine="540"/>
      <w:jc w:val="left"/>
      <w:spacing w:before="100" w:after="100" w:line="360" w:lineRule="auto"/>
      <w:widowControl/>
    </w:pPr>
    <w:rPr>
      <w:rFonts w:ascii="宋体" w:hAnsi="宋体" w:cs="宋体"/>
      <w:sz w:val="24"/>
      <w:szCs w:val="20"/>
    </w:rPr>
  </w:style>
  <w:style w:type="paragraph" w:styleId="879" w:customStyle="1">
    <w:name w:val="列表段落1"/>
    <w:basedOn w:val="838"/>
    <w:uiPriority w:val="0"/>
    <w:qFormat/>
    <w:pPr>
      <w:ind w:firstLine="420"/>
    </w:pPr>
  </w:style>
  <w:style w:type="paragraph" w:styleId="880" w:customStyle="1">
    <w:name w:val="179"/>
    <w:basedOn w:val="838"/>
    <w:uiPriority w:val="0"/>
    <w:qFormat/>
    <w:pPr>
      <w:ind w:firstLine="420"/>
    </w:pPr>
    <w:rPr>
      <w:sz w:val="28"/>
      <w:szCs w:val="20"/>
    </w:rPr>
  </w:style>
  <w:style w:type="paragraph" w:styleId="881" w:customStyle="1">
    <w:name w:val="_Style 12"/>
    <w:basedOn w:val="846"/>
    <w:uiPriority w:val="0"/>
    <w:qFormat/>
    <w:pPr>
      <w:spacing w:line="360" w:lineRule="auto"/>
      <w:shd w:val="clear" w:color="auto" w:fill="000080"/>
    </w:pPr>
    <w:rPr>
      <w:rFonts w:ascii="Times New Roman"/>
      <w:sz w:val="21"/>
      <w:szCs w:val="24"/>
    </w:rPr>
  </w:style>
  <w:style w:type="paragraph" w:styleId="882" w:customStyle="1">
    <w:name w:val="List Paragraph1"/>
    <w:basedOn w:val="838"/>
    <w:uiPriority w:val="34"/>
    <w:qFormat/>
    <w:pPr>
      <w:ind w:firstLine="420"/>
    </w:pPr>
  </w:style>
  <w:style w:type="paragraph" w:styleId="883" w:customStyle="1">
    <w:name w:val="正文2"/>
    <w:basedOn w:val="838"/>
    <w:uiPriority w:val="0"/>
    <w:qFormat/>
    <w:pPr>
      <w:ind w:firstLine="200"/>
      <w:jc w:val="left"/>
      <w:spacing w:after="160" w:line="360" w:lineRule="auto"/>
      <w:widowControl/>
    </w:pPr>
    <w:rPr>
      <w:szCs w:val="20"/>
    </w:rPr>
  </w:style>
  <w:style w:type="paragraph" w:styleId="884" w:customStyle="1">
    <w:name w:val="纯文本1"/>
    <w:basedOn w:val="838"/>
    <w:uiPriority w:val="0"/>
    <w:qFormat/>
    <w:rPr>
      <w:rFonts w:ascii="宋体" w:hAnsi="Courier New"/>
    </w:rPr>
  </w:style>
  <w:style w:type="paragraph" w:styleId="885" w:customStyle="1">
    <w:name w:val="正文文本缩进 2 + 仿宋_GB2312"/>
    <w:basedOn w:val="853"/>
    <w:uiPriority w:val="0"/>
    <w:qFormat/>
    <w:pPr>
      <w:numPr>
        <w:ilvl w:val="0"/>
        <w:numId w:val="1"/>
      </w:numPr>
      <w:ind w:left="-6" w:firstLine="0"/>
      <w:spacing w:line="360" w:lineRule="auto"/>
      <w:tabs>
        <w:tab w:val="left" w:pos="420" w:leader="none"/>
        <w:tab w:val="clear" w:pos="840" w:leader="none"/>
      </w:tabs>
    </w:pPr>
    <w:rPr>
      <w:rFonts w:ascii="仿宋_GB2312" w:hAnsi="宋体" w:eastAsia="仿宋_GB2312" w:cs="宋体"/>
      <w:bCs w:val="0"/>
      <w:color w:val="000000"/>
      <w:szCs w:val="24"/>
      <w:lang w:bidi="th-TH"/>
    </w:rPr>
  </w:style>
  <w:style w:type="paragraph" w:styleId="886" w:customStyle="1">
    <w:name w:val="列表段落11"/>
    <w:basedOn w:val="838"/>
    <w:uiPriority w:val="0"/>
    <w:qFormat/>
    <w:pPr>
      <w:ind w:firstLine="420"/>
    </w:pPr>
    <w:rPr>
      <w:rFonts w:eastAsia="等线"/>
    </w:rPr>
  </w:style>
  <w:style w:type="paragraph" w:styleId="887" w:customStyle="1">
    <w:name w:val="+正文"/>
    <w:basedOn w:val="838"/>
    <w:uiPriority w:val="99"/>
    <w:qFormat/>
    <w:pPr>
      <w:ind w:firstLine="200"/>
      <w:spacing w:line="360" w:lineRule="auto"/>
    </w:pPr>
    <w:rPr>
      <w:rFonts w:ascii="Times New Roman" w:hAnsi="Times New Roman"/>
      <w:sz w:val="24"/>
      <w:szCs w:val="28"/>
    </w:rPr>
  </w:style>
  <w:style w:type="paragraph" w:styleId="888">
    <w:name w:val="List Paragraph"/>
    <w:basedOn w:val="838"/>
    <w:uiPriority w:val="34"/>
    <w:qFormat/>
    <w:pPr>
      <w:ind w:firstLine="420"/>
    </w:pPr>
    <w:rPr>
      <w:sz w:val="28"/>
      <w:szCs w:val="20"/>
    </w:rPr>
  </w:style>
  <w:style w:type="paragraph" w:styleId="889" w:customStyle="1">
    <w:name w:val="p0"/>
    <w:basedOn w:val="838"/>
    <w:uiPriority w:val="0"/>
    <w:qFormat/>
    <w:pPr>
      <w:widowControl/>
    </w:pPr>
    <w:rPr>
      <w:szCs w:val="21"/>
    </w:rPr>
  </w:style>
  <w:style w:type="paragraph" w:styleId="890" w:customStyle="1">
    <w:name w:val="列出段落1"/>
    <w:basedOn w:val="838"/>
    <w:uiPriority w:val="34"/>
    <w:qFormat/>
    <w:pPr>
      <w:ind w:firstLine="420"/>
    </w:pPr>
    <w:rPr>
      <w:rFonts w:ascii="Times New Roman" w:hAnsi="Times New Roman"/>
    </w:rPr>
  </w:style>
  <w:style w:type="paragraph" w:styleId="891" w:customStyle="1">
    <w:name w:val="Char Char Char Char Char Char Char Char Char Char Char Char Char"/>
    <w:basedOn w:val="838"/>
    <w:uiPriority w:val="0"/>
    <w:qFormat/>
    <w:pPr>
      <w:ind w:firstLine="480"/>
      <w:spacing w:line="360" w:lineRule="auto"/>
    </w:pPr>
    <w:rPr>
      <w:rFonts w:hAnsi="宋体"/>
      <w:color w:val="000000"/>
      <w:sz w:val="18"/>
      <w:szCs w:val="18"/>
    </w:rPr>
  </w:style>
  <w:style w:type="paragraph" w:styleId="892" w:customStyle="1">
    <w:name w:val="纯文本2"/>
    <w:basedOn w:val="838"/>
    <w:uiPriority w:val="0"/>
    <w:qFormat/>
    <w:rPr>
      <w:rFonts w:hint="eastAsia" w:ascii="宋体" w:hAnsi="Courier New" w:eastAsia="楷体_GB2312"/>
      <w:sz w:val="28"/>
      <w:szCs w:val="20"/>
    </w:rPr>
  </w:style>
  <w:style w:type="paragraph" w:styleId="893"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894" w:customStyle="1">
    <w:name w:val="正文 A"/>
    <w:uiPriority w:val="0"/>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895" w:customStyle="1">
    <w:name w:val="dt2"/>
    <w:basedOn w:val="838"/>
    <w:uiPriority w:val="0"/>
    <w:qFormat/>
    <w:pPr>
      <w:jc w:val="left"/>
    </w:pPr>
  </w:style>
  <w:style w:type="paragraph" w:styleId="896" w:customStyle="1">
    <w:name w:val="111111"/>
    <w:basedOn w:val="838"/>
    <w:uiPriority w:val="0"/>
    <w:qFormat/>
    <w:pPr>
      <w:jc w:val="center"/>
      <w:spacing w:before="120" w:after="120"/>
    </w:pPr>
    <w:rPr>
      <w:rFonts w:ascii="宋体" w:hAnsi="宋体" w:eastAsia="黑体"/>
      <w:b/>
      <w:bCs/>
      <w:szCs w:val="21"/>
    </w:rPr>
  </w:style>
  <w:style w:type="character" w:styleId="897" w:customStyle="1">
    <w:name w:val="标题 1 字符"/>
    <w:link w:val="839"/>
    <w:uiPriority w:val="0"/>
    <w:qFormat/>
    <w:rPr>
      <w:rFonts w:ascii="宋体" w:hAnsi="宋体" w:eastAsia="宋体"/>
      <w:b/>
      <w:sz w:val="24"/>
      <w:lang w:val="en-US" w:eastAsia="zh-CN" w:bidi="ar-SA"/>
    </w:rPr>
  </w:style>
  <w:style w:type="character" w:styleId="898" w:customStyle="1">
    <w:name w:val="批注文字 字符"/>
    <w:link w:val="847"/>
    <w:uiPriority w:val="0"/>
    <w:qFormat/>
    <w:rPr>
      <w:sz w:val="21"/>
      <w:szCs w:val="24"/>
    </w:rPr>
  </w:style>
  <w:style w:type="character" w:styleId="899" w:customStyle="1">
    <w:name w:val="标题 6 字符"/>
    <w:link w:val="842"/>
    <w:uiPriority w:val="0"/>
    <w:qFormat/>
    <w:rPr>
      <w:rFonts w:ascii="Arial" w:hAnsi="Arial" w:eastAsia="黑体"/>
      <w:b/>
      <w:bCs/>
      <w:sz w:val="24"/>
      <w:szCs w:val="24"/>
    </w:rPr>
  </w:style>
  <w:style w:type="character" w:styleId="900" w:customStyle="1">
    <w:name w:val="Char Char1"/>
    <w:uiPriority w:val="0"/>
    <w:qFormat/>
    <w:rPr>
      <w:rFonts w:ascii="宋体" w:hAnsi="Courier New"/>
      <w:szCs w:val="20"/>
    </w:rPr>
  </w:style>
  <w:style w:type="character" w:styleId="901" w:customStyle="1">
    <w:name w:val="style4"/>
    <w:basedOn w:val="843"/>
    <w:uiPriority w:val="0"/>
    <w:qFormat/>
  </w:style>
  <w:style w:type="character" w:styleId="902" w:customStyle="1">
    <w:name w:val="纯文本 字符"/>
    <w:link w:val="851"/>
    <w:uiPriority w:val="0"/>
    <w:qFormat/>
    <w:rPr>
      <w:rFonts w:ascii="宋体" w:hAnsi="Courier New" w:eastAsia="楷体_GB2312"/>
      <w:sz w:val="28"/>
    </w:rPr>
  </w:style>
  <w:style w:type="character" w:styleId="903" w:customStyle="1">
    <w:name w:val="批注主题 字符"/>
    <w:link w:val="862"/>
    <w:uiPriority w:val="0"/>
    <w:qFormat/>
    <w:rPr>
      <w:b/>
      <w:bCs/>
      <w:sz w:val="21"/>
      <w:szCs w:val="24"/>
    </w:rPr>
  </w:style>
  <w:style w:type="character" w:styleId="904" w:customStyle="1">
    <w:name w:val="文档结构图 字符"/>
    <w:link w:val="846"/>
    <w:uiPriority w:val="0"/>
    <w:qFormat/>
    <w:rPr>
      <w:rFonts w:ascii="宋体"/>
      <w:sz w:val="18"/>
      <w:szCs w:val="18"/>
    </w:rPr>
  </w:style>
  <w:style w:type="character" w:styleId="905" w:customStyle="1">
    <w:name w:val="标题 2 字符"/>
    <w:link w:val="840"/>
    <w:uiPriority w:val="0"/>
    <w:qFormat/>
    <w:rPr>
      <w:rFonts w:ascii="Arial" w:hAnsi="Arial" w:eastAsia="黑体"/>
      <w:b/>
      <w:bCs/>
      <w:sz w:val="32"/>
      <w:szCs w:val="32"/>
      <w:lang w:val="en-US" w:eastAsia="zh-CN" w:bidi="ar-SA"/>
    </w:rPr>
  </w:style>
  <w:style w:type="character" w:styleId="906" w:customStyle="1">
    <w:name w:val="fontstyle01"/>
    <w:uiPriority w:val="0"/>
    <w:qFormat/>
    <w:rPr>
      <w:rFonts w:ascii="宋体" w:hAnsi="宋体" w:eastAsia="宋体" w:cs="宋体"/>
      <w:color w:val="000000"/>
      <w:sz w:val="24"/>
      <w:szCs w:val="24"/>
    </w:rPr>
  </w:style>
  <w:style w:type="character" w:styleId="907" w:customStyle="1">
    <w:name w:val="NormalCharacter"/>
    <w:uiPriority w:val="0"/>
    <w:qFormat/>
  </w:style>
  <w:style w:type="character" w:styleId="908" w:customStyle="1">
    <w:name w:val="font11"/>
    <w:uiPriority w:val="0"/>
    <w:qFormat/>
    <w:rPr>
      <w:rFonts w:hint="eastAsia" w:ascii="宋体" w:hAnsi="宋体" w:eastAsia="宋体" w:cs="宋体"/>
      <w:color w:val="000000"/>
      <w:sz w:val="20"/>
      <w:szCs w:val="20"/>
      <w:u w:val="none"/>
    </w:rPr>
  </w:style>
  <w:style w:type="character" w:styleId="909" w:customStyle="1">
    <w:name w:val="font01"/>
    <w:uiPriority w:val="0"/>
    <w:qFormat/>
    <w:rPr>
      <w:rFonts w:hint="eastAsia" w:ascii="宋体" w:hAnsi="宋体" w:eastAsia="宋体" w:cs="宋体"/>
      <w:b/>
      <w:color w:val="ff0000"/>
      <w:sz w:val="22"/>
      <w:szCs w:val="22"/>
      <w:u w:val="none"/>
    </w:rPr>
  </w:style>
  <w:style w:type="paragraph" w:styleId="910" w:customStyle="1">
    <w:name w:val="标题 21"/>
    <w:next w:val="894"/>
    <w:uiPriority w:val="99"/>
    <w:qFormat/>
    <w:pPr>
      <w:jc w:val="both"/>
      <w:keepLines/>
      <w:keepNext/>
      <w:spacing w:before="260" w:after="260" w:line="413" w:lineRule="auto"/>
      <w:widowControl w:val="off"/>
      <w:framePr w:wrap="around" w:vAnchor="margin" w:hAnchor="text" w:y="1"/>
      <w:outlineLvl w:val="1"/>
    </w:pPr>
    <w:rPr>
      <w:rFonts w:ascii="Arial Unicode MS" w:hAnsi="Arial Unicode MS" w:eastAsia="Arial Unicode MS" w:cs="Arial Unicode MS"/>
      <w:color w:val="000000"/>
      <w:sz w:val="32"/>
      <w:szCs w:val="32"/>
      <w:lang w:val="en-US" w:eastAsia="zh-CN" w:bidi="ar-SA"/>
    </w:rPr>
  </w:style>
  <w:style w:type="paragraph" w:styleId="911" w:customStyle="1">
    <w:name w:val="正文缩进 Char Char"/>
    <w:basedOn w:val="838"/>
    <w:uiPriority w:val="0"/>
    <w:qFormat/>
    <w:pPr>
      <w:ind w:firstLine="420"/>
    </w:pPr>
  </w:style>
  <w:style w:type="paragraph" w:styleId="912" w:customStyle="1">
    <w:name w:val="Table Paragraph"/>
    <w:basedOn w:val="838"/>
    <w:uiPriority w:val="1"/>
    <w:qFormat/>
    <w:rPr>
      <w:sz w:val="26"/>
      <w:szCs w:val="20"/>
      <w:lang w:val="zh-CN" w:bidi="zh-CN"/>
    </w:rPr>
  </w:style>
  <w:style w:type="paragraph" w:styleId="913" w:customStyle="1">
    <w:name w:val="纯文本3"/>
    <w:basedOn w:val="838"/>
    <w:uiPriority w:val="0"/>
    <w:qFormat/>
    <w:rPr>
      <w:rFonts w:ascii="宋体" w:hAnsi="Courier New" w:eastAsia="楷体_GB2312"/>
      <w:sz w:val="26"/>
      <w:szCs w:val="20"/>
    </w:rPr>
  </w:style>
  <w:style w:type="paragraph" w:styleId="914" w:customStyle="1">
    <w:name w:val="p25"/>
    <w:basedOn w:val="838"/>
    <w:uiPriority w:val="0"/>
    <w:qFormat/>
    <w:rPr>
      <w:rFonts w:ascii="黑体" w:hAnsi="黑体" w:cs="黑体"/>
      <w:szCs w:val="26"/>
    </w:rPr>
  </w:style>
  <w:style w:type="paragraph" w:styleId="915" w:customStyle="1">
    <w:name w:val="纯文本111"/>
    <w:basedOn w:val="838"/>
    <w:uiPriority w:val="0"/>
    <w:qFormat/>
    <w:rPr>
      <w:rFonts w:ascii="宋体" w:hAnsi="Courier New"/>
      <w:sz w:val="28"/>
      <w:szCs w:val="28"/>
    </w:rPr>
  </w:style>
  <w:style w:type="paragraph" w:styleId="916" w:customStyle="1">
    <w:name w:val="纯文本21"/>
    <w:basedOn w:val="838"/>
    <w:uiPriority w:val="0"/>
    <w:qFormat/>
    <w:rPr>
      <w:rFonts w:hint="eastAsia" w:ascii="宋体" w:hAnsi="Courier New" w:eastAsia="楷体_GB2312"/>
      <w:sz w:val="28"/>
    </w:rPr>
  </w:style>
  <w:style w:type="paragraph" w:styleId="917" w:customStyle="1">
    <w:name w:val="正文1"/>
    <w:next w:val="838"/>
    <w:uiPriority w:val="0"/>
    <w:qFormat/>
    <w:pPr>
      <w:jc w:val="both"/>
      <w:spacing w:line="312" w:lineRule="atLeast"/>
      <w:widowControl w:val="off"/>
    </w:pPr>
    <w:rPr>
      <w:rFonts w:ascii="宋体" w:hAnsi="Times New Roman" w:eastAsia="宋体" w:cs="Times New Roman"/>
      <w:sz w:val="34"/>
      <w:szCs w:val="22"/>
      <w:lang w:val="en-US" w:eastAsia="zh-CN" w:bidi="ar-SA"/>
    </w:rPr>
  </w:style>
  <w:style w:type="character" w:styleId="918" w:customStyle="1">
    <w:name w:val="font21"/>
    <w:uiPriority w:val="0"/>
    <w:qFormat/>
    <w:rPr>
      <w:rFonts w:hint="eastAsia" w:ascii="宋体" w:hAnsi="宋体" w:eastAsia="宋体" w:cs="宋体"/>
      <w:b/>
      <w:color w:val="000000"/>
      <w:sz w:val="20"/>
      <w:szCs w:val="20"/>
      <w:u w:val="none"/>
    </w:rPr>
  </w:style>
  <w:style w:type="character" w:styleId="919" w:customStyle="1">
    <w:name w:val="font91"/>
    <w:uiPriority w:val="0"/>
    <w:qFormat/>
    <w:rPr>
      <w:rFonts w:ascii="Calibri" w:hAnsi="Calibri" w:cs="Calibri"/>
      <w:b/>
      <w:color w:val="000000"/>
      <w:sz w:val="20"/>
      <w:szCs w:val="20"/>
      <w:u w:val="none"/>
    </w:rPr>
  </w:style>
  <w:style w:type="character" w:styleId="920" w:customStyle="1">
    <w:name w:val="font71"/>
    <w:uiPriority w:val="0"/>
    <w:qFormat/>
    <w:rPr>
      <w:rFonts w:hint="eastAsia" w:ascii="宋体" w:hAnsi="宋体" w:eastAsia="宋体" w:cs="宋体"/>
      <w:color w:val="000000"/>
      <w:sz w:val="20"/>
      <w:szCs w:val="20"/>
      <w:u w:val="none"/>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周磊</cp:lastModifiedBy>
  <cp:revision>16</cp:revision>
  <dcterms:created xsi:type="dcterms:W3CDTF">2021-12-28T08:23:00Z</dcterms:created>
  <dcterms:modified xsi:type="dcterms:W3CDTF">2026-03-12T03:01:13Z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128F49077F4A42ACBBB95A213855BA58_13</vt:lpwstr>
  </property>
  <property fmtid="{D5CDD505-2E9C-101B-9397-08002B2CF9AE}" pid="4" name="KSOTemplateDocerSaveRecord">
    <vt:lpwstr>eyJoZGlkIjoiZTk4NTZlMWJkMGU5ZTA3ODc5YzQxZDExODRhMGVlMDciLCJ1c2VySWQiOiIyMjM3MjI3NjMifQ==</vt:lpwstr>
  </property>
</Properties>
</file>